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targets store (run of 12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 θ was tuned until ψ(θ) equalled the observed CCW hazard ratio of 0.62. This needed θ* = -0.70 (Weibull HR 0.49), which results in HR_CCW = 0.62 (2 search steps after the two starting values; MCSE of the true log HR 0.005). [Current draft: 'θ = −0.70, which results in HR_CCW = 0.48'; HR_CCW equals the observed HR by construction, and the Weibull HR is exp(θ*) = 0.49.]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and is available in the Online Supplement. The full run took 34.2 minutes on 1 core of a cloud virtual machine, of which 19.0 minutes were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 (95% CI 0.37–1.04) for surgery within 6 months versus no surgery within 6 months (Table 4). With the true CCW HR set to this value, the average estimate across 10,000 simulated studies was HR 0.61: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 (MCSE 0.3%) of the simulated studies rejected H0 at the 5% level, a significant inflation of the type I error; 6.4%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 (95% CI 0.37–1.08), with a CI inflation factor of 1.04 and a calibrated critical value of |z| = 2.17 instead of 1.96; the simulation-calibrated p-value was 0.102 (observed p = 0.072). In the cross-fitted evaluation the adjusted analysis had 95% CI coverage of 94.8% and a type I error of 5.0%;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(0.37 to 1.04)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 (0.37 to 1.08)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 (0.2)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 to 1.23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 to 0.93</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 to 2.41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 to 6.30</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 to 2.87</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 to 1.22</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 to 1.71</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 to 2.33</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0.57 to 2.51</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0.32 to 1.37</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aa92b732ebfd18440a4d94c0e24a63aa174d54.png"/>
<Relationship Id="rId8" Type="http://schemas.openxmlformats.org/officeDocument/2006/relationships/image" Target="media/f9ec9106830b77a56e52d4a22c779d768ea4644f.png"/>
<Relationship Id="rId9" Type="http://schemas.openxmlformats.org/officeDocument/2006/relationships/image" Target="media/4998e2323dbb3c23ad86ea0d6ff099c73cc2738b.png"/>
<Relationship Id="rId10" Type="http://schemas.openxmlformats.org/officeDocument/2006/relationships/image" Target="media/d45393cbf5dd2741885e90371121e41a04b19042.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2026-10-12T13:03:19Z</dcterms:modified>
  <cp:category/>
</cp:coreProperties>
</file>