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B64F" w14:textId="6D45A484" w:rsidR="006820E1" w:rsidRDefault="00C8699A" w:rsidP="00A50D9A">
      <w:pPr>
        <w:pStyle w:val="Heading1"/>
      </w:pPr>
      <w:r>
        <w:t>Test</w:t>
      </w:r>
    </w:p>
    <w:p w14:paraId="650B80AC" w14:textId="044CF42B" w:rsidR="00C8699A" w:rsidRPr="00C8699A" w:rsidRDefault="00C8699A" w:rsidP="00C8699A">
      <w:r w:rsidRPr="00C8699A">
        <w:rPr>
          <w:highlight w:val="cyan"/>
        </w:rPr>
        <w:t>In such cases, they may indeed create their own blockchain network and token to suit specific governance, security, and operational requirements. However, leveraging existing public blockchains with a custom token (like your proposed Sextortion Coin) could also be a viable path, depending on the project's goals and legal considerations.</w:t>
      </w:r>
    </w:p>
    <w:p w14:paraId="314140C0" w14:textId="189E314B" w:rsidR="00AF445A" w:rsidRDefault="00B745DB" w:rsidP="00A50D9A">
      <w:pPr>
        <w:pStyle w:val="Heading1"/>
      </w:pPr>
      <w:r>
        <w:t>Planning Approach</w:t>
      </w:r>
    </w:p>
    <w:p w14:paraId="4C86644A" w14:textId="6FD9EC2C" w:rsidR="00BA0A0E" w:rsidRDefault="00BA0A0E" w:rsidP="00BA0A0E">
      <w:r w:rsidRPr="00E357A0">
        <w:t xml:space="preserve">Given the outlined scope, objectives, and goals of </w:t>
      </w:r>
      <w:r w:rsidR="00E357A0" w:rsidRPr="00E357A0">
        <w:t xml:space="preserve">this </w:t>
      </w:r>
      <w:r w:rsidRPr="00E357A0">
        <w:t xml:space="preserve">project, the blockchain approach and features </w:t>
      </w:r>
      <w:r w:rsidR="00E357A0" w:rsidRPr="00E357A0">
        <w:t xml:space="preserve">were </w:t>
      </w:r>
      <w:r w:rsidRPr="00E357A0">
        <w:t xml:space="preserve">meticulously planned to ensure they align with combating sextortion in public service delivery. Below is </w:t>
      </w:r>
      <w:r w:rsidR="00E357A0" w:rsidRPr="00E357A0">
        <w:t xml:space="preserve">the </w:t>
      </w:r>
      <w:r w:rsidRPr="00E357A0">
        <w:t xml:space="preserve">structured approach </w:t>
      </w:r>
      <w:r w:rsidR="00E357A0" w:rsidRPr="00E357A0">
        <w:t xml:space="preserve">taken when </w:t>
      </w:r>
      <w:r w:rsidRPr="00E357A0">
        <w:t xml:space="preserve">planning the blockchain features based on </w:t>
      </w:r>
      <w:r w:rsidR="00E357A0" w:rsidRPr="00E357A0">
        <w:t xml:space="preserve">the </w:t>
      </w:r>
      <w:r w:rsidRPr="00E357A0">
        <w:t>project's requirements:</w:t>
      </w:r>
    </w:p>
    <w:p w14:paraId="6BBD25E4" w14:textId="77777777" w:rsidR="00455FBB" w:rsidRDefault="00455FBB" w:rsidP="00BA0A0E">
      <w:pPr>
        <w:rPr>
          <w:i/>
          <w:iCs/>
        </w:rPr>
      </w:pPr>
    </w:p>
    <w:p w14:paraId="6A06FC8C" w14:textId="49F8E02E" w:rsidR="00BA0A0E" w:rsidRPr="004D2372" w:rsidRDefault="00BA0A0E" w:rsidP="00BA0A0E">
      <w:pPr>
        <w:rPr>
          <w:i/>
          <w:iCs/>
        </w:rPr>
      </w:pPr>
      <w:r w:rsidRPr="004D2372">
        <w:rPr>
          <w:i/>
          <w:iCs/>
        </w:rPr>
        <w:t>1. Blockchain Network Architecture</w:t>
      </w:r>
    </w:p>
    <w:p w14:paraId="29138929" w14:textId="77777777" w:rsidR="00BA0A0E" w:rsidRDefault="00BA0A0E" w:rsidP="00BA0A0E">
      <w:r w:rsidRPr="004D2372">
        <w:rPr>
          <w:b/>
          <w:bCs/>
        </w:rPr>
        <w:t>Decide on a Blockchain Type:</w:t>
      </w:r>
      <w:r>
        <w:t xml:space="preserve"> Given the project's focus on transparency and immutability, a public blockchain might be most suitable. However, consider privacy concerns; a permissioned blockchain could be a compromise, allowing vetted participants to engage.</w:t>
      </w:r>
    </w:p>
    <w:p w14:paraId="6D81BEDC" w14:textId="77777777" w:rsidR="00BA0A0E" w:rsidRDefault="00BA0A0E" w:rsidP="00BA0A0E">
      <w:r w:rsidRPr="004D2372">
        <w:rPr>
          <w:b/>
          <w:bCs/>
        </w:rPr>
        <w:t>Node Structure:</w:t>
      </w:r>
      <w:r>
        <w:t xml:space="preserve"> Plan the distribution and management of nodes. For government collaboration, nodes could be managed by trusted government bodies or international organizations.</w:t>
      </w:r>
    </w:p>
    <w:p w14:paraId="0C2B48F5" w14:textId="77777777" w:rsidR="003D3B12" w:rsidRDefault="003D3B12" w:rsidP="00BA0A0E"/>
    <w:p w14:paraId="2583FD60" w14:textId="77777777" w:rsidR="00BA0A0E" w:rsidRPr="004D2372" w:rsidRDefault="00BA0A0E" w:rsidP="00BA0A0E">
      <w:pPr>
        <w:rPr>
          <w:i/>
          <w:iCs/>
        </w:rPr>
      </w:pPr>
      <w:r w:rsidRPr="004D2372">
        <w:rPr>
          <w:i/>
          <w:iCs/>
        </w:rPr>
        <w:t>2. Smart Contracts for Automating Processes</w:t>
      </w:r>
    </w:p>
    <w:p w14:paraId="539C24AA" w14:textId="77777777" w:rsidR="00BA0A0E" w:rsidRDefault="00BA0A0E" w:rsidP="00BA0A0E">
      <w:r w:rsidRPr="009537CB">
        <w:rPr>
          <w:b/>
          <w:bCs/>
        </w:rPr>
        <w:t xml:space="preserve">Report and Documentation Automation: </w:t>
      </w:r>
      <w:r>
        <w:t>Develop smart contracts to automate the reporting mechanisms for sextortion cases, ensuring secure and tamper-proof documentation.</w:t>
      </w:r>
    </w:p>
    <w:p w14:paraId="283770F7" w14:textId="77777777" w:rsidR="00BA0A0E" w:rsidRDefault="00BA0A0E" w:rsidP="00BA0A0E">
      <w:r w:rsidRPr="009537CB">
        <w:rPr>
          <w:b/>
          <w:bCs/>
        </w:rPr>
        <w:t xml:space="preserve">Evidence Handling and Access Rights: </w:t>
      </w:r>
      <w:r>
        <w:t>Smart contracts should define access rights to evidence, encrypting and securely storing data. Access could be granted under specific conditions, like legal proceedings initiation.</w:t>
      </w:r>
    </w:p>
    <w:p w14:paraId="71F57A16" w14:textId="77777777" w:rsidR="00BA0A0E" w:rsidRDefault="00BA0A0E" w:rsidP="00BA0A0E">
      <w:r w:rsidRPr="009537CB">
        <w:rPr>
          <w:b/>
          <w:bCs/>
        </w:rPr>
        <w:t xml:space="preserve">Data Analysis for Pattern Recognition: </w:t>
      </w:r>
      <w:r>
        <w:t>Implement smart contracts to analyze reported cases for patterns and trends, aiding in recognizing potential unreported cases.</w:t>
      </w:r>
    </w:p>
    <w:p w14:paraId="0E620E4C" w14:textId="77777777" w:rsidR="003D3B12" w:rsidRDefault="003D3B12" w:rsidP="00BA0A0E">
      <w:pPr>
        <w:rPr>
          <w:i/>
          <w:iCs/>
        </w:rPr>
      </w:pPr>
    </w:p>
    <w:p w14:paraId="71598D55" w14:textId="739AA2BC" w:rsidR="00BA0A0E" w:rsidRPr="009537CB" w:rsidRDefault="00BA0A0E" w:rsidP="00BA0A0E">
      <w:pPr>
        <w:rPr>
          <w:i/>
          <w:iCs/>
        </w:rPr>
      </w:pPr>
      <w:r w:rsidRPr="009537CB">
        <w:rPr>
          <w:i/>
          <w:iCs/>
        </w:rPr>
        <w:t>3. Creating Tamper-proof Digital Identities</w:t>
      </w:r>
    </w:p>
    <w:p w14:paraId="138FF316" w14:textId="77777777" w:rsidR="00BA0A0E" w:rsidRDefault="00BA0A0E" w:rsidP="00BA0A0E">
      <w:r w:rsidRPr="009537CB">
        <w:rPr>
          <w:b/>
          <w:bCs/>
        </w:rPr>
        <w:lastRenderedPageBreak/>
        <w:t xml:space="preserve">Digital Identity for Participants: </w:t>
      </w:r>
      <w:r>
        <w:t>Design a system for creating digital identities for public officials and service users. This includes integrating additional security measures for target individuals.</w:t>
      </w:r>
    </w:p>
    <w:p w14:paraId="146D5A8D" w14:textId="77777777" w:rsidR="00BA0A0E" w:rsidRDefault="00BA0A0E" w:rsidP="00BA0A0E">
      <w:r w:rsidRPr="009537CB">
        <w:rPr>
          <w:b/>
          <w:bCs/>
        </w:rPr>
        <w:t xml:space="preserve">Verification and Authentication Processes: </w:t>
      </w:r>
      <w:r>
        <w:t>Ensure the blockchain platform includes robust verification and authentication mechanisms to prevent unauthorized access and ensure the integrity of digital identities.</w:t>
      </w:r>
    </w:p>
    <w:p w14:paraId="25B60BE0" w14:textId="77777777" w:rsidR="003D3B12" w:rsidRDefault="003D3B12" w:rsidP="00BA0A0E">
      <w:pPr>
        <w:rPr>
          <w:i/>
          <w:iCs/>
        </w:rPr>
      </w:pPr>
    </w:p>
    <w:p w14:paraId="4237989B" w14:textId="62CB20CC" w:rsidR="00BA0A0E" w:rsidRPr="009537CB" w:rsidRDefault="00BA0A0E" w:rsidP="00BA0A0E">
      <w:pPr>
        <w:rPr>
          <w:i/>
          <w:iCs/>
        </w:rPr>
      </w:pPr>
      <w:r w:rsidRPr="009537CB">
        <w:rPr>
          <w:i/>
          <w:iCs/>
        </w:rPr>
        <w:t>4. Cross-Agency Data Sharing</w:t>
      </w:r>
    </w:p>
    <w:p w14:paraId="69E653CA" w14:textId="77777777" w:rsidR="00BA0A0E" w:rsidRDefault="00BA0A0E" w:rsidP="00BA0A0E">
      <w:r w:rsidRPr="009537CB">
        <w:rPr>
          <w:b/>
          <w:bCs/>
        </w:rPr>
        <w:t>Secure Data Sharing Mechanism:</w:t>
      </w:r>
      <w:r>
        <w:t xml:space="preserve"> Develop a blockchain-based platform for secure and efficient data sharing across different agencies, facilitating investigations into sextortion cases involving multiple jurisdictions.</w:t>
      </w:r>
    </w:p>
    <w:p w14:paraId="139CEBC7" w14:textId="77777777" w:rsidR="003D3B12" w:rsidRDefault="003D3B12" w:rsidP="00BA0A0E">
      <w:pPr>
        <w:rPr>
          <w:i/>
          <w:iCs/>
        </w:rPr>
      </w:pPr>
    </w:p>
    <w:p w14:paraId="44295249" w14:textId="53F25B14" w:rsidR="00BA0A0E" w:rsidRPr="009537CB" w:rsidRDefault="00BA0A0E" w:rsidP="00BA0A0E">
      <w:pPr>
        <w:rPr>
          <w:i/>
          <w:iCs/>
        </w:rPr>
      </w:pPr>
      <w:r w:rsidRPr="009537CB">
        <w:rPr>
          <w:i/>
          <w:iCs/>
        </w:rPr>
        <w:t>5. Integration with Support Services</w:t>
      </w:r>
    </w:p>
    <w:p w14:paraId="00469590" w14:textId="77777777" w:rsidR="00BA0A0E" w:rsidRDefault="00BA0A0E" w:rsidP="00BA0A0E">
      <w:r w:rsidRPr="009537CB">
        <w:rPr>
          <w:b/>
          <w:bCs/>
        </w:rPr>
        <w:t xml:space="preserve">Seamless Access to Victim Support: </w:t>
      </w:r>
      <w:r>
        <w:t>Integrate government platforms with the blockchain to connect victims with support services, providing access to counseling, legal aid, and necessary resources.</w:t>
      </w:r>
    </w:p>
    <w:p w14:paraId="6201FDB7" w14:textId="77777777" w:rsidR="003D3B12" w:rsidRDefault="003D3B12" w:rsidP="00BA0A0E">
      <w:pPr>
        <w:rPr>
          <w:i/>
          <w:iCs/>
        </w:rPr>
      </w:pPr>
    </w:p>
    <w:p w14:paraId="2EE45D07" w14:textId="060DFF26" w:rsidR="00BA0A0E" w:rsidRPr="009537CB" w:rsidRDefault="00BA0A0E" w:rsidP="00BA0A0E">
      <w:pPr>
        <w:rPr>
          <w:i/>
          <w:iCs/>
        </w:rPr>
      </w:pPr>
      <w:r w:rsidRPr="009537CB">
        <w:rPr>
          <w:i/>
          <w:iCs/>
        </w:rPr>
        <w:t>6. Public Awareness and Engagement</w:t>
      </w:r>
    </w:p>
    <w:p w14:paraId="09D1935D" w14:textId="77777777" w:rsidR="00BA0A0E" w:rsidRDefault="00BA0A0E" w:rsidP="00BA0A0E">
      <w:r w:rsidRPr="009537CB">
        <w:rPr>
          <w:b/>
          <w:bCs/>
        </w:rPr>
        <w:t>Tailored Public Awareness Campaigns:</w:t>
      </w:r>
      <w:r>
        <w:t xml:space="preserve"> Utilize data from research to design public awareness campaigns about sextortion, targeting specific demographics through algorithmic ad placement on the blockchain platform.</w:t>
      </w:r>
    </w:p>
    <w:p w14:paraId="2279E2D3" w14:textId="77777777" w:rsidR="003D3B12" w:rsidRDefault="003D3B12" w:rsidP="00BA0A0E">
      <w:pPr>
        <w:rPr>
          <w:i/>
          <w:iCs/>
        </w:rPr>
      </w:pPr>
    </w:p>
    <w:p w14:paraId="480F1307" w14:textId="016F3611" w:rsidR="00BA0A0E" w:rsidRPr="009537CB" w:rsidRDefault="00BA0A0E" w:rsidP="00BA0A0E">
      <w:pPr>
        <w:rPr>
          <w:i/>
          <w:iCs/>
        </w:rPr>
      </w:pPr>
      <w:r w:rsidRPr="009537CB">
        <w:rPr>
          <w:i/>
          <w:iCs/>
        </w:rPr>
        <w:t>7. Testing and Security</w:t>
      </w:r>
    </w:p>
    <w:p w14:paraId="616277AF" w14:textId="2BD67223" w:rsidR="00BA0A0E" w:rsidRDefault="00BA0A0E" w:rsidP="00BA0A0E">
      <w:r>
        <w:t xml:space="preserve">Conduct </w:t>
      </w:r>
      <w:r w:rsidRPr="009537CB">
        <w:rPr>
          <w:b/>
          <w:bCs/>
        </w:rPr>
        <w:t>extensive testing of smart contracts</w:t>
      </w:r>
      <w:r>
        <w:t xml:space="preserve"> and the overall blockchain system to ensure </w:t>
      </w:r>
      <w:r w:rsidRPr="00803762">
        <w:rPr>
          <w:b/>
          <w:bCs/>
        </w:rPr>
        <w:t>security, scalability, and performance</w:t>
      </w:r>
      <w:r>
        <w:t>.</w:t>
      </w:r>
      <w:r w:rsidR="009537CB">
        <w:t xml:space="preserve"> </w:t>
      </w:r>
      <w:r>
        <w:t xml:space="preserve">Plan for a </w:t>
      </w:r>
      <w:r w:rsidRPr="009537CB">
        <w:rPr>
          <w:b/>
          <w:bCs/>
        </w:rPr>
        <w:t>security audit</w:t>
      </w:r>
      <w:r>
        <w:t xml:space="preserve"> by external experts to identify and mitigate potential vulnerabilities.</w:t>
      </w:r>
    </w:p>
    <w:p w14:paraId="3BBB75F4" w14:textId="77777777" w:rsidR="003D3B12" w:rsidRDefault="003D3B12" w:rsidP="00BA0A0E">
      <w:pPr>
        <w:rPr>
          <w:i/>
          <w:iCs/>
        </w:rPr>
      </w:pPr>
    </w:p>
    <w:p w14:paraId="19966EA3" w14:textId="38FF786B" w:rsidR="00BA0A0E" w:rsidRPr="00803762" w:rsidRDefault="00BA0A0E" w:rsidP="00BA0A0E">
      <w:pPr>
        <w:rPr>
          <w:i/>
          <w:iCs/>
        </w:rPr>
      </w:pPr>
      <w:r w:rsidRPr="00803762">
        <w:rPr>
          <w:i/>
          <w:iCs/>
        </w:rPr>
        <w:t>8. Deployment and Monitoring</w:t>
      </w:r>
    </w:p>
    <w:p w14:paraId="3B1F1292" w14:textId="77777777" w:rsidR="00BA0A0E" w:rsidRDefault="00BA0A0E" w:rsidP="00BA0A0E">
      <w:r w:rsidRPr="00803762">
        <w:rPr>
          <w:b/>
          <w:bCs/>
        </w:rPr>
        <w:t xml:space="preserve">Deployment Strategy: </w:t>
      </w:r>
      <w:r>
        <w:t>Develop a phased deployment plan, starting with a pilot within a controlled environment before expanding to wider public service areas.</w:t>
      </w:r>
    </w:p>
    <w:p w14:paraId="32183D16" w14:textId="77777777" w:rsidR="00BA0A0E" w:rsidRDefault="00BA0A0E" w:rsidP="00BA0A0E">
      <w:r w:rsidRPr="00803762">
        <w:rPr>
          <w:b/>
          <w:bCs/>
        </w:rPr>
        <w:t xml:space="preserve">Monitoring and Evaluation: </w:t>
      </w:r>
      <w:r>
        <w:t>Implement tools for real-time monitoring and evaluation of the blockchain system’s performance and its impact on combating sextortion.</w:t>
      </w:r>
    </w:p>
    <w:p w14:paraId="66F18FC7" w14:textId="77777777" w:rsidR="003D3B12" w:rsidRDefault="003D3B12" w:rsidP="00BA0A0E">
      <w:pPr>
        <w:rPr>
          <w:i/>
          <w:iCs/>
        </w:rPr>
      </w:pPr>
    </w:p>
    <w:p w14:paraId="66EC4ADC" w14:textId="21A8E1F7" w:rsidR="00BA0A0E" w:rsidRPr="00803762" w:rsidRDefault="00BA0A0E" w:rsidP="00BA0A0E">
      <w:pPr>
        <w:rPr>
          <w:i/>
          <w:iCs/>
        </w:rPr>
      </w:pPr>
      <w:r w:rsidRPr="00803762">
        <w:rPr>
          <w:i/>
          <w:iCs/>
        </w:rPr>
        <w:t>9. Stakeholder Engagement and Policy Development</w:t>
      </w:r>
    </w:p>
    <w:p w14:paraId="1200B9E8" w14:textId="2E7BAFD7" w:rsidR="008A0041" w:rsidRDefault="00BA0A0E" w:rsidP="00BA0A0E">
      <w:r>
        <w:lastRenderedPageBreak/>
        <w:t>Engage with stakeholders throughout the development process for feedback and ensure the blockchain solution aligns with legal and policy requirements.</w:t>
      </w:r>
    </w:p>
    <w:p w14:paraId="5A15883F" w14:textId="77777777" w:rsidR="008A0041" w:rsidRDefault="008A0041">
      <w:pPr>
        <w:spacing w:before="0" w:after="160" w:line="259" w:lineRule="auto"/>
        <w:ind w:firstLine="0"/>
        <w:contextualSpacing w:val="0"/>
      </w:pPr>
      <w:r>
        <w:br w:type="page"/>
      </w:r>
    </w:p>
    <w:p w14:paraId="295CBB03" w14:textId="742C9EBA" w:rsidR="00AE51E9" w:rsidRDefault="00AE51E9" w:rsidP="00A50D9A">
      <w:pPr>
        <w:pStyle w:val="Heading1"/>
      </w:pPr>
      <w:r w:rsidRPr="00AE51E9">
        <w:lastRenderedPageBreak/>
        <w:t>Blockchain</w:t>
      </w:r>
      <w:r w:rsidRPr="004D2372">
        <w:t xml:space="preserve"> Network Architecture</w:t>
      </w:r>
    </w:p>
    <w:p w14:paraId="237F3273" w14:textId="7AEB20F8" w:rsidR="00B8103F" w:rsidRPr="00803762" w:rsidRDefault="004D2372" w:rsidP="00A50D9A">
      <w:pPr>
        <w:pStyle w:val="Heading2"/>
      </w:pPr>
      <w:r w:rsidRPr="00803762">
        <w:t xml:space="preserve">Deciding on </w:t>
      </w:r>
      <w:r w:rsidRPr="006276B4">
        <w:t>the</w:t>
      </w:r>
      <w:r w:rsidRPr="00803762">
        <w:t xml:space="preserve"> Blockchain Type:</w:t>
      </w:r>
    </w:p>
    <w:p w14:paraId="12C85354" w14:textId="2BE24BB5" w:rsidR="00AF445A" w:rsidRDefault="00AF445A" w:rsidP="00AF445A">
      <w:r>
        <w:t>In the quest to combat sextortion within public service delivery, selecting the appropriate blockchain architecture is pivotal. This decision demands a nuanced understanding of the different blockchain types—public, private, consortium or permissioned, and a nuanced permissioned blockchain tailored for this project. Each type presents unique advantages and challenges, influencing their suitability for addressing the intricate issues of sextortion.</w:t>
      </w:r>
    </w:p>
    <w:p w14:paraId="44C5DD96" w14:textId="1C63AD04" w:rsidR="00AF445A" w:rsidRDefault="00AF445A" w:rsidP="00A50D9A">
      <w:pPr>
        <w:pStyle w:val="ListParagraph"/>
        <w:numPr>
          <w:ilvl w:val="0"/>
          <w:numId w:val="5"/>
        </w:numPr>
      </w:pPr>
      <w:r w:rsidRPr="00A50D9A">
        <w:rPr>
          <w:b/>
          <w:bCs/>
        </w:rPr>
        <w:t>Public Blockchain:</w:t>
      </w:r>
      <w:r>
        <w:t xml:space="preserve"> architectures are lauded for their unparalleled transparency and security, stemming from their open participation model. Anyone can join, contribute to the consensus process, and audit transactions. This openness fosters an environment of trust and accountability, essential in the fight against corruption. However, public blockchains face scalability challenges and privacy concerns, making them less suitable for handling sensitive information inherent in sextortion cases.</w:t>
      </w:r>
    </w:p>
    <w:p w14:paraId="29F0AE50" w14:textId="7A4FB729" w:rsidR="00AF445A" w:rsidRDefault="00AF445A" w:rsidP="00A50D9A">
      <w:pPr>
        <w:pStyle w:val="ListParagraph"/>
        <w:numPr>
          <w:ilvl w:val="0"/>
          <w:numId w:val="5"/>
        </w:numPr>
      </w:pPr>
      <w:r w:rsidRPr="00A50D9A">
        <w:rPr>
          <w:b/>
          <w:bCs/>
        </w:rPr>
        <w:t>Private Blockchains:</w:t>
      </w:r>
      <w:r>
        <w:t xml:space="preserve"> restricted to specific members, offer greater control over participants and transaction speeds. This control facilitates privacy and operational efficiency but at the cost of the transparency that is crucial for public trust and accountability in public service delivery. The centralization inherent in private blockchains contradicts the ethos of decentralization, raising concerns about the concentration of power and the potential for misuse.</w:t>
      </w:r>
    </w:p>
    <w:p w14:paraId="12D25251" w14:textId="652962CD" w:rsidR="00AF445A" w:rsidRDefault="00AF445A" w:rsidP="00A50D9A">
      <w:pPr>
        <w:pStyle w:val="ListParagraph"/>
        <w:numPr>
          <w:ilvl w:val="0"/>
          <w:numId w:val="5"/>
        </w:numPr>
      </w:pPr>
      <w:r w:rsidRPr="00A50D9A">
        <w:rPr>
          <w:b/>
          <w:bCs/>
        </w:rPr>
        <w:t>Consortium or Permissioned Blockchains:</w:t>
      </w:r>
      <w:r>
        <w:t xml:space="preserve"> strike a balance, permitting only a select group of organizations to partake in the consensus process. This model is appealing for its ability to blend privacy with transparency. By allowing selected government bodies, NGOs, and international organizations to manage the network, it ensures sensitive data protection while maintaining a degree of openness for accountability purposes. Nevertheless, the challenge lies in achieving consensus among diverse stakeholders on governance and operational protocols.</w:t>
      </w:r>
    </w:p>
    <w:p w14:paraId="61F2A991" w14:textId="1F57B6DB" w:rsidR="00AF445A" w:rsidRDefault="00AF445A" w:rsidP="00AF445A">
      <w:pPr>
        <w:ind w:firstLine="708"/>
      </w:pPr>
      <w:r>
        <w:t xml:space="preserve">The project's choice, a </w:t>
      </w:r>
      <w:r w:rsidRPr="00AF445A">
        <w:rPr>
          <w:b/>
          <w:bCs/>
        </w:rPr>
        <w:t>Nuanced Permissioned Blockchain</w:t>
      </w:r>
      <w:r>
        <w:t xml:space="preserve">, optimizes the consortium model by further refining access rights. Here, private entities such as NGOs and international organizations have limited access, primarily to aggregated data and analytics, ensuring </w:t>
      </w:r>
      <w:r>
        <w:lastRenderedPageBreak/>
        <w:t>confidentiality where necessary. In contrast, government entities, notably the executive and judiciary branches, have broader access to detailed data. This approach underscores the project’s commitment to balancing transparency with privacy, recognizing the distinct roles and responsibilities within the ecosystem combating sextortion.</w:t>
      </w:r>
    </w:p>
    <w:p w14:paraId="4049F3BA" w14:textId="77777777" w:rsidR="00AF445A" w:rsidRDefault="00AF445A" w:rsidP="00AF445A">
      <w:r>
        <w:t>This nuanced permissioned blockchain is selected for its ability to offer a tailored solution that respects the sensitive nature of sextortion cases. It acknowledges the necessity for government bodies to have comprehensive access for effective investigation and prosecution, while also recognizing the value of NGOs and international organizations in providing oversight and contributing to a broader understanding of sextortion's dynamics. By carefully delineating access rights, this blockchain type ensures that data is used responsibly and ethically, fostering trust among all stakeholders and empowering efforts to address sextortion in public service delivery.</w:t>
      </w:r>
    </w:p>
    <w:p w14:paraId="367DD57A" w14:textId="61C9655A" w:rsidR="00FE7869" w:rsidRDefault="00AF445A" w:rsidP="00AF445A">
      <w:r>
        <w:t>In conclusion, the selection of a nuanced permissioned blockchain reflects a strategic choice tailored to the project’s unique requirements. It balances the need for privacy, security, and transparency, ensuring that the blockchain architecture aligns with the overarching goal of combating sextortion effectively and ethically. This choice positions the project to leverage blockchain technology's strengths while mitigating its limitations, paving the way for a more accountable and corruption-resistant public service delivery system.</w:t>
      </w:r>
    </w:p>
    <w:p w14:paraId="1939FF0E" w14:textId="32A9DD59" w:rsidR="00DE1EFE" w:rsidRPr="006276B4" w:rsidRDefault="00DE1EFE" w:rsidP="00A50D9A">
      <w:pPr>
        <w:pStyle w:val="Heading2"/>
      </w:pPr>
      <w:r w:rsidRPr="006276B4">
        <w:t>Node Structure</w:t>
      </w:r>
    </w:p>
    <w:p w14:paraId="6C16B9B3" w14:textId="77777777" w:rsidR="006276B4" w:rsidRDefault="006276B4" w:rsidP="006276B4">
      <w:r>
        <w:t>In the development of a nuanced permissioned blockchain to combat sextortion within public service delivery, the distribution and management of nodes stand as critical components that ensure the network's integrity, security, and efficacy. The node structure is foundational to achieving the project's aim of leveraging blockchain technology to create a transparent, secure, and accountable framework for addressing sextortion.</w:t>
      </w:r>
    </w:p>
    <w:p w14:paraId="098B7C61" w14:textId="77777777" w:rsidR="006276B4" w:rsidRDefault="006276B4" w:rsidP="006276B4">
      <w:r>
        <w:t>Nodes in a blockchain network are essentially individual computers that hold copies of the blockchain's entire transaction history, participate in the consensus process, and contribute to the network's overall security and data integrity. The importance of nodes extends beyond mere data storage; they are the linchpins that ensure the blockchain operates in a decentralized, tamper-resistant manner. Nodes validate transactions, ensure compliance with the network rules, and maintain the blockchain's integrity by preventing fraudulent activities.</w:t>
      </w:r>
    </w:p>
    <w:p w14:paraId="7C4D42EA" w14:textId="77777777" w:rsidR="006276B4" w:rsidRDefault="006276B4" w:rsidP="006276B4">
      <w:r>
        <w:t xml:space="preserve">For a nuanced permissioned blockchain focused on combating sextortion, the node structure must be meticulously designed to foster government collaboration while </w:t>
      </w:r>
      <w:r>
        <w:lastRenderedPageBreak/>
        <w:t>safeguarding sensitive data. This involves selecting trusted government bodies and international organizations to manage nodes, thereby ensuring that the network remains secure and resilient against attacks. The choice of entities responsible for node management is paramount, as these entities will be entrusted with upholding the network's security protocols and ensuring the confidentiality and integrity of the data stored within the blockchain.</w:t>
      </w:r>
    </w:p>
    <w:p w14:paraId="00317466" w14:textId="77777777" w:rsidR="006276B4" w:rsidRDefault="006276B4" w:rsidP="006276B4">
      <w:r>
        <w:t>The distribution of nodes is equally important, as it impacts the network's fault tolerance and accessibility. A well-distributed node structure enhances the blockchain's resilience, ensuring that the network remains operational even if some nodes fail or are compromised. Furthermore, by involving a diverse array of government bodies and international organizations in node management, the project can leverage their collective expertise and resources, thereby enhancing the network's robustness and credibility.</w:t>
      </w:r>
    </w:p>
    <w:p w14:paraId="1B3BCFF9" w14:textId="77777777" w:rsidR="006276B4" w:rsidRDefault="006276B4" w:rsidP="006276B4">
      <w:r>
        <w:t>In essence, the strategic planning of node distribution and management is vital for the success of a blockchain project aimed at eliminating sextortion in public service delivery. By carefully selecting trusted entities to manage nodes and ensuring a broad and balanced distribution, the project can achieve its goals of transparency, security, and accountability. This approach not only strengthens the blockchain network's infrastructure but also fosters a collaborative environment where government bodies and international organizations can work together effectively to address the pervasive issue of sextortion.</w:t>
      </w:r>
    </w:p>
    <w:p w14:paraId="0C841ECF" w14:textId="49E61837" w:rsidR="00DE1EFE" w:rsidRDefault="00DE1EFE" w:rsidP="006276B4">
      <w:r>
        <w:t>Given the project's focus on collaboration with government bodies and the involvement of NGOs and international organizations, a strategic approach to node distribution and management is paramount. This approach must balance the need for security and privacy with the imperative for transparency and inclusivity.</w:t>
      </w:r>
    </w:p>
    <w:p w14:paraId="36822CCC" w14:textId="7BC49717" w:rsidR="00DE1EFE" w:rsidRPr="008A0041" w:rsidRDefault="00DE1EFE" w:rsidP="008A0041">
      <w:pPr>
        <w:pStyle w:val="Heading3"/>
      </w:pPr>
      <w:r w:rsidRPr="008A0041">
        <w:t>Government-led Node Management</w:t>
      </w:r>
    </w:p>
    <w:p w14:paraId="3AFD62B4" w14:textId="77777777" w:rsidR="00DE1EFE" w:rsidRDefault="00DE1EFE" w:rsidP="00DE1EFE">
      <w:pPr>
        <w:ind w:left="708" w:firstLine="12"/>
      </w:pPr>
      <w:r>
        <w:t>- Nodes within the blockchain network will primarily be managed by trusted government bodies, including agencies from the executive and judiciary branches. This arrangement underscores the government's central role in enforcing laws, investigating sextortion cases, and ensuring public service integrity.</w:t>
      </w:r>
    </w:p>
    <w:p w14:paraId="25C07001" w14:textId="77777777" w:rsidR="00DE1EFE" w:rsidRDefault="00DE1EFE" w:rsidP="00DE1EFE">
      <w:pPr>
        <w:ind w:left="708" w:firstLine="12"/>
      </w:pPr>
      <w:r>
        <w:t>- Government-managed nodes will serve as authoritative sources for validating transactions and maintaining the blockchain ledger. Their involvement ensures that data pertaining to sextortion cases is handled with the utmost security and confidentiality, aligning with legal and procedural standards.</w:t>
      </w:r>
    </w:p>
    <w:p w14:paraId="62959D52" w14:textId="77777777" w:rsidR="00DE1EFE" w:rsidRDefault="00DE1EFE" w:rsidP="00DE1EFE">
      <w:pPr>
        <w:ind w:left="708" w:firstLine="12"/>
      </w:pPr>
      <w:r>
        <w:lastRenderedPageBreak/>
        <w:t>- In addition to maintaining the blockchain, these nodes will facilitate real-time access to data for authorized entities, aiding in the swift and effective resolution of sextortion cases.</w:t>
      </w:r>
    </w:p>
    <w:p w14:paraId="2DEE0D42" w14:textId="4E796256" w:rsidR="00DE1EFE" w:rsidRPr="00DE1EFE" w:rsidRDefault="00DE1EFE" w:rsidP="008A0041">
      <w:pPr>
        <w:pStyle w:val="Heading3"/>
      </w:pPr>
      <w:r w:rsidRPr="00DE1EFE">
        <w:t>Inclusion of NGOs and International Organizations</w:t>
      </w:r>
    </w:p>
    <w:p w14:paraId="207F5985" w14:textId="77777777" w:rsidR="00DE1EFE" w:rsidRDefault="00DE1EFE" w:rsidP="00DE1EFE">
      <w:pPr>
        <w:ind w:left="708" w:firstLine="12"/>
      </w:pPr>
      <w:r>
        <w:t>- While primary node management responsibilities reside with government bodies, the architecture will also incorporate nodes operated by selected NGOs and international organizations. These nodes will function under a differentiated access model, primarily focused on analytics and reporting, without compromising the confidentiality of sensitive case information.</w:t>
      </w:r>
    </w:p>
    <w:p w14:paraId="509A142A" w14:textId="77777777" w:rsidR="00DE1EFE" w:rsidRDefault="00DE1EFE" w:rsidP="00DE1EFE">
      <w:pPr>
        <w:ind w:left="708" w:firstLine="12"/>
      </w:pPr>
      <w:r>
        <w:t>- This inclusion ensures a multi-faceted approach to combating sextortion, bringing together the strengths and perspectives of various stakeholders. It enhances the network's resilience and trustworthiness by distributing control and preventing any single entity's dominance.</w:t>
      </w:r>
    </w:p>
    <w:p w14:paraId="3E325667" w14:textId="710C2694" w:rsidR="00DE1EFE" w:rsidRPr="00DE1EFE" w:rsidRDefault="00DE1EFE" w:rsidP="008A0041">
      <w:pPr>
        <w:pStyle w:val="Heading3"/>
      </w:pPr>
      <w:r w:rsidRPr="00DE1EFE">
        <w:t>Strategic Distribution for Resilience and Efficiency</w:t>
      </w:r>
    </w:p>
    <w:p w14:paraId="2C29750D" w14:textId="77777777" w:rsidR="00DE1EFE" w:rsidRDefault="00DE1EFE" w:rsidP="00DE1EFE">
      <w:pPr>
        <w:ind w:left="708" w:firstLine="12"/>
      </w:pPr>
      <w:r>
        <w:t>- The distribution of nodes will be geographically and institutionally strategic to ensure network resilience against attacks and failures. It will also consider the need for efficient transaction validation and data access across different jurisdictions.</w:t>
      </w:r>
    </w:p>
    <w:p w14:paraId="4D7C4013" w14:textId="77777777" w:rsidR="00DE1EFE" w:rsidRDefault="00DE1EFE" w:rsidP="00DE1EFE">
      <w:pPr>
        <w:ind w:left="708" w:firstLine="12"/>
      </w:pPr>
      <w:r>
        <w:t>- The network will implement robust protocols for node communication and data sharing, ensuring consistency and integrity across the ledger, even in a distributed management model.</w:t>
      </w:r>
    </w:p>
    <w:p w14:paraId="169E4E9F" w14:textId="66C86415" w:rsidR="00DE1EFE" w:rsidRPr="00A50D9A" w:rsidRDefault="00DE1EFE" w:rsidP="008A0041">
      <w:pPr>
        <w:pStyle w:val="Heading3"/>
      </w:pPr>
      <w:r w:rsidRPr="00A50D9A">
        <w:t>Governance and Oversight</w:t>
      </w:r>
    </w:p>
    <w:p w14:paraId="523ADAEA" w14:textId="77777777" w:rsidR="00DE1EFE" w:rsidRDefault="00DE1EFE" w:rsidP="00DE1EFE">
      <w:pPr>
        <w:ind w:left="708" w:firstLine="12"/>
      </w:pPr>
      <w:r>
        <w:t>- A governance model will be established to oversee the operation, maintenance, and evolution of the node structure. This model will involve representatives from the government, NGOs, and international organizations, ensuring a collaborative approach to network governance.</w:t>
      </w:r>
    </w:p>
    <w:p w14:paraId="36ED22D8" w14:textId="77777777" w:rsidR="00DE1EFE" w:rsidRDefault="00DE1EFE" w:rsidP="00DE1EFE">
      <w:pPr>
        <w:ind w:left="708" w:firstLine="12"/>
      </w:pPr>
      <w:r>
        <w:t>- Policies and procedures for node operation, data access, and security will be clearly defined and enforced, with mechanisms for auditing and accountability to maintain trust among all participants.</w:t>
      </w:r>
    </w:p>
    <w:p w14:paraId="48E593F3" w14:textId="77777777" w:rsidR="008A0041" w:rsidRDefault="008A0041" w:rsidP="00DE1EFE"/>
    <w:p w14:paraId="10A1A45B" w14:textId="69FDCE70" w:rsidR="00DE1EFE" w:rsidRDefault="00DE1EFE" w:rsidP="00DE1EFE">
      <w:r>
        <w:t xml:space="preserve">The proposed node structure is designed to leverage the strengths of government bodies, NGOs, and international organizations in a synergistic manner. It aims to create a </w:t>
      </w:r>
      <w:r>
        <w:lastRenderedPageBreak/>
        <w:t>blockchain network that is not only robust and secure but also transparent and accountable. By carefully planning the distribution and management of nodes, the project lays a solid foundation for utilizing blockchain technology to combat sextortion, ensuring that public service delivery is free from corruption and abuse.</w:t>
      </w:r>
    </w:p>
    <w:p w14:paraId="72E3475B" w14:textId="0EBDD9B8" w:rsidR="00C43927" w:rsidRPr="00BF5E24" w:rsidRDefault="00C43927" w:rsidP="00C43927">
      <w:pPr>
        <w:pStyle w:val="Caption"/>
        <w:keepNext/>
        <w:rPr>
          <w:sz w:val="20"/>
          <w:szCs w:val="20"/>
        </w:rPr>
      </w:pPr>
      <w:r w:rsidRPr="00BF5E24">
        <w:rPr>
          <w:sz w:val="20"/>
          <w:szCs w:val="20"/>
        </w:rPr>
        <w:t xml:space="preserve">Table </w:t>
      </w:r>
      <w:r w:rsidRPr="00BF5E24">
        <w:rPr>
          <w:sz w:val="20"/>
          <w:szCs w:val="20"/>
        </w:rPr>
        <w:fldChar w:fldCharType="begin"/>
      </w:r>
      <w:r w:rsidRPr="00BF5E24">
        <w:rPr>
          <w:sz w:val="20"/>
          <w:szCs w:val="20"/>
        </w:rPr>
        <w:instrText xml:space="preserve"> SEQ Table \* ARABIC </w:instrText>
      </w:r>
      <w:r w:rsidRPr="00BF5E24">
        <w:rPr>
          <w:sz w:val="20"/>
          <w:szCs w:val="20"/>
        </w:rPr>
        <w:fldChar w:fldCharType="separate"/>
      </w:r>
      <w:r w:rsidRPr="00BF5E24">
        <w:rPr>
          <w:noProof/>
          <w:sz w:val="20"/>
          <w:szCs w:val="20"/>
        </w:rPr>
        <w:t>1</w:t>
      </w:r>
      <w:r w:rsidRPr="00BF5E24">
        <w:rPr>
          <w:sz w:val="20"/>
          <w:szCs w:val="20"/>
        </w:rPr>
        <w:fldChar w:fldCharType="end"/>
      </w:r>
      <w:r w:rsidRPr="00BF5E24">
        <w:rPr>
          <w:sz w:val="20"/>
          <w:szCs w:val="20"/>
        </w:rPr>
        <w:t>. Strategic Node Structure for Combating Sextortion in Public Service Delivery</w:t>
      </w:r>
    </w:p>
    <w:tbl>
      <w:tblPr>
        <w:tblStyle w:val="TableGrid0"/>
        <w:tblW w:w="0" w:type="auto"/>
        <w:tblLook w:val="04A0" w:firstRow="1" w:lastRow="0" w:firstColumn="1" w:lastColumn="0" w:noHBand="0" w:noVBand="1"/>
      </w:tblPr>
      <w:tblGrid>
        <w:gridCol w:w="2879"/>
        <w:gridCol w:w="6137"/>
      </w:tblGrid>
      <w:tr w:rsidR="007D1345" w:rsidRPr="007D1345" w14:paraId="396F067D" w14:textId="77777777" w:rsidTr="00C43927">
        <w:trPr>
          <w:trHeight w:val="300"/>
        </w:trPr>
        <w:tc>
          <w:tcPr>
            <w:tcW w:w="2879" w:type="dxa"/>
            <w:noWrap/>
            <w:hideMark/>
          </w:tcPr>
          <w:p w14:paraId="1059E1D7" w14:textId="68E43616" w:rsidR="007D1345" w:rsidRPr="007D1345" w:rsidRDefault="00E355D3" w:rsidP="007D1345">
            <w:pPr>
              <w:rPr>
                <w:b/>
                <w:bCs/>
                <w:lang w:val="pt-BR"/>
              </w:rPr>
            </w:pPr>
            <w:r>
              <w:rPr>
                <w:b/>
                <w:bCs/>
              </w:rPr>
              <w:t>Nodes</w:t>
            </w:r>
          </w:p>
        </w:tc>
        <w:tc>
          <w:tcPr>
            <w:tcW w:w="6137" w:type="dxa"/>
            <w:noWrap/>
            <w:hideMark/>
          </w:tcPr>
          <w:p w14:paraId="6339BF5C" w14:textId="77777777" w:rsidR="007D1345" w:rsidRPr="007D1345" w:rsidRDefault="007D1345">
            <w:pPr>
              <w:rPr>
                <w:b/>
                <w:bCs/>
              </w:rPr>
            </w:pPr>
            <w:r w:rsidRPr="007D1345">
              <w:rPr>
                <w:b/>
                <w:bCs/>
              </w:rPr>
              <w:t>Details</w:t>
            </w:r>
          </w:p>
        </w:tc>
      </w:tr>
      <w:tr w:rsidR="007D1345" w:rsidRPr="007D1345" w14:paraId="095AA385" w14:textId="77777777" w:rsidTr="00C43927">
        <w:trPr>
          <w:trHeight w:val="600"/>
        </w:trPr>
        <w:tc>
          <w:tcPr>
            <w:tcW w:w="2879" w:type="dxa"/>
            <w:noWrap/>
            <w:hideMark/>
          </w:tcPr>
          <w:p w14:paraId="7358A99F" w14:textId="77777777" w:rsidR="007D1345" w:rsidRPr="00E355D3" w:rsidRDefault="007D1345" w:rsidP="007D1345">
            <w:pPr>
              <w:ind w:firstLine="0"/>
              <w:rPr>
                <w:i/>
                <w:iCs/>
              </w:rPr>
            </w:pPr>
            <w:r w:rsidRPr="00E355D3">
              <w:rPr>
                <w:i/>
                <w:iCs/>
              </w:rPr>
              <w:t>Government-led Node Management</w:t>
            </w:r>
          </w:p>
        </w:tc>
        <w:tc>
          <w:tcPr>
            <w:tcW w:w="6137" w:type="dxa"/>
            <w:hideMark/>
          </w:tcPr>
          <w:p w14:paraId="6D511DD3" w14:textId="5E49096B" w:rsidR="007D1345" w:rsidRDefault="007D1345" w:rsidP="007D1345">
            <w:pPr>
              <w:ind w:firstLine="0"/>
            </w:pPr>
            <w:r>
              <w:t xml:space="preserve">- </w:t>
            </w:r>
            <w:r w:rsidRPr="007D1345">
              <w:t>Managed by trusted government bodies (executive, judiciary).</w:t>
            </w:r>
          </w:p>
          <w:p w14:paraId="542DBF2F" w14:textId="4BE43992" w:rsidR="007D1345" w:rsidRDefault="007D1345" w:rsidP="007D1345">
            <w:pPr>
              <w:ind w:firstLine="0"/>
            </w:pPr>
            <w:r>
              <w:t xml:space="preserve">- </w:t>
            </w:r>
            <w:r w:rsidRPr="007D1345">
              <w:t>Ensures data security and legal compliance.</w:t>
            </w:r>
          </w:p>
          <w:p w14:paraId="2B702C27" w14:textId="3B3D75E6" w:rsidR="007D1345" w:rsidRPr="007D1345" w:rsidRDefault="007D1345" w:rsidP="007D1345">
            <w:pPr>
              <w:ind w:firstLine="0"/>
            </w:pPr>
            <w:r>
              <w:t xml:space="preserve">- </w:t>
            </w:r>
            <w:r w:rsidRPr="007D1345">
              <w:t>Facilitates real-time access for swift case resolution.</w:t>
            </w:r>
          </w:p>
        </w:tc>
      </w:tr>
      <w:tr w:rsidR="007D1345" w:rsidRPr="007D1345" w14:paraId="12CE5554" w14:textId="77777777" w:rsidTr="00C43927">
        <w:trPr>
          <w:trHeight w:val="300"/>
        </w:trPr>
        <w:tc>
          <w:tcPr>
            <w:tcW w:w="2879" w:type="dxa"/>
            <w:noWrap/>
            <w:hideMark/>
          </w:tcPr>
          <w:p w14:paraId="753FE680" w14:textId="77777777" w:rsidR="007D1345" w:rsidRPr="00E355D3" w:rsidRDefault="007D1345" w:rsidP="007D1345">
            <w:pPr>
              <w:ind w:firstLine="0"/>
              <w:rPr>
                <w:i/>
                <w:iCs/>
              </w:rPr>
            </w:pPr>
            <w:r w:rsidRPr="00E355D3">
              <w:rPr>
                <w:i/>
                <w:iCs/>
              </w:rPr>
              <w:t>Inclusion of NGOs and International Organizations</w:t>
            </w:r>
          </w:p>
        </w:tc>
        <w:tc>
          <w:tcPr>
            <w:tcW w:w="6137" w:type="dxa"/>
            <w:hideMark/>
          </w:tcPr>
          <w:p w14:paraId="012686B2" w14:textId="77777777" w:rsidR="00E355D3" w:rsidRDefault="007D1345" w:rsidP="007D1345">
            <w:pPr>
              <w:ind w:firstLine="0"/>
            </w:pPr>
            <w:r>
              <w:t xml:space="preserve">- </w:t>
            </w:r>
            <w:r w:rsidRPr="007D1345">
              <w:t>Operate under differentiated access for analytics and reporting.</w:t>
            </w:r>
          </w:p>
          <w:p w14:paraId="2F7ABDC1" w14:textId="2B96ED0D" w:rsidR="007D1345" w:rsidRPr="007D1345" w:rsidRDefault="00E355D3" w:rsidP="007D1345">
            <w:pPr>
              <w:ind w:firstLine="0"/>
            </w:pPr>
            <w:r>
              <w:t xml:space="preserve">- </w:t>
            </w:r>
            <w:r w:rsidR="007D1345" w:rsidRPr="007D1345">
              <w:t>Enhances resilience, distributes control.</w:t>
            </w:r>
          </w:p>
        </w:tc>
      </w:tr>
      <w:tr w:rsidR="007D1345" w:rsidRPr="007D1345" w14:paraId="760CE104" w14:textId="77777777" w:rsidTr="00C43927">
        <w:trPr>
          <w:trHeight w:val="300"/>
        </w:trPr>
        <w:tc>
          <w:tcPr>
            <w:tcW w:w="2879" w:type="dxa"/>
            <w:noWrap/>
            <w:hideMark/>
          </w:tcPr>
          <w:p w14:paraId="10AC448C" w14:textId="77777777" w:rsidR="007D1345" w:rsidRPr="00E355D3" w:rsidRDefault="007D1345" w:rsidP="007D1345">
            <w:pPr>
              <w:ind w:firstLine="0"/>
              <w:rPr>
                <w:i/>
                <w:iCs/>
              </w:rPr>
            </w:pPr>
            <w:r w:rsidRPr="00E355D3">
              <w:rPr>
                <w:i/>
                <w:iCs/>
              </w:rPr>
              <w:t>Strategic Distribution for Resilience and Efficiency</w:t>
            </w:r>
          </w:p>
        </w:tc>
        <w:tc>
          <w:tcPr>
            <w:tcW w:w="6137" w:type="dxa"/>
            <w:hideMark/>
          </w:tcPr>
          <w:p w14:paraId="091415B6" w14:textId="77777777" w:rsidR="00E355D3" w:rsidRDefault="00E355D3" w:rsidP="007D1345">
            <w:pPr>
              <w:ind w:firstLine="0"/>
            </w:pPr>
            <w:r>
              <w:t xml:space="preserve">- </w:t>
            </w:r>
            <w:r w:rsidR="007D1345" w:rsidRPr="007D1345">
              <w:t>Geographically and institutionally strategic to ensure network resilience.</w:t>
            </w:r>
          </w:p>
          <w:p w14:paraId="3BCE57D9" w14:textId="06187414" w:rsidR="007D1345" w:rsidRPr="007D1345" w:rsidRDefault="00E355D3" w:rsidP="007D1345">
            <w:pPr>
              <w:ind w:firstLine="0"/>
            </w:pPr>
            <w:r>
              <w:t xml:space="preserve">- </w:t>
            </w:r>
            <w:r w:rsidR="007D1345" w:rsidRPr="007D1345">
              <w:t>Robust protocols for consistent and secure data sharing.</w:t>
            </w:r>
          </w:p>
        </w:tc>
      </w:tr>
      <w:tr w:rsidR="007D1345" w:rsidRPr="007D1345" w14:paraId="6330491E" w14:textId="77777777" w:rsidTr="00C43927">
        <w:trPr>
          <w:trHeight w:val="600"/>
        </w:trPr>
        <w:tc>
          <w:tcPr>
            <w:tcW w:w="2879" w:type="dxa"/>
            <w:noWrap/>
            <w:hideMark/>
          </w:tcPr>
          <w:p w14:paraId="672157B4" w14:textId="77777777" w:rsidR="007D1345" w:rsidRPr="00E355D3" w:rsidRDefault="007D1345" w:rsidP="007D1345">
            <w:pPr>
              <w:ind w:firstLine="0"/>
              <w:rPr>
                <w:i/>
                <w:iCs/>
              </w:rPr>
            </w:pPr>
            <w:r w:rsidRPr="00E355D3">
              <w:rPr>
                <w:i/>
                <w:iCs/>
              </w:rPr>
              <w:t>Governance and Oversight</w:t>
            </w:r>
          </w:p>
        </w:tc>
        <w:tc>
          <w:tcPr>
            <w:tcW w:w="6137" w:type="dxa"/>
            <w:hideMark/>
          </w:tcPr>
          <w:p w14:paraId="5A954711" w14:textId="77777777" w:rsidR="00E355D3" w:rsidRDefault="00E355D3" w:rsidP="007D1345">
            <w:pPr>
              <w:ind w:firstLine="0"/>
            </w:pPr>
            <w:r>
              <w:t xml:space="preserve">- </w:t>
            </w:r>
            <w:r w:rsidR="007D1345" w:rsidRPr="007D1345">
              <w:t>Collaborative governance model involving government, NGOs, international organizations.</w:t>
            </w:r>
          </w:p>
          <w:p w14:paraId="052E7AF9" w14:textId="06A87549" w:rsidR="007D1345" w:rsidRPr="007D1345" w:rsidRDefault="00E355D3" w:rsidP="007D1345">
            <w:pPr>
              <w:ind w:firstLine="0"/>
            </w:pPr>
            <w:r>
              <w:t xml:space="preserve">- </w:t>
            </w:r>
            <w:r w:rsidR="007D1345" w:rsidRPr="007D1345">
              <w:t>Clear policies for operation, data access, security, with auditing and accountability mechanisms.</w:t>
            </w:r>
          </w:p>
        </w:tc>
      </w:tr>
    </w:tbl>
    <w:p w14:paraId="6B0892F9" w14:textId="490B6AF6" w:rsidR="005B1BAD" w:rsidRDefault="00022D06" w:rsidP="00022D06">
      <w:pPr>
        <w:pStyle w:val="Heading1"/>
      </w:pPr>
      <w:r>
        <w:t xml:space="preserve">Coin: </w:t>
      </w:r>
      <w:proofErr w:type="spellStart"/>
      <w:r>
        <w:t>SextortionCoin</w:t>
      </w:r>
      <w:proofErr w:type="spellEnd"/>
    </w:p>
    <w:p w14:paraId="1CA6B75D" w14:textId="77777777" w:rsidR="00116190" w:rsidRPr="00116190" w:rsidRDefault="00116190" w:rsidP="00116190">
      <w:pPr>
        <w:pStyle w:val="Heading2"/>
      </w:pPr>
      <w:r w:rsidRPr="00116190">
        <w:t>Key Features and Implementation Details:</w:t>
      </w:r>
    </w:p>
    <w:p w14:paraId="42D53BB5" w14:textId="77777777" w:rsidR="00116190" w:rsidRDefault="00116190" w:rsidP="00116190">
      <w:r w:rsidRPr="00116190">
        <w:rPr>
          <w:b/>
          <w:bCs/>
        </w:rPr>
        <w:t>ERC20 and ERC20Burnable:</w:t>
      </w:r>
      <w:r>
        <w:t xml:space="preserve"> Inherits from </w:t>
      </w:r>
      <w:proofErr w:type="spellStart"/>
      <w:r>
        <w:t>OpenZeppelin's</w:t>
      </w:r>
      <w:proofErr w:type="spellEnd"/>
      <w:r>
        <w:t xml:space="preserve"> ERC20 standard implementation, adding a burnable feature for tokens to potentially control supply and value.</w:t>
      </w:r>
    </w:p>
    <w:p w14:paraId="53965582" w14:textId="77777777" w:rsidR="00116190" w:rsidRDefault="00116190" w:rsidP="00116190">
      <w:proofErr w:type="spellStart"/>
      <w:r w:rsidRPr="00116190">
        <w:rPr>
          <w:b/>
          <w:bCs/>
        </w:rPr>
        <w:t>Pausable</w:t>
      </w:r>
      <w:proofErr w:type="spellEnd"/>
      <w:r w:rsidRPr="00116190">
        <w:rPr>
          <w:b/>
          <w:bCs/>
        </w:rPr>
        <w:t xml:space="preserve">: </w:t>
      </w:r>
      <w:r>
        <w:t xml:space="preserve">Integrates the </w:t>
      </w:r>
      <w:proofErr w:type="spellStart"/>
      <w:r>
        <w:t>pausability</w:t>
      </w:r>
      <w:proofErr w:type="spellEnd"/>
      <w:r>
        <w:t xml:space="preserve"> feature, allowing token transfers to be paused in case of a security emergency. This is crucial for mitigating damage from potential attacks or vulnerabilities.</w:t>
      </w:r>
    </w:p>
    <w:p w14:paraId="4E499869" w14:textId="77777777" w:rsidR="00116190" w:rsidRDefault="00116190" w:rsidP="00116190">
      <w:proofErr w:type="spellStart"/>
      <w:r w:rsidRPr="00116190">
        <w:rPr>
          <w:b/>
          <w:bCs/>
        </w:rPr>
        <w:t>AccessControl</w:t>
      </w:r>
      <w:proofErr w:type="spellEnd"/>
      <w:r w:rsidRPr="00116190">
        <w:rPr>
          <w:b/>
          <w:bCs/>
        </w:rPr>
        <w:t>:</w:t>
      </w:r>
      <w:r>
        <w:t xml:space="preserve"> Utilizes </w:t>
      </w:r>
      <w:proofErr w:type="spellStart"/>
      <w:r>
        <w:t>OpenZeppelin's</w:t>
      </w:r>
      <w:proofErr w:type="spellEnd"/>
      <w:r>
        <w:t xml:space="preserve"> </w:t>
      </w:r>
      <w:proofErr w:type="spellStart"/>
      <w:r>
        <w:t>AccessControl</w:t>
      </w:r>
      <w:proofErr w:type="spellEnd"/>
      <w:r>
        <w:t xml:space="preserve"> for flexible role-based permission management. Specific roles like PAUSER_ROLE and REWARDER_ROLE are defined for pausing the contract and distributing rewards, respectively.</w:t>
      </w:r>
    </w:p>
    <w:p w14:paraId="6AE3697D" w14:textId="77777777" w:rsidR="00116190" w:rsidRDefault="00116190" w:rsidP="00116190">
      <w:r w:rsidRPr="00116190">
        <w:rPr>
          <w:b/>
          <w:bCs/>
        </w:rPr>
        <w:lastRenderedPageBreak/>
        <w:t xml:space="preserve">Pause and </w:t>
      </w:r>
      <w:proofErr w:type="spellStart"/>
      <w:r w:rsidRPr="00116190">
        <w:rPr>
          <w:b/>
          <w:bCs/>
        </w:rPr>
        <w:t>Unpause</w:t>
      </w:r>
      <w:proofErr w:type="spellEnd"/>
      <w:r w:rsidRPr="00116190">
        <w:rPr>
          <w:b/>
          <w:bCs/>
        </w:rPr>
        <w:t xml:space="preserve"> Functions:</w:t>
      </w:r>
      <w:r>
        <w:t xml:space="preserve"> Controlled by PAUSER_ROLE, these functions enable or disable token transfers, adding a layer of security.</w:t>
      </w:r>
    </w:p>
    <w:p w14:paraId="5088DAEC" w14:textId="77777777" w:rsidR="00116190" w:rsidRDefault="00116190" w:rsidP="00116190">
      <w:r w:rsidRPr="00116190">
        <w:rPr>
          <w:b/>
          <w:bCs/>
        </w:rPr>
        <w:t>Reward Function:</w:t>
      </w:r>
      <w:r>
        <w:t xml:space="preserve"> Allows accounts with REWARDER_ROLE to mint new tokens to users as rewards, supporting the app's incentive mechanisms.</w:t>
      </w:r>
    </w:p>
    <w:p w14:paraId="1140FB08" w14:textId="77777777" w:rsidR="00116190" w:rsidRDefault="00116190" w:rsidP="00116190">
      <w:r w:rsidRPr="00116190">
        <w:rPr>
          <w:b/>
          <w:bCs/>
        </w:rPr>
        <w:t xml:space="preserve">Transfer and </w:t>
      </w:r>
      <w:proofErr w:type="spellStart"/>
      <w:r w:rsidRPr="00116190">
        <w:rPr>
          <w:b/>
          <w:bCs/>
        </w:rPr>
        <w:t>TransferFrom</w:t>
      </w:r>
      <w:proofErr w:type="spellEnd"/>
      <w:r w:rsidRPr="00116190">
        <w:rPr>
          <w:b/>
          <w:bCs/>
        </w:rPr>
        <w:t xml:space="preserve"> Overrides:</w:t>
      </w:r>
      <w:r>
        <w:t xml:space="preserve"> Enforces the check for the contract's paused state before allowing token transfers, ensuring that no transfers can occur while the contract is paused.</w:t>
      </w:r>
    </w:p>
    <w:p w14:paraId="48EB0A6C" w14:textId="77777777" w:rsidR="00116190" w:rsidRDefault="00116190" w:rsidP="00116190">
      <w:r w:rsidRPr="00116190">
        <w:rPr>
          <w:b/>
          <w:bCs/>
        </w:rPr>
        <w:t>Anti-Whale Measures:</w:t>
      </w:r>
      <w:r>
        <w:t xml:space="preserve"> While not explicitly implemented in this template, an anti-whale mechanism can be added by modifying the transfer and </w:t>
      </w:r>
      <w:proofErr w:type="spellStart"/>
      <w:r>
        <w:t>transferFrom</w:t>
      </w:r>
      <w:proofErr w:type="spellEnd"/>
      <w:r>
        <w:t xml:space="preserve"> functions to limit the maximum amount of tokens that can be transferred in a single transaction or within a certain timeframe.</w:t>
      </w:r>
    </w:p>
    <w:p w14:paraId="3BDF6868" w14:textId="7F7779BD" w:rsidR="00022D06" w:rsidRPr="00022D06" w:rsidRDefault="00116190" w:rsidP="00116190">
      <w:r w:rsidRPr="00116190">
        <w:rPr>
          <w:b/>
          <w:bCs/>
        </w:rPr>
        <w:t>Enhanced Security:</w:t>
      </w:r>
      <w:r>
        <w:t xml:space="preserve"> For critical actions like minting or role management, consider implementing multi-signature requirements or additional checks to ensure only authorized actions are executed</w:t>
      </w:r>
    </w:p>
    <w:sectPr w:rsidR="00022D06" w:rsidRPr="00022D0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28D"/>
    <w:multiLevelType w:val="hybridMultilevel"/>
    <w:tmpl w:val="6B32ECEA"/>
    <w:lvl w:ilvl="0" w:tplc="797CFEC2">
      <w:start w:val="1"/>
      <w:numFmt w:val="decimal"/>
      <w:lvlText w:val="%1."/>
      <w:lvlJc w:val="left"/>
      <w:pPr>
        <w:ind w:left="720" w:hanging="360"/>
      </w:pPr>
    </w:lvl>
    <w:lvl w:ilvl="1" w:tplc="04160019">
      <w:start w:val="1"/>
      <w:numFmt w:val="lowerLetter"/>
      <w:lvlText w:val="%2."/>
      <w:lvlJc w:val="left"/>
      <w:pPr>
        <w:ind w:left="720" w:hanging="360"/>
      </w:pPr>
    </w:lvl>
    <w:lvl w:ilvl="2" w:tplc="0416001B" w:tentative="1">
      <w:start w:val="1"/>
      <w:numFmt w:val="lowerRoman"/>
      <w:lvlText w:val="%3."/>
      <w:lvlJc w:val="right"/>
      <w:pPr>
        <w:ind w:left="1440" w:hanging="180"/>
      </w:pPr>
    </w:lvl>
    <w:lvl w:ilvl="3" w:tplc="0416000F" w:tentative="1">
      <w:start w:val="1"/>
      <w:numFmt w:val="decimal"/>
      <w:lvlText w:val="%4."/>
      <w:lvlJc w:val="left"/>
      <w:pPr>
        <w:ind w:left="2160" w:hanging="360"/>
      </w:pPr>
    </w:lvl>
    <w:lvl w:ilvl="4" w:tplc="04160019" w:tentative="1">
      <w:start w:val="1"/>
      <w:numFmt w:val="lowerLetter"/>
      <w:lvlText w:val="%5."/>
      <w:lvlJc w:val="left"/>
      <w:pPr>
        <w:ind w:left="2880" w:hanging="360"/>
      </w:pPr>
    </w:lvl>
    <w:lvl w:ilvl="5" w:tplc="0416001B" w:tentative="1">
      <w:start w:val="1"/>
      <w:numFmt w:val="lowerRoman"/>
      <w:lvlText w:val="%6."/>
      <w:lvlJc w:val="right"/>
      <w:pPr>
        <w:ind w:left="3600" w:hanging="180"/>
      </w:pPr>
    </w:lvl>
    <w:lvl w:ilvl="6" w:tplc="0416000F" w:tentative="1">
      <w:start w:val="1"/>
      <w:numFmt w:val="decimal"/>
      <w:lvlText w:val="%7."/>
      <w:lvlJc w:val="left"/>
      <w:pPr>
        <w:ind w:left="4320" w:hanging="360"/>
      </w:pPr>
    </w:lvl>
    <w:lvl w:ilvl="7" w:tplc="04160019" w:tentative="1">
      <w:start w:val="1"/>
      <w:numFmt w:val="lowerLetter"/>
      <w:lvlText w:val="%8."/>
      <w:lvlJc w:val="left"/>
      <w:pPr>
        <w:ind w:left="5040" w:hanging="360"/>
      </w:pPr>
    </w:lvl>
    <w:lvl w:ilvl="8" w:tplc="0416001B" w:tentative="1">
      <w:start w:val="1"/>
      <w:numFmt w:val="lowerRoman"/>
      <w:lvlText w:val="%9."/>
      <w:lvlJc w:val="right"/>
      <w:pPr>
        <w:ind w:left="5760" w:hanging="180"/>
      </w:pPr>
    </w:lvl>
  </w:abstractNum>
  <w:abstractNum w:abstractNumId="1" w15:restartNumberingAfterBreak="0">
    <w:nsid w:val="22D874C4"/>
    <w:multiLevelType w:val="hybridMultilevel"/>
    <w:tmpl w:val="F0966B3C"/>
    <w:lvl w:ilvl="0" w:tplc="77E06868">
      <w:start w:val="1"/>
      <w:numFmt w:val="bullet"/>
      <w:pStyle w:val="Heading3"/>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2E9533CC"/>
    <w:multiLevelType w:val="hybridMultilevel"/>
    <w:tmpl w:val="90E62F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BA73CB5"/>
    <w:multiLevelType w:val="hybridMultilevel"/>
    <w:tmpl w:val="53BCB1EE"/>
    <w:lvl w:ilvl="0" w:tplc="797CFEC2">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3FF6792C"/>
    <w:multiLevelType w:val="hybridMultilevel"/>
    <w:tmpl w:val="ADEA5950"/>
    <w:lvl w:ilvl="0" w:tplc="ED6E4F2C">
      <w:start w:val="1"/>
      <w:numFmt w:val="bullet"/>
      <w:pStyle w:val="Heading2"/>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4E072B69"/>
    <w:multiLevelType w:val="hybridMultilevel"/>
    <w:tmpl w:val="7A06A3A8"/>
    <w:lvl w:ilvl="0" w:tplc="EA1259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45237798">
    <w:abstractNumId w:val="5"/>
  </w:num>
  <w:num w:numId="2" w16cid:durableId="551309652">
    <w:abstractNumId w:val="4"/>
  </w:num>
  <w:num w:numId="3" w16cid:durableId="2139183891">
    <w:abstractNumId w:val="1"/>
  </w:num>
  <w:num w:numId="4" w16cid:durableId="1093237699">
    <w:abstractNumId w:val="3"/>
  </w:num>
  <w:num w:numId="5" w16cid:durableId="2010523596">
    <w:abstractNumId w:val="0"/>
  </w:num>
  <w:num w:numId="6" w16cid:durableId="1943881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5A"/>
    <w:rsid w:val="00022D06"/>
    <w:rsid w:val="00116190"/>
    <w:rsid w:val="0024774D"/>
    <w:rsid w:val="002D5C9D"/>
    <w:rsid w:val="00364CA2"/>
    <w:rsid w:val="003D3B12"/>
    <w:rsid w:val="00455FBB"/>
    <w:rsid w:val="004D2372"/>
    <w:rsid w:val="005711AA"/>
    <w:rsid w:val="005B1BAD"/>
    <w:rsid w:val="006276B4"/>
    <w:rsid w:val="006820E1"/>
    <w:rsid w:val="007D1345"/>
    <w:rsid w:val="00803762"/>
    <w:rsid w:val="008A0041"/>
    <w:rsid w:val="008B00DE"/>
    <w:rsid w:val="009524EA"/>
    <w:rsid w:val="009537CB"/>
    <w:rsid w:val="00A50D9A"/>
    <w:rsid w:val="00AC0AFA"/>
    <w:rsid w:val="00AE51E9"/>
    <w:rsid w:val="00AF445A"/>
    <w:rsid w:val="00B745DB"/>
    <w:rsid w:val="00B8103F"/>
    <w:rsid w:val="00BA0A0E"/>
    <w:rsid w:val="00BF5E24"/>
    <w:rsid w:val="00C43927"/>
    <w:rsid w:val="00C8699A"/>
    <w:rsid w:val="00D066BE"/>
    <w:rsid w:val="00DE1EFE"/>
    <w:rsid w:val="00E355D3"/>
    <w:rsid w:val="00E357A0"/>
    <w:rsid w:val="00F058F7"/>
    <w:rsid w:val="00FE735C"/>
    <w:rsid w:val="00FE78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8D1B"/>
  <w15:chartTrackingRefBased/>
  <w15:docId w15:val="{BCD0FC79-92E8-462B-BB6D-5A86FAF6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0DE"/>
    <w:pPr>
      <w:spacing w:before="240" w:after="240" w:line="360" w:lineRule="auto"/>
      <w:ind w:firstLine="720"/>
      <w:contextualSpacing/>
    </w:pPr>
    <w:rPr>
      <w:rFonts w:ascii="Times New Roman" w:hAnsi="Times New Roman"/>
      <w:sz w:val="24"/>
      <w:szCs w:val="24"/>
      <w:lang w:val="en-US"/>
    </w:rPr>
  </w:style>
  <w:style w:type="paragraph" w:styleId="Heading1">
    <w:name w:val="heading 1"/>
    <w:basedOn w:val="Normal"/>
    <w:next w:val="Normal"/>
    <w:link w:val="Heading1Char"/>
    <w:uiPriority w:val="9"/>
    <w:qFormat/>
    <w:rsid w:val="00A50D9A"/>
    <w:pPr>
      <w:spacing w:before="480"/>
      <w:ind w:firstLine="0"/>
      <w:outlineLvl w:val="0"/>
    </w:pPr>
    <w:rPr>
      <w:rFonts w:cs="Times New Roman"/>
      <w:b/>
      <w:bCs/>
      <w:sz w:val="28"/>
      <w:szCs w:val="28"/>
    </w:rPr>
  </w:style>
  <w:style w:type="paragraph" w:styleId="Heading2">
    <w:name w:val="heading 2"/>
    <w:next w:val="Normal"/>
    <w:link w:val="Heading2Char"/>
    <w:uiPriority w:val="9"/>
    <w:unhideWhenUsed/>
    <w:qFormat/>
    <w:rsid w:val="00A50D9A"/>
    <w:pPr>
      <w:keepNext/>
      <w:keepLines/>
      <w:numPr>
        <w:numId w:val="2"/>
      </w:numPr>
      <w:spacing w:before="240" w:after="240" w:line="240" w:lineRule="auto"/>
      <w:ind w:left="720" w:right="58"/>
      <w:outlineLvl w:val="1"/>
    </w:pPr>
    <w:rPr>
      <w:rFonts w:ascii="Times New Roman" w:eastAsia="Times New Roman" w:hAnsi="Times New Roman" w:cs="Times New Roman"/>
      <w:i/>
      <w:color w:val="000000"/>
      <w:sz w:val="26"/>
      <w:szCs w:val="26"/>
      <w:lang w:val="en-US" w:eastAsia="pt-BR"/>
    </w:rPr>
  </w:style>
  <w:style w:type="paragraph" w:styleId="Heading3">
    <w:name w:val="heading 3"/>
    <w:basedOn w:val="Normal"/>
    <w:next w:val="Normal"/>
    <w:link w:val="Heading3Char"/>
    <w:uiPriority w:val="9"/>
    <w:unhideWhenUsed/>
    <w:qFormat/>
    <w:rsid w:val="008A0041"/>
    <w:pPr>
      <w:keepNext/>
      <w:keepLines/>
      <w:numPr>
        <w:numId w:val="3"/>
      </w:numPr>
      <w:spacing w:before="0" w:after="0" w:line="240" w:lineRule="auto"/>
      <w:ind w:left="1080"/>
      <w:outlineLvl w:val="2"/>
    </w:pPr>
    <w:rPr>
      <w:rFonts w:eastAsiaTheme="majorEastAsia"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058F7"/>
    <w:pPr>
      <w:spacing w:after="0" w:line="240" w:lineRule="auto"/>
    </w:pPr>
    <w:rPr>
      <w:rFonts w:eastAsiaTheme="minorEastAsia"/>
      <w:lang w:eastAsia="pt-BR"/>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50D9A"/>
    <w:rPr>
      <w:rFonts w:ascii="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A50D9A"/>
    <w:rPr>
      <w:rFonts w:ascii="Times New Roman" w:eastAsia="Times New Roman" w:hAnsi="Times New Roman" w:cs="Times New Roman"/>
      <w:i/>
      <w:color w:val="000000"/>
      <w:sz w:val="26"/>
      <w:szCs w:val="26"/>
      <w:lang w:val="en-US" w:eastAsia="pt-BR"/>
    </w:rPr>
  </w:style>
  <w:style w:type="character" w:customStyle="1" w:styleId="Heading3Char">
    <w:name w:val="Heading 3 Char"/>
    <w:basedOn w:val="DefaultParagraphFont"/>
    <w:link w:val="Heading3"/>
    <w:uiPriority w:val="9"/>
    <w:rsid w:val="008A0041"/>
    <w:rPr>
      <w:rFonts w:ascii="Times New Roman" w:eastAsiaTheme="majorEastAsia" w:hAnsi="Times New Roman" w:cs="Times New Roman"/>
      <w:b/>
      <w:bCs/>
      <w:sz w:val="24"/>
      <w:szCs w:val="24"/>
      <w:lang w:val="en-US"/>
    </w:rPr>
  </w:style>
  <w:style w:type="paragraph" w:styleId="FootnoteText">
    <w:name w:val="footnote text"/>
    <w:basedOn w:val="Normal"/>
    <w:link w:val="FootnoteTextChar"/>
    <w:uiPriority w:val="99"/>
    <w:semiHidden/>
    <w:unhideWhenUsed/>
    <w:rsid w:val="00F058F7"/>
    <w:pPr>
      <w:spacing w:line="240" w:lineRule="auto"/>
      <w:ind w:firstLine="0"/>
    </w:pPr>
    <w:rPr>
      <w:rFonts w:cs="Times New Roman"/>
      <w:sz w:val="20"/>
      <w:szCs w:val="20"/>
    </w:rPr>
  </w:style>
  <w:style w:type="character" w:customStyle="1" w:styleId="FootnoteTextChar">
    <w:name w:val="Footnote Text Char"/>
    <w:basedOn w:val="DefaultParagraphFont"/>
    <w:link w:val="FootnoteText"/>
    <w:uiPriority w:val="99"/>
    <w:semiHidden/>
    <w:rsid w:val="00F058F7"/>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F058F7"/>
    <w:rPr>
      <w:vertAlign w:val="superscript"/>
    </w:rPr>
  </w:style>
  <w:style w:type="paragraph" w:styleId="Quote">
    <w:name w:val="Quote"/>
    <w:aliases w:val="Citação Longa"/>
    <w:basedOn w:val="Normal"/>
    <w:next w:val="Normal"/>
    <w:link w:val="QuoteChar"/>
    <w:uiPriority w:val="29"/>
    <w:qFormat/>
    <w:rsid w:val="002D5C9D"/>
    <w:pPr>
      <w:spacing w:line="240" w:lineRule="auto"/>
      <w:ind w:left="2232"/>
      <w:jc w:val="both"/>
    </w:pPr>
    <w:rPr>
      <w:rFonts w:eastAsia="Times New Roman" w:cs="Times New Roman"/>
      <w:iCs/>
      <w:kern w:val="0"/>
      <w:sz w:val="20"/>
      <w:lang w:val="pt-BR"/>
      <w14:ligatures w14:val="none"/>
    </w:rPr>
  </w:style>
  <w:style w:type="character" w:customStyle="1" w:styleId="QuoteChar">
    <w:name w:val="Quote Char"/>
    <w:aliases w:val="Citação Longa Char"/>
    <w:basedOn w:val="DefaultParagraphFont"/>
    <w:link w:val="Quote"/>
    <w:uiPriority w:val="29"/>
    <w:rsid w:val="002D5C9D"/>
    <w:rPr>
      <w:rFonts w:ascii="Times New Roman" w:eastAsia="Times New Roman" w:hAnsi="Times New Roman" w:cs="Times New Roman"/>
      <w:iCs/>
      <w:kern w:val="0"/>
      <w:sz w:val="20"/>
      <w:szCs w:val="24"/>
      <w14:ligatures w14:val="none"/>
    </w:rPr>
  </w:style>
  <w:style w:type="paragraph" w:styleId="ListParagraph">
    <w:name w:val="List Paragraph"/>
    <w:basedOn w:val="Normal"/>
    <w:uiPriority w:val="34"/>
    <w:qFormat/>
    <w:rsid w:val="00A50D9A"/>
    <w:pPr>
      <w:ind w:left="720"/>
    </w:pPr>
  </w:style>
  <w:style w:type="table" w:styleId="TableGrid0">
    <w:name w:val="Table Grid"/>
    <w:basedOn w:val="TableNormal"/>
    <w:uiPriority w:val="39"/>
    <w:rsid w:val="007D1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3927"/>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3288">
      <w:bodyDiv w:val="1"/>
      <w:marLeft w:val="0"/>
      <w:marRight w:val="0"/>
      <w:marTop w:val="0"/>
      <w:marBottom w:val="0"/>
      <w:divBdr>
        <w:top w:val="none" w:sz="0" w:space="0" w:color="auto"/>
        <w:left w:val="none" w:sz="0" w:space="0" w:color="auto"/>
        <w:bottom w:val="none" w:sz="0" w:space="0" w:color="auto"/>
        <w:right w:val="none" w:sz="0" w:space="0" w:color="auto"/>
      </w:divBdr>
    </w:div>
    <w:div w:id="421492947">
      <w:bodyDiv w:val="1"/>
      <w:marLeft w:val="0"/>
      <w:marRight w:val="0"/>
      <w:marTop w:val="0"/>
      <w:marBottom w:val="0"/>
      <w:divBdr>
        <w:top w:val="none" w:sz="0" w:space="0" w:color="auto"/>
        <w:left w:val="none" w:sz="0" w:space="0" w:color="auto"/>
        <w:bottom w:val="none" w:sz="0" w:space="0" w:color="auto"/>
        <w:right w:val="none" w:sz="0" w:space="0" w:color="auto"/>
      </w:divBdr>
    </w:div>
    <w:div w:id="439568286">
      <w:bodyDiv w:val="1"/>
      <w:marLeft w:val="0"/>
      <w:marRight w:val="0"/>
      <w:marTop w:val="0"/>
      <w:marBottom w:val="0"/>
      <w:divBdr>
        <w:top w:val="none" w:sz="0" w:space="0" w:color="auto"/>
        <w:left w:val="none" w:sz="0" w:space="0" w:color="auto"/>
        <w:bottom w:val="none" w:sz="0" w:space="0" w:color="auto"/>
        <w:right w:val="none" w:sz="0" w:space="0" w:color="auto"/>
      </w:divBdr>
    </w:div>
    <w:div w:id="1572085395">
      <w:bodyDiv w:val="1"/>
      <w:marLeft w:val="0"/>
      <w:marRight w:val="0"/>
      <w:marTop w:val="0"/>
      <w:marBottom w:val="0"/>
      <w:divBdr>
        <w:top w:val="none" w:sz="0" w:space="0" w:color="auto"/>
        <w:left w:val="none" w:sz="0" w:space="0" w:color="auto"/>
        <w:bottom w:val="none" w:sz="0" w:space="0" w:color="auto"/>
        <w:right w:val="none" w:sz="0" w:space="0" w:color="auto"/>
      </w:divBdr>
    </w:div>
    <w:div w:id="1606110583">
      <w:bodyDiv w:val="1"/>
      <w:marLeft w:val="0"/>
      <w:marRight w:val="0"/>
      <w:marTop w:val="0"/>
      <w:marBottom w:val="0"/>
      <w:divBdr>
        <w:top w:val="none" w:sz="0" w:space="0" w:color="auto"/>
        <w:left w:val="none" w:sz="0" w:space="0" w:color="auto"/>
        <w:bottom w:val="none" w:sz="0" w:space="0" w:color="auto"/>
        <w:right w:val="none" w:sz="0" w:space="0" w:color="auto"/>
      </w:divBdr>
      <w:divsChild>
        <w:div w:id="1058358292">
          <w:marLeft w:val="0"/>
          <w:marRight w:val="0"/>
          <w:marTop w:val="0"/>
          <w:marBottom w:val="0"/>
          <w:divBdr>
            <w:top w:val="single" w:sz="2" w:space="0" w:color="E3E3E3"/>
            <w:left w:val="single" w:sz="2" w:space="0" w:color="E3E3E3"/>
            <w:bottom w:val="single" w:sz="2" w:space="0" w:color="E3E3E3"/>
            <w:right w:val="single" w:sz="2" w:space="0" w:color="E3E3E3"/>
          </w:divBdr>
          <w:divsChild>
            <w:div w:id="1072657231">
              <w:marLeft w:val="0"/>
              <w:marRight w:val="0"/>
              <w:marTop w:val="100"/>
              <w:marBottom w:val="100"/>
              <w:divBdr>
                <w:top w:val="single" w:sz="2" w:space="0" w:color="E3E3E3"/>
                <w:left w:val="single" w:sz="2" w:space="0" w:color="E3E3E3"/>
                <w:bottom w:val="single" w:sz="2" w:space="0" w:color="E3E3E3"/>
                <w:right w:val="single" w:sz="2" w:space="0" w:color="E3E3E3"/>
              </w:divBdr>
              <w:divsChild>
                <w:div w:id="1758398810">
                  <w:marLeft w:val="0"/>
                  <w:marRight w:val="0"/>
                  <w:marTop w:val="0"/>
                  <w:marBottom w:val="0"/>
                  <w:divBdr>
                    <w:top w:val="single" w:sz="2" w:space="0" w:color="E3E3E3"/>
                    <w:left w:val="single" w:sz="2" w:space="0" w:color="E3E3E3"/>
                    <w:bottom w:val="single" w:sz="2" w:space="0" w:color="E3E3E3"/>
                    <w:right w:val="single" w:sz="2" w:space="0" w:color="E3E3E3"/>
                  </w:divBdr>
                  <w:divsChild>
                    <w:div w:id="957830590">
                      <w:marLeft w:val="0"/>
                      <w:marRight w:val="0"/>
                      <w:marTop w:val="0"/>
                      <w:marBottom w:val="0"/>
                      <w:divBdr>
                        <w:top w:val="single" w:sz="2" w:space="0" w:color="E3E3E3"/>
                        <w:left w:val="single" w:sz="2" w:space="0" w:color="E3E3E3"/>
                        <w:bottom w:val="single" w:sz="2" w:space="0" w:color="E3E3E3"/>
                        <w:right w:val="single" w:sz="2" w:space="0" w:color="E3E3E3"/>
                      </w:divBdr>
                      <w:divsChild>
                        <w:div w:id="250088757">
                          <w:marLeft w:val="0"/>
                          <w:marRight w:val="0"/>
                          <w:marTop w:val="0"/>
                          <w:marBottom w:val="0"/>
                          <w:divBdr>
                            <w:top w:val="single" w:sz="2" w:space="0" w:color="E3E3E3"/>
                            <w:left w:val="single" w:sz="2" w:space="0" w:color="E3E3E3"/>
                            <w:bottom w:val="single" w:sz="2" w:space="0" w:color="E3E3E3"/>
                            <w:right w:val="single" w:sz="2" w:space="0" w:color="E3E3E3"/>
                          </w:divBdr>
                          <w:divsChild>
                            <w:div w:id="1645356048">
                              <w:marLeft w:val="0"/>
                              <w:marRight w:val="0"/>
                              <w:marTop w:val="0"/>
                              <w:marBottom w:val="0"/>
                              <w:divBdr>
                                <w:top w:val="single" w:sz="2" w:space="0" w:color="E3E3E3"/>
                                <w:left w:val="single" w:sz="2" w:space="0" w:color="E3E3E3"/>
                                <w:bottom w:val="single" w:sz="2" w:space="0" w:color="E3E3E3"/>
                                <w:right w:val="single" w:sz="2" w:space="0" w:color="E3E3E3"/>
                              </w:divBdr>
                              <w:divsChild>
                                <w:div w:id="2054840649">
                                  <w:marLeft w:val="0"/>
                                  <w:marRight w:val="0"/>
                                  <w:marTop w:val="0"/>
                                  <w:marBottom w:val="0"/>
                                  <w:divBdr>
                                    <w:top w:val="single" w:sz="2" w:space="0" w:color="E3E3E3"/>
                                    <w:left w:val="single" w:sz="2" w:space="0" w:color="E3E3E3"/>
                                    <w:bottom w:val="single" w:sz="2" w:space="0" w:color="E3E3E3"/>
                                    <w:right w:val="single" w:sz="2" w:space="0" w:color="E3E3E3"/>
                                  </w:divBdr>
                                  <w:divsChild>
                                    <w:div w:id="984435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3038106">
          <w:marLeft w:val="0"/>
          <w:marRight w:val="0"/>
          <w:marTop w:val="0"/>
          <w:marBottom w:val="0"/>
          <w:divBdr>
            <w:top w:val="single" w:sz="2" w:space="0" w:color="E3E3E3"/>
            <w:left w:val="single" w:sz="2" w:space="0" w:color="E3E3E3"/>
            <w:bottom w:val="single" w:sz="2" w:space="0" w:color="E3E3E3"/>
            <w:right w:val="single" w:sz="2" w:space="0" w:color="E3E3E3"/>
          </w:divBdr>
          <w:divsChild>
            <w:div w:id="3748169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99563362">
                  <w:marLeft w:val="0"/>
                  <w:marRight w:val="0"/>
                  <w:marTop w:val="0"/>
                  <w:marBottom w:val="0"/>
                  <w:divBdr>
                    <w:top w:val="single" w:sz="2" w:space="0" w:color="E3E3E3"/>
                    <w:left w:val="single" w:sz="2" w:space="0" w:color="E3E3E3"/>
                    <w:bottom w:val="single" w:sz="2" w:space="0" w:color="E3E3E3"/>
                    <w:right w:val="single" w:sz="2" w:space="0" w:color="E3E3E3"/>
                  </w:divBdr>
                  <w:divsChild>
                    <w:div w:id="1430932632">
                      <w:marLeft w:val="0"/>
                      <w:marRight w:val="0"/>
                      <w:marTop w:val="0"/>
                      <w:marBottom w:val="0"/>
                      <w:divBdr>
                        <w:top w:val="single" w:sz="2" w:space="0" w:color="E3E3E3"/>
                        <w:left w:val="single" w:sz="2" w:space="0" w:color="E3E3E3"/>
                        <w:bottom w:val="single" w:sz="2" w:space="0" w:color="E3E3E3"/>
                        <w:right w:val="single" w:sz="2" w:space="0" w:color="E3E3E3"/>
                      </w:divBdr>
                      <w:divsChild>
                        <w:div w:id="869299958">
                          <w:marLeft w:val="0"/>
                          <w:marRight w:val="0"/>
                          <w:marTop w:val="0"/>
                          <w:marBottom w:val="0"/>
                          <w:divBdr>
                            <w:top w:val="single" w:sz="2" w:space="0" w:color="E3E3E3"/>
                            <w:left w:val="single" w:sz="2" w:space="0" w:color="E3E3E3"/>
                            <w:bottom w:val="single" w:sz="2" w:space="0" w:color="E3E3E3"/>
                            <w:right w:val="single" w:sz="2" w:space="0" w:color="E3E3E3"/>
                          </w:divBdr>
                          <w:divsChild>
                            <w:div w:id="583804678">
                              <w:marLeft w:val="0"/>
                              <w:marRight w:val="0"/>
                              <w:marTop w:val="0"/>
                              <w:marBottom w:val="0"/>
                              <w:divBdr>
                                <w:top w:val="single" w:sz="2" w:space="0" w:color="E3E3E3"/>
                                <w:left w:val="single" w:sz="2" w:space="0" w:color="E3E3E3"/>
                                <w:bottom w:val="single" w:sz="2" w:space="0" w:color="E3E3E3"/>
                                <w:right w:val="single" w:sz="2" w:space="0" w:color="E3E3E3"/>
                              </w:divBdr>
                              <w:divsChild>
                                <w:div w:id="1473210620">
                                  <w:marLeft w:val="0"/>
                                  <w:marRight w:val="0"/>
                                  <w:marTop w:val="0"/>
                                  <w:marBottom w:val="0"/>
                                  <w:divBdr>
                                    <w:top w:val="single" w:sz="2" w:space="0" w:color="E3E3E3"/>
                                    <w:left w:val="single" w:sz="2" w:space="0" w:color="E3E3E3"/>
                                    <w:bottom w:val="single" w:sz="2" w:space="0" w:color="E3E3E3"/>
                                    <w:right w:val="single" w:sz="2" w:space="0" w:color="E3E3E3"/>
                                  </w:divBdr>
                                  <w:divsChild>
                                    <w:div w:id="1517961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2094704">
                      <w:marLeft w:val="0"/>
                      <w:marRight w:val="0"/>
                      <w:marTop w:val="0"/>
                      <w:marBottom w:val="0"/>
                      <w:divBdr>
                        <w:top w:val="single" w:sz="2" w:space="0" w:color="E3E3E3"/>
                        <w:left w:val="single" w:sz="2" w:space="0" w:color="E3E3E3"/>
                        <w:bottom w:val="single" w:sz="2" w:space="0" w:color="E3E3E3"/>
                        <w:right w:val="single" w:sz="2" w:space="0" w:color="E3E3E3"/>
                      </w:divBdr>
                      <w:divsChild>
                        <w:div w:id="2090688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9292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BR_2018.XSL" StyleName="ABNT NBR 6023:2018*" Version="10"/>
</file>

<file path=customXml/itemProps1.xml><?xml version="1.0" encoding="utf-8"?>
<ds:datastoreItem xmlns:ds="http://schemas.openxmlformats.org/officeDocument/2006/customXml" ds:itemID="{02DB4F5C-EF0F-46A3-BBA7-3E10560D2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9</Pages>
  <Words>2514</Words>
  <Characters>13580</Characters>
  <Application>Microsoft Office Word</Application>
  <DocSecurity>0</DocSecurity>
  <Lines>113</Lines>
  <Paragraphs>32</Paragraphs>
  <ScaleCrop>false</ScaleCrop>
  <Company/>
  <LinksUpToDate>false</LinksUpToDate>
  <CharactersWithSpaces>16062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Miramontes Forattini</dc:creator>
  <cp:keywords/>
  <dc:description/>
  <cp:lastModifiedBy>Fernando Miramontes Forattini</cp:lastModifiedBy>
  <cp:revision>31</cp:revision>
  <dcterms:created xsi:type="dcterms:W3CDTF">2024-03-02T19:49:00Z</dcterms:created>
  <dcterms:modified xsi:type="dcterms:W3CDTF">2024-03-03T19:50:00Z</dcterms:modified>
</cp:coreProperties>
</file>