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40D8" w:rsidRDefault="001040D8" w:rsidP="001040D8">
      <w:pPr>
        <w:pStyle w:val="NormalWeb"/>
        <w:shd w:val="clear" w:color="auto" w:fill="FFFFFF"/>
        <w:spacing w:before="0" w:beforeAutospacing="0"/>
        <w:rPr>
          <w:rFonts w:ascii="Helvetica" w:hAnsi="Helvetica" w:cs="Helvetica"/>
          <w:color w:val="36435A"/>
          <w:sz w:val="20"/>
          <w:szCs w:val="20"/>
        </w:rPr>
      </w:pPr>
      <w:r>
        <w:rPr>
          <w:rFonts w:ascii="Helvetica" w:hAnsi="Helvetica" w:cs="Helvetica"/>
          <w:color w:val="36435A"/>
          <w:sz w:val="20"/>
          <w:szCs w:val="20"/>
        </w:rPr>
        <w:t>Antonio García Patiño. La Coruña, 1932-2010.</w:t>
      </w:r>
    </w:p>
    <w:p w:rsidR="001040D8" w:rsidRDefault="001040D8" w:rsidP="001040D8">
      <w:pPr>
        <w:pStyle w:val="NormalWeb"/>
        <w:shd w:val="clear" w:color="auto" w:fill="FFFFFF"/>
        <w:spacing w:before="0" w:beforeAutospacing="0"/>
        <w:rPr>
          <w:rFonts w:ascii="Helvetica" w:hAnsi="Helvetica" w:cs="Helvetica"/>
          <w:color w:val="36435A"/>
          <w:sz w:val="20"/>
          <w:szCs w:val="20"/>
        </w:rPr>
      </w:pPr>
      <w:r>
        <w:rPr>
          <w:rFonts w:ascii="Helvetica" w:hAnsi="Helvetica" w:cs="Helvetica"/>
          <w:color w:val="36435A"/>
          <w:sz w:val="20"/>
          <w:szCs w:val="20"/>
        </w:rPr>
        <w:t xml:space="preserve">Comienza a exponer en 1957. Realiza numerosas exposiciones por toda </w:t>
      </w:r>
      <w:proofErr w:type="spellStart"/>
      <w:r>
        <w:rPr>
          <w:rFonts w:ascii="Helvetica" w:hAnsi="Helvetica" w:cs="Helvetica"/>
          <w:color w:val="36435A"/>
          <w:sz w:val="20"/>
          <w:szCs w:val="20"/>
        </w:rPr>
        <w:t>Espoaña</w:t>
      </w:r>
      <w:proofErr w:type="spellEnd"/>
      <w:r>
        <w:rPr>
          <w:rFonts w:ascii="Helvetica" w:hAnsi="Helvetica" w:cs="Helvetica"/>
          <w:color w:val="36435A"/>
          <w:sz w:val="20"/>
          <w:szCs w:val="20"/>
        </w:rPr>
        <w:t xml:space="preserve">. Su obra figura en colecciones españolas, francesas, danesas, italianas, suizas y norteamericanas, así como en las colecciones de </w:t>
      </w:r>
      <w:proofErr w:type="spellStart"/>
      <w:r>
        <w:rPr>
          <w:rFonts w:ascii="Helvetica" w:hAnsi="Helvetica" w:cs="Helvetica"/>
          <w:color w:val="36435A"/>
          <w:sz w:val="20"/>
          <w:szCs w:val="20"/>
        </w:rPr>
        <w:t>Caixa</w:t>
      </w:r>
      <w:proofErr w:type="spellEnd"/>
      <w:r>
        <w:rPr>
          <w:rFonts w:ascii="Helvetica" w:hAnsi="Helvetica" w:cs="Helvetica"/>
          <w:color w:val="36435A"/>
          <w:sz w:val="20"/>
          <w:szCs w:val="20"/>
        </w:rPr>
        <w:t xml:space="preserve"> Vigo, de la Excma. Diputación de A Coruña, del Parlamento de Galicia, de </w:t>
      </w:r>
      <w:proofErr w:type="spellStart"/>
      <w:r>
        <w:rPr>
          <w:rFonts w:ascii="Helvetica" w:hAnsi="Helvetica" w:cs="Helvetica"/>
          <w:color w:val="36435A"/>
          <w:sz w:val="20"/>
          <w:szCs w:val="20"/>
        </w:rPr>
        <w:t>Caixa</w:t>
      </w:r>
      <w:proofErr w:type="spellEnd"/>
      <w:r>
        <w:rPr>
          <w:rFonts w:ascii="Helvetica" w:hAnsi="Helvetica" w:cs="Helvetica"/>
          <w:color w:val="36435A"/>
          <w:sz w:val="20"/>
          <w:szCs w:val="20"/>
        </w:rPr>
        <w:t xml:space="preserve"> Galicia, del Puerto Franco Vigo y de la Xunta de Galicia y en el Museo de Arte Contemporáneo de Barcelona.</w:t>
      </w:r>
    </w:p>
    <w:p w:rsidR="001040D8" w:rsidRDefault="001040D8" w:rsidP="001040D8">
      <w:pPr>
        <w:pStyle w:val="NormalWeb"/>
        <w:shd w:val="clear" w:color="auto" w:fill="FFFFFF"/>
        <w:spacing w:before="0" w:beforeAutospacing="0"/>
        <w:rPr>
          <w:rFonts w:ascii="Helvetica" w:hAnsi="Helvetica" w:cs="Helvetica"/>
          <w:color w:val="36435A"/>
          <w:sz w:val="20"/>
          <w:szCs w:val="20"/>
        </w:rPr>
      </w:pPr>
      <w:r>
        <w:rPr>
          <w:rFonts w:ascii="Helvetica" w:hAnsi="Helvetica" w:cs="Helvetica"/>
          <w:color w:val="36435A"/>
          <w:sz w:val="20"/>
          <w:szCs w:val="20"/>
        </w:rPr>
        <w:t xml:space="preserve">Su producción agrupa en cuatro períodos. El primero alcanza hasta los años 60 y se podría denominar como “época negra”, ya que muestra la influencia de autores como Goya, Solana, </w:t>
      </w:r>
      <w:proofErr w:type="spellStart"/>
      <w:r>
        <w:rPr>
          <w:rFonts w:ascii="Helvetica" w:hAnsi="Helvetica" w:cs="Helvetica"/>
          <w:color w:val="36435A"/>
          <w:sz w:val="20"/>
          <w:szCs w:val="20"/>
        </w:rPr>
        <w:t>Tàpies</w:t>
      </w:r>
      <w:proofErr w:type="spellEnd"/>
      <w:r>
        <w:rPr>
          <w:rFonts w:ascii="Helvetica" w:hAnsi="Helvetica" w:cs="Helvetica"/>
          <w:color w:val="36435A"/>
          <w:sz w:val="20"/>
          <w:szCs w:val="20"/>
        </w:rPr>
        <w:t>, Valdés Leal o El Greco, en los que el negro simbolizó la condición humana, creando un hilo conductor en la historia de la pintura española. Los trazos determinados, el esquematismo y la expresividad de las composiciones de García Patiño en esta época vinculan su obra también con la tradición románica gallega.</w:t>
      </w:r>
    </w:p>
    <w:p w:rsidR="001040D8" w:rsidRDefault="001040D8" w:rsidP="001040D8">
      <w:pPr>
        <w:pStyle w:val="NormalWeb"/>
        <w:shd w:val="clear" w:color="auto" w:fill="FFFFFF"/>
        <w:spacing w:before="0" w:beforeAutospacing="0"/>
        <w:rPr>
          <w:rFonts w:ascii="Helvetica" w:hAnsi="Helvetica" w:cs="Helvetica"/>
          <w:color w:val="36435A"/>
          <w:sz w:val="20"/>
          <w:szCs w:val="20"/>
        </w:rPr>
      </w:pPr>
      <w:r>
        <w:rPr>
          <w:rFonts w:ascii="Helvetica" w:hAnsi="Helvetica" w:cs="Helvetica"/>
          <w:color w:val="36435A"/>
          <w:sz w:val="20"/>
          <w:szCs w:val="20"/>
        </w:rPr>
        <w:t xml:space="preserve">La segunda etapa de producción abarcará la década de los años 60, coincidiendo con su residencia en Barcelona, entabla relación con diversos intelectuales y creadores. Produce entonces una serie de obras influidas por el </w:t>
      </w:r>
      <w:proofErr w:type="spellStart"/>
      <w:r>
        <w:rPr>
          <w:rFonts w:ascii="Helvetica" w:hAnsi="Helvetica" w:cs="Helvetica"/>
          <w:color w:val="36435A"/>
          <w:sz w:val="20"/>
          <w:szCs w:val="20"/>
        </w:rPr>
        <w:t>karmatismo</w:t>
      </w:r>
      <w:proofErr w:type="spellEnd"/>
      <w:r>
        <w:rPr>
          <w:rFonts w:ascii="Helvetica" w:hAnsi="Helvetica" w:cs="Helvetica"/>
          <w:color w:val="36435A"/>
          <w:sz w:val="20"/>
          <w:szCs w:val="20"/>
        </w:rPr>
        <w:t xml:space="preserve">, una corriente que ahonda en la necesidad tanto psíquica como fisiológica de pintar, vinculándose a teorías freudianas o al orientalismo. La presentación de sus cuadros </w:t>
      </w:r>
      <w:proofErr w:type="spellStart"/>
      <w:r>
        <w:rPr>
          <w:rFonts w:ascii="Helvetica" w:hAnsi="Helvetica" w:cs="Helvetica"/>
          <w:color w:val="36435A"/>
          <w:sz w:val="20"/>
          <w:szCs w:val="20"/>
        </w:rPr>
        <w:t>karmáticos</w:t>
      </w:r>
      <w:proofErr w:type="spellEnd"/>
      <w:r>
        <w:rPr>
          <w:rFonts w:ascii="Helvetica" w:hAnsi="Helvetica" w:cs="Helvetica"/>
          <w:color w:val="36435A"/>
          <w:sz w:val="20"/>
          <w:szCs w:val="20"/>
        </w:rPr>
        <w:t xml:space="preserve"> en la Sala Gaudí en 1970 le reportó un gran éxito entre el público.</w:t>
      </w:r>
    </w:p>
    <w:p w:rsidR="001040D8" w:rsidRDefault="001040D8" w:rsidP="001040D8">
      <w:pPr>
        <w:pStyle w:val="NormalWeb"/>
        <w:shd w:val="clear" w:color="auto" w:fill="FFFFFF"/>
        <w:spacing w:before="0" w:beforeAutospacing="0"/>
        <w:rPr>
          <w:rFonts w:ascii="Helvetica" w:hAnsi="Helvetica" w:cs="Helvetica"/>
          <w:color w:val="36435A"/>
          <w:sz w:val="20"/>
          <w:szCs w:val="20"/>
        </w:rPr>
      </w:pPr>
      <w:r>
        <w:rPr>
          <w:rFonts w:ascii="Helvetica" w:hAnsi="Helvetica" w:cs="Helvetica"/>
          <w:color w:val="36435A"/>
          <w:sz w:val="20"/>
          <w:szCs w:val="20"/>
        </w:rPr>
        <w:t>Es a partir de entonces cuando comienza su período blanco, en la que los grupos de personas y la mujer centran su producción. Estilísticamente, regresa a las raíces románicas de Galicia, al expresionismo y al primitivismo. En esta fase se enmarcan las cuatro obras pertenecientes a esta colección, datadas en 1990, bajo los títulos: Niña, Una joven, Don Quijote y Hombre pensando. Las cuatro se resuelven con la presentación de figuras hieráticas en primer plano de la composición sobre fondos indefinidos.</w:t>
      </w:r>
    </w:p>
    <w:p w:rsidR="001040D8" w:rsidRDefault="001040D8" w:rsidP="001040D8">
      <w:pPr>
        <w:pStyle w:val="NormalWeb"/>
        <w:shd w:val="clear" w:color="auto" w:fill="FFFFFF"/>
        <w:spacing w:before="0" w:beforeAutospacing="0"/>
        <w:rPr>
          <w:rFonts w:ascii="Helvetica" w:hAnsi="Helvetica" w:cs="Helvetica"/>
          <w:color w:val="36435A"/>
          <w:sz w:val="20"/>
          <w:szCs w:val="20"/>
        </w:rPr>
      </w:pPr>
      <w:r>
        <w:rPr>
          <w:rFonts w:ascii="Helvetica" w:hAnsi="Helvetica" w:cs="Helvetica"/>
          <w:color w:val="36435A"/>
          <w:sz w:val="20"/>
          <w:szCs w:val="20"/>
        </w:rPr>
        <w:t>De formas rotundas, estas se delimitan por líneas de gruesos trazos negros y blancos, otorgando gran importancia al dibujo, apostando por la expresividad sintética y geométrica lograda gracias a la superposición de planos de color, en los que predominan los tonos blancos y grises, huyendo de la perspectiva y de los volúmenes. La figura humana atrajo a este autor a lo largo de su producción, ya que se lo puede calificar como profundamente humanista.</w:t>
      </w:r>
    </w:p>
    <w:p w:rsidR="001040D8" w:rsidRDefault="001040D8" w:rsidP="001040D8">
      <w:pPr>
        <w:pStyle w:val="NormalWeb"/>
        <w:shd w:val="clear" w:color="auto" w:fill="FFFFFF"/>
        <w:spacing w:before="0" w:beforeAutospacing="0"/>
        <w:rPr>
          <w:rFonts w:ascii="Helvetica" w:hAnsi="Helvetica" w:cs="Helvetica"/>
          <w:color w:val="36435A"/>
          <w:sz w:val="20"/>
          <w:szCs w:val="20"/>
        </w:rPr>
      </w:pPr>
      <w:r>
        <w:rPr>
          <w:rFonts w:ascii="Helvetica" w:hAnsi="Helvetica" w:cs="Helvetica"/>
          <w:color w:val="36435A"/>
          <w:sz w:val="20"/>
          <w:szCs w:val="20"/>
        </w:rPr>
        <w:t>Durante la última época de producción, García Patiño potenció la creación de series pictóricas, dedicadas a temáticas diversas como la de los gallegos ilustres, la del santoral gallego, la del tarot o la de las escenas bíblicas; a la ilustración y a potenciar su faceta de escultor, aproximándose una vez más al estilo románico que tanto le había influido estilísticamente en su trayectoria.</w:t>
      </w:r>
    </w:p>
    <w:p w:rsidR="00845643" w:rsidRDefault="00845643"/>
    <w:sectPr w:rsidR="00845643" w:rsidSect="008456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1040D8"/>
    <w:rsid w:val="001040D8"/>
    <w:rsid w:val="008456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64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4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7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426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2023-06-30T09:36:00Z</dcterms:created>
  <dcterms:modified xsi:type="dcterms:W3CDTF">2023-06-30T09:36:00Z</dcterms:modified>
</cp:coreProperties>
</file>