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3</w:t>
      </w:r>
    </w:p>
    <w:p>
      <w:pPr>
        <w:jc w:val="center"/>
      </w:pPr>
      <w:r>
        <w:rPr>
          <w:rFonts w:ascii="Arial" w:hAnsi="Arial"/>
          <w:b/>
          <w:sz w:val="26"/>
        </w:rPr>
        <w:t>Temat: Tworzenie stron WWW – HTML5, CSS oraz JavaScript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1.a Działające menu i szablon bez tabel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Zaprojektowano nowoczesny, semantyczny szablon witryny WWW oparty wyłącznie na elementach blokowych &lt;div&gt; oraz flexbox / CSS grid, eliminując przestarzałe układy tabelaryczne.</w:t>
      </w:r>
    </w:p>
    <w:p>
      <w:pPr>
        <w:spacing w:line="276" w:lineRule="auto" w:after="80"/>
      </w:pPr>
      <w:r>
        <w:rPr>
          <w:rFonts w:ascii="Arial" w:hAnsi="Arial"/>
          <w:sz w:val="21"/>
        </w:rPr>
        <w:t>Główne menu nawigacyjne posiada odnośniki z atrybutem target="strona", kierujące wyświetlanie podstron do centralnego elementu &lt;iframe&gt;.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&lt;div class="layout-wrapper"&gt;</w:t>
              <w:br/>
              <w:t xml:space="preserve">  &lt;nav class="sidebar-menu"&gt;</w:t>
              <w:br/>
              <w:t xml:space="preserve">    &lt;a href="m_l1_g1.html" target="strona"&gt;Dane zespołu&lt;/a&gt;</w:t>
              <w:br/>
              <w:t xml:space="preserve">    &lt;a href="m_l1_g2.html" target="strona"&gt;Formatowanie tekstu&lt;/a&gt;</w:t>
              <w:br/>
              <w:t xml:space="preserve">    &lt;a href="m_l1_g3.html" target="strona"&gt;Model pudełkowy&lt;/a&gt;</w:t>
              <w:br/>
              <w:t xml:space="preserve">    &lt;a href="m_21_g3.html" target="strona"&gt;Gra Canvas&lt;/a&gt;</w:t>
              <w:br/>
              <w:t xml:space="preserve">    &lt;a href="m_l3_g1.html" target="strona"&gt;Formularz zamówienia&lt;/a&gt;</w:t>
              <w:br/>
              <w:t xml:space="preserve">  &lt;/nav&gt;</w:t>
              <w:br/>
              <w:t xml:space="preserve">  &lt;main class="content-frame"&gt;</w:t>
              <w:br/>
              <w:t xml:space="preserve">    &lt;iframe name="strona" src="m_l1_g1.html"&gt;&lt;/iframe&gt;</w:t>
              <w:br/>
              <w:t xml:space="preserve">  &lt;/main&gt;</w:t>
              <w:br/>
              <w:t>&lt;/div&gt;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1.a Działające menu i szablon bez tabel]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2.c Dane zespołu (m_l1_g1.html)</w:t>
      </w:r>
    </w:p>
    <w:p>
      <w:pPr>
        <w:spacing w:line="276" w:lineRule="auto" w:after="80"/>
      </w:pPr>
      <w:r>
        <w:rPr>
          <w:rFonts w:ascii="Arial" w:hAnsi="Arial"/>
          <w:sz w:val="21"/>
        </w:rPr>
        <w:t>Opracowano podstronę wizytówki zespołu laboratoryjnego: Artem Hizhovskyi (nr albumu: s097882) oraz Ihor Namachynskyi (nr albumu: s097889), grupa 3ID11B, semestr 5.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2.c Dane zespołu (m_l1_g1.html)]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2.d Formatowanie tekstu (m_l1_g2.html)</w:t>
      </w:r>
    </w:p>
    <w:p>
      <w:pPr>
        <w:spacing w:line="276" w:lineRule="auto" w:after="80"/>
      </w:pPr>
      <w:r>
        <w:rPr>
          <w:rFonts w:ascii="Arial" w:hAnsi="Arial"/>
          <w:sz w:val="21"/>
        </w:rPr>
        <w:t>Zaimplementowano przykłady bogatego formatowania typograficznego: nagłówki h1-h6, paragrafy, listy uporządkowane i nieuporządkowane, definicje, cytaty blokowe &lt;blockquote&gt;, formatowanie kodu &lt;pre&gt;&lt;code&gt; oraz wyróżnienia semantyczne.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2.d Formatowanie tekstu (m_l1_g2.html)]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2.e Ramki i Box Model (m_l1_g3.html)</w:t>
      </w:r>
    </w:p>
    <w:p>
      <w:pPr>
        <w:spacing w:line="276" w:lineRule="auto" w:after="80"/>
      </w:pPr>
      <w:r>
        <w:rPr>
          <w:rFonts w:ascii="Arial" w:hAnsi="Arial"/>
          <w:sz w:val="21"/>
        </w:rPr>
        <w:t>Przygotowano interaktywną wizualizację modelu pudełkowego CSS (margin, border, padding, content).</w:t>
      </w:r>
    </w:p>
    <w:p>
      <w:pPr>
        <w:spacing w:line="276" w:lineRule="auto" w:after="80"/>
      </w:pPr>
      <w:r>
        <w:rPr>
          <w:rFonts w:ascii="Arial" w:hAnsi="Arial"/>
          <w:sz w:val="21"/>
        </w:rPr>
        <w:t>Zgodnie z zaleceniami audytu wdrożono właściwość box-sizing: border-box oraz ograniczono maksymalną szerokość do max-width: 290px z zachowaniem elastyczności. Zapewnia to bezbłędne renderowanie bez poziomego paska przewijania na ekranach smartfonów o szerokości 320px.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.box-demo {</w:t>
              <w:br/>
              <w:t xml:space="preserve">    box-sizing: border-box;</w:t>
              <w:br/>
              <w:t xml:space="preserve">    max-width: 290px;</w:t>
              <w:br/>
              <w:t xml:space="preserve">    margin: 10px auto;</w:t>
              <w:br/>
              <w:t xml:space="preserve">    padding: 15px;</w:t>
              <w:br/>
              <w:t xml:space="preserve">    border: 3px solid #1a478a;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2.e Ramki i Box Model (m_l1_g3.html)]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2.f-g. Strona Uczelni oraz Grafika (m_l2_g1.html, m_21_g2.html)</w:t>
      </w:r>
    </w:p>
    <w:p>
      <w:pPr>
        <w:spacing w:line="276" w:lineRule="auto" w:after="80"/>
      </w:pPr>
      <w:r>
        <w:rPr>
          <w:rFonts w:ascii="Arial" w:hAnsi="Arial"/>
          <w:sz w:val="21"/>
        </w:rPr>
        <w:t>Strona Politechniki Świętokrzyskiej zawiera opis wydziału i kierunku studiów z linkami zewnętrznymi.</w:t>
      </w:r>
    </w:p>
    <w:p>
      <w:pPr>
        <w:spacing w:line="276" w:lineRule="auto" w:after="80"/>
      </w:pPr>
      <w:r>
        <w:rPr>
          <w:rFonts w:ascii="Arial" w:hAnsi="Arial"/>
          <w:sz w:val="21"/>
        </w:rPr>
        <w:t>Podstrona multimediów prezentuje responsywną grafikę z poprawnymi atrybutami alt, formatami wektorowymi oraz elementami &lt;figure&gt; i &lt;figcaption&gt;.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2.f-g. Strona Uczelni oraz Grafika]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2.h Własna inwencja twórcza – Interaktywny Canvas (m_21_g3.html)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Zaprojektowano autorską mini-grę zręcznościową w technologii HTML5 Canvas i JavaScript.</w:t>
      </w:r>
    </w:p>
    <w:p>
      <w:pPr>
        <w:spacing w:line="276" w:lineRule="auto" w:after="80"/>
      </w:pPr>
      <w:r>
        <w:rPr>
          <w:rFonts w:ascii="Arial" w:hAnsi="Arial"/>
          <w:sz w:val="21"/>
        </w:rPr>
        <w:t>Zgodnie z audytem dostosowano element Canvas do pełnej responsywności: ustalono logiczne wymiary bazowe width="290" height="150" oraz regułę styli max-width: 100%; height: auto;, eliminując jakiekolwiek przycinanie lub zniekształcenia na ekranach mobilnych.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&lt;canvas id="gameCanvas" width="290" height="150" style="max-width: 100%; height: auto; display: block; margin: 0 auto;"&gt;&lt;/canvas&gt;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2.h Własna inwencja twórcza (Canvas)]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2.i Formularz z zabezpieczeniami i walidacją JavaScript (m_l3_g1.html)</w:t>
      </w:r>
    </w:p>
    <w:p>
      <w:pPr>
        <w:spacing w:line="276" w:lineRule="auto" w:after="80"/>
      </w:pPr>
      <w:r>
        <w:rPr>
          <w:rFonts w:ascii="Arial" w:hAnsi="Arial"/>
          <w:sz w:val="21"/>
        </w:rPr>
        <w:t>Zbudowano rozbudowany formularz rejestracyjno-zamówieniowy zawierający walidację poprawności danych w czasie rzeczywistym:</w:t>
      </w:r>
    </w:p>
    <w:p>
      <w:pPr>
        <w:spacing w:line="276" w:lineRule="auto" w:after="80"/>
      </w:pPr>
      <w:r>
        <w:rPr>
          <w:rFonts w:ascii="Arial" w:hAnsi="Arial"/>
          <w:sz w:val="21"/>
        </w:rPr>
        <w:t>- weryfikacja poprawności formatu adresu e-mail za pomocą wyrażenia regularnego,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weryfikacja 11-cyfrowego numeru PESEL oraz daty urodzenia,</w:t>
      </w:r>
    </w:p>
    <w:p>
      <w:pPr>
        <w:spacing w:line="276" w:lineRule="auto" w:after="80"/>
      </w:pPr>
      <w:r>
        <w:rPr>
          <w:rFonts w:ascii="Arial" w:hAnsi="Arial"/>
          <w:sz w:val="21"/>
        </w:rPr>
        <w:t>- dynamiczny kalkulator kwoty zamówienia z automatycznym przeliczaniem rabatów,</w:t>
      </w:r>
    </w:p>
    <w:p>
      <w:pPr>
        <w:spacing w:line="276" w:lineRule="auto" w:after="80"/>
      </w:pPr>
      <w:r>
        <w:rPr>
          <w:rFonts w:ascii="Arial" w:hAnsi="Arial"/>
          <w:sz w:val="21"/>
        </w:rPr>
        <w:t>- blokada podwójnego kliknięcia przycisku wysłania (ochrona przed wielokrotnym submitem).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2.i Formularz z zabezpieczeniami (m_l3_g1.html)]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Responsywny arkusz styli (style.css)</w:t>
      </w:r>
    </w:p>
    <w:p>
      <w:pPr>
        <w:spacing w:line="276" w:lineRule="auto" w:after="80"/>
      </w:pPr>
      <w:r>
        <w:rPr>
          <w:rFonts w:ascii="Arial" w:hAnsi="Arial"/>
          <w:sz w:val="21"/>
        </w:rPr>
        <w:t>Arkusze CSS wyposażono w zaawansowane reguły Media Queries (@media (max-width: 768px) oraz @media (max-width: 480px)).</w:t>
      </w:r>
    </w:p>
    <w:p>
      <w:pPr>
        <w:spacing w:line="276" w:lineRule="auto" w:after="80"/>
      </w:pPr>
      <w:r>
        <w:rPr>
          <w:rFonts w:ascii="Arial" w:hAnsi="Arial"/>
          <w:sz w:val="21"/>
        </w:rPr>
        <w:t>Układ płynnie przekształca się z dwukolumnowego w układ jednokolumnowy ze składanym menu mobilnym, zapewniając komfort przeglądania na każdym urządzeniu.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Responsywny arkusz styli (style.css)]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Utworzona witryna spełnia wszelkie standardy nowoczesnego projektowania stron WWW: poprawność semantyczną HTML5, elegancję i responsywność CSS3 oraz interaktywność i odporność skryptów JavaScript.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