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— Revocable Living Trust (fidelity verification)</w:t>
      </w:r>
    </w:p>
    <w:p>
      <w:r>
        <w:t>Client: {client_full_name}</w:t>
      </w:r>
    </w:p>
    {^has_spouse}
    <w:p>
      <w:r>
        <w:t>[No spouse section — conditional worked]</w:t>
      </w:r>
    </w:p>
    {/has_spouse}
    <w:p>
      <w:r>
        <w:t>Children:</w:t>
      </w:r>
    </w:p>
    {#children}
    <w:p>
      <w:r>
        <w:t>  - {full_name} ({relationship}{#is_minor}, minor{/is_minor})</w:t>
      </w:r>
    </w:p>
    {/children}
    <w:p>
      <w:r>
        <w:t>--- End of test template ---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</w:rPr>
    </w:rPrDefault>
  </w:docDefaults>
  <w:style w:type="paragraph" w:styleId="Normal" w:default="1">
    <w:name w:val="Normal"/>
    <w:rPr>
      <w:rFonts w:asci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</a:clrScheme>
    <a:fontScheme name="Office">
      <a:majorFont>
        <a:latin typeface="Calibri"/>
      </a:majorFont>
    </a:fontScheme>
  </a:themeElements>
</a:theme>
</file>