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We, {client_full_name} {#has_spouse} and {spouse_full_name}{/has_spouse}, settlors</w:t>
      </w:r>
    </w:p>
    <w:p>
      <w:r>
        <w:t>Second Successor: {second_successor_trustee_full_name}</w:t>
      </w:r>
    </w:p>
    <w:p>
      <w:r>
        <w:t>Marriage: {marriage_city_state} on {marriage_date}</w:t>
      </w:r>
    </w:p>
    <w:p>
      <w:r>
        <w:t>Deemed Survivor: {deemed_survivor_full_name}</w:t>
      </w:r>
    </w:p>
    <w:p>
      <w:r>
        <w:t>First Distribution Age: {first_distribution_age}</w:t>
      </w:r>
    </w:p>
    <w:p>
      <w:r>
        <w:t>Educational Eligibility Age: {educational_trust_eligibility_age}</w:t>
      </w:r>
    </w:p>
    <w:p>
      <w:r>
        <w:t>Educational Remainder Age: {educational_trust_remainder_age}</w:t>
      </w:r>
    </w:p>
    <w:p>
      <w:r>
        <w:t>Educational Termination Age: {educational_trust_termination_age}</w:t>
      </w:r>
    </w:p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