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4"/>
          <w:szCs w:val="34"/>
        </w:rPr>
        <w:t xml:space="preserve">California TEAM White Paper — Fact-Check Memo</w:t>
      </w:r>
    </w:p>
    <w:p>
      <w:pPr>
        <w:spacing w:after="300"/>
      </w:pPr>
      <w:r>
        <w:rPr>
          <w:i/>
          <w:iCs/>
          <w:color w:val="555555"/>
          <w:sz w:val="20"/>
          <w:szCs w:val="20"/>
        </w:rPr>
        <w:t xml:space="preserve">Reviewed: california.qmd / california-narration.txt  ·  September 18, 2026  ·  Prepared for Kyle McAuliffe</w:t>
      </w:r>
    </w:p>
    <w:p>
      <w:pPr>
        <w:pStyle w:val="Heading1"/>
        <w:spacing w:after="150" w:before="300"/>
      </w:pPr>
      <w:r>
        <w:t xml:space="preserve">Purpose</w:t>
      </w:r>
    </w:p>
    <w:p>
      <w:pPr>
        <w:spacing w:after="160"/>
      </w:pPr>
      <w:r>
        <w:t xml:space="preserve">A quick pass to check the specific, checkable claims in the California CMS TEAM white paper against public CMS sources before the next publish or share. Five claims were checked. Four hold up as written; one needs a small wording fix; one set of figures is proprietary and outside what a web check can confirm.</w:t>
      </w:r>
    </w:p>
    <w:p>
      <w:pPr>
        <w:pStyle w:val="Heading1"/>
        <w:spacing w:after="150" w:before="300"/>
      </w:pPr>
      <w:r>
        <w:t xml:space="preserve">Findings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2900"/>
      </w:tblGrid>
      <w:tr>
        <w:trPr>
          <w:tblHeader/>
        </w:trPr>
        <w:tc>
          <w:tcPr>
            <w:tcW w:type="dxa" w:w="1500"/>
            <w:shd w:fill="DDE6F0" w:val="clear"/>
          </w:tcPr>
          <w:p>
            <w:r>
              <w:rPr>
                <w:b/>
                <w:bCs/>
              </w:rPr>
              <w:t xml:space="preserve">Status</w:t>
            </w:r>
          </w:p>
        </w:tc>
        <w:tc>
          <w:tcPr>
            <w:tcW w:type="dxa" w:w="5400"/>
            <w:shd w:fill="DDE6F0" w:val="clear"/>
          </w:tcPr>
          <w:p>
            <w:r>
              <w:rPr>
                <w:b/>
                <w:bCs/>
              </w:rPr>
              <w:t xml:space="preserve">Claim in report</w:t>
            </w:r>
          </w:p>
        </w:tc>
        <w:tc>
          <w:tcPr>
            <w:tcW w:type="dxa" w:w="2900"/>
            <w:shd w:fill="DDE6F0" w:val="clear"/>
          </w:tcPr>
          <w:p>
            <w:r>
              <w:rPr>
                <w:b/>
                <w:bCs/>
              </w:rPr>
              <w:t xml:space="preserve">Finding</w:t>
            </w:r>
          </w:p>
        </w:tc>
      </w:tr>
      <w:tr>
        <w:tc>
          <w:tcPr>
            <w:tcW w:type="dxa" w:w="1500"/>
            <w:shd w:fill="2E7D32" w:val="clear"/>
          </w:tcPr>
          <w:p>
            <w:pPr>
              <w:jc w:val="center"/>
            </w:pPr>
            <w:r>
              <w:rPr>
                <w:b/>
                <w:bCs/>
              </w:rPr>
              <w:t xml:space="preserve">Confirmed</w:t>
            </w:r>
          </w:p>
        </w:tc>
        <w:tc>
          <w:tcPr>
            <w:tcW w:type="dxa" w:w="5400"/>
          </w:tcPr>
          <w:p>
            <w:r>
              <w:t xml:space="preserve">107 of 720 hospitals nationally are in California, the largest state roster (~15%).</w:t>
            </w:r>
          </w:p>
        </w:tc>
        <w:tc>
          <w:tcPr>
            <w:tcW w:type="dxa" w:w="2900"/>
          </w:tcPr>
          <w:p>
            <w:r>
              <w:t xml:space="preserve">Matches current public reporting. One secondary source rounds the national total to ~721; treat 720 vs. 721 as source-vintage noise, not an error.</w:t>
            </w:r>
          </w:p>
        </w:tc>
      </w:tr>
      <w:tr>
        <w:tc>
          <w:tcPr>
            <w:tcW w:type="dxa" w:w="1500"/>
            <w:shd w:fill="2E7D32" w:val="clear"/>
          </w:tcPr>
          <w:p>
            <w:pPr>
              <w:jc w:val="center"/>
            </w:pPr>
            <w:r>
              <w:rPr>
                <w:b/>
                <w:bCs/>
              </w:rPr>
              <w:t xml:space="preserve">Confirmed</w:t>
            </w:r>
          </w:p>
        </w:tc>
        <w:tc>
          <w:tcPr>
            <w:tcW w:type="dxa" w:w="5400"/>
          </w:tcPr>
          <w:p>
            <w:r>
              <w:t xml:space="preserve">PY2 quality score adds Falls with Injury, Postoperative Respiratory Failure, and a Failure-to-Rescue (risk-standardized death among surgical complications) measure, replacing PSI-90.</w:t>
            </w:r>
          </w:p>
        </w:tc>
        <w:tc>
          <w:tcPr>
            <w:tcW w:type="dxa" w:w="2900"/>
          </w:tcPr>
          <w:p>
            <w:r>
              <w:t xml:space="preserve">Matches CMS’s FY2027 IPPS proposed rule and CMS TEAM quality-measure fact sheets.</w:t>
            </w:r>
          </w:p>
        </w:tc>
      </w:tr>
      <w:tr>
        <w:tc>
          <w:tcPr>
            <w:tcW w:type="dxa" w:w="1500"/>
            <w:shd w:fill="2E7D32" w:val="clear"/>
          </w:tcPr>
          <w:p>
            <w:pPr>
              <w:jc w:val="center"/>
            </w:pPr>
            <w:r>
              <w:rPr>
                <w:b/>
                <w:bCs/>
              </w:rPr>
              <w:t xml:space="preserve">Confirmed</w:t>
            </w:r>
          </w:p>
        </w:tc>
        <w:tc>
          <w:tcPr>
            <w:tcW w:type="dxa" w:w="5400"/>
          </w:tcPr>
          <w:p>
            <w:r>
              <w:t xml:space="preserve">Three new MS-DRGs for extensive/complex spinal fusion fold into TEAM’s spinal fusion category for discharges on/after Oct 1, 2026.</w:t>
            </w:r>
          </w:p>
        </w:tc>
        <w:tc>
          <w:tcPr>
            <w:tcW w:type="dxa" w:w="2900"/>
          </w:tcPr>
          <w:p>
            <w:r>
              <w:t xml:space="preserve">Matches CMS FY2027 IPPS proposed rule: new MS-DRGs 523/524/525, effective Oct 1, 2026.</w:t>
            </w:r>
          </w:p>
        </w:tc>
      </w:tr>
      <w:tr>
        <w:tc>
          <w:tcPr>
            <w:tcW w:type="dxa" w:w="1500"/>
            <w:shd w:fill="C77800" w:val="clear"/>
          </w:tcPr>
          <w:p>
            <w:pPr>
              <w:jc w:val="center"/>
            </w:pPr>
            <w:r>
              <w:rPr>
                <w:b/>
                <w:bCs/>
              </w:rPr>
              <w:t xml:space="preserve">Needs a tweak</w:t>
            </w:r>
          </w:p>
        </w:tc>
        <w:tc>
          <w:tcPr>
            <w:tcW w:type="dxa" w:w="5400"/>
          </w:tcPr>
          <w:p>
            <w:r>
              <w:t xml:space="preserve">Section 4 implies the hospital-wide, all-cause readmission measure is new starting in PY2, replacing the retiring safety composite.</w:t>
            </w:r>
          </w:p>
        </w:tc>
        <w:tc>
          <w:tcPr>
            <w:tcW w:type="dxa" w:w="2900"/>
          </w:tcPr>
          <w:p>
            <w:r>
              <w:t xml:space="preserve">Per CMS’s own PY1 measure list, the Hybrid Hospital-Wide Readmission measure (CMIT #356) is already active in PY1 alongside PSI-90. What’s new in PY2 is that PSI-90 is replaced by the three measures above — the readmission measure carries over, it doesn’t newly “enter.” Recommend a one-line wording fix so PY1 readers aren’t misled about when it starts counting.</w:t>
            </w:r>
          </w:p>
        </w:tc>
      </w:tr>
      <w:tr>
        <w:tc>
          <w:tcPr>
            <w:tcW w:type="dxa" w:w="1500"/>
            <w:shd w:fill="7A7A7A" w:val="clear"/>
          </w:tcPr>
          <w:p>
            <w:pPr>
              <w:jc w:val="center"/>
            </w:pPr>
            <w:r>
              <w:rPr>
                <w:b/>
                <w:bCs/>
              </w:rPr>
              <w:t xml:space="preserve">Not web-verifiable</w:t>
            </w:r>
          </w:p>
        </w:tc>
        <w:tc>
          <w:tcPr>
            <w:tcW w:type="dxa" w:w="5400"/>
          </w:tcPr>
          <w:p>
            <w:r>
              <w:t xml:space="preserve">CBSA/system-ownership detail: Bay Area 43 hospitals (40%), Inland Empire 30 (28%), 32 of 107 hospitals held by multi-hospital systems, largest system holds 17.</w:t>
            </w:r>
          </w:p>
        </w:tc>
        <w:tc>
          <w:tcPr>
            <w:tcW w:type="dxa" w:w="2900"/>
          </w:tcPr>
          <w:p>
            <w:r>
              <w:t xml:space="preserve">This is proprietary roster-level detail built from the internal hospital list/pipeline (R/source_report.R), not something public search can independently confirm. Recommend a spot-check against the current source data before next publish rather than treating this memo as having verified it.</w:t>
            </w:r>
          </w:p>
        </w:tc>
      </w:tr>
    </w:tbl>
    <w:p>
      <w:pPr>
        <w:pStyle w:val="Heading1"/>
        <w:spacing w:after="150" w:before="300"/>
      </w:pPr>
      <w:r>
        <w:t xml:space="preserve">Recommended edit</w:t>
      </w:r>
    </w:p>
    <w:p>
      <w:pPr>
        <w:spacing w:after="160"/>
      </w:pPr>
      <w:r>
        <w:t xml:space="preserve">In Section 4 ("What changes in Performance Year two"), reframe the readmission sentence so it reads as a measure that </w:t>
      </w:r>
      <w:r>
        <w:rPr>
          <w:i/>
          <w:iCs/>
        </w:rPr>
        <w:t xml:space="preserve">continues</w:t>
      </w:r>
      <w:r>
        <w:t xml:space="preserve"> from PY1 rather than one that newly starts in PY2 — e.g.: "The hospital-wide readmission measure, already part of the score since PY1, keeps counting into PY2 and beyond — but PY2 is when it stops sharing the stage with a safety composite that masked its impact." This preserves the paper’s actual point (medical-condition weakness matters more once the safety composite steps aside) without implying the measure is brand new.</w:t>
      </w:r>
    </w:p>
    <w:p>
      <w:pPr>
        <w:pStyle w:val="Heading1"/>
        <w:spacing w:after="150" w:before="300"/>
      </w:pPr>
      <w:r>
        <w:t xml:space="preserve">Not covered by this pass</w:t>
      </w:r>
    </w:p>
    <w:p>
      <w:pPr>
        <w:spacing w:after="160"/>
      </w:pPr>
      <w:r>
        <w:t xml:space="preserve">Dollar-exposure figures (the paper correctly declines to estimate these), the excess-readmission-ratio numbers by condition (0.980 joint replacement, 1.014 pneumonia, etc.), and the CBSA/system-ownership breakdown all trace back to the internal data pipeline rather than a single public source — worth a data-side spot check, not a web fact-check.</w:t>
      </w:r>
    </w:p>
    <w:p>
      <w:pPr>
        <w:pStyle w:val="Heading1"/>
        <w:spacing w:after="150" w:before="300"/>
      </w:pPr>
      <w:r>
        <w:t xml:space="preserve">Sources checked</w:t>
      </w:r>
    </w:p>
    <w:p>
      <w:pPr>
        <w:pStyle w:val="ListParagraph"/>
        <w:numPr>
          <w:ilvl w:val="0"/>
          <w:numId w:val="2"/>
        </w:numPr>
        <w:spacing w:after="100"/>
      </w:pPr>
      <w:hyperlink w:history="1" r:id="rId60vgdp5s6lm3istuktwoh">
        <w:r>
          <w:rPr>
            <w:rStyle w:val="Hyperlink"/>
          </w:rPr>
          <w:t xml:space="preserve">TEAM (Transforming Episode Accountability Model) — CMS</w:t>
        </w:r>
      </w:hyperlink>
    </w:p>
    <w:p>
      <w:pPr>
        <w:pStyle w:val="ListParagraph"/>
        <w:numPr>
          <w:ilvl w:val="0"/>
          <w:numId w:val="2"/>
        </w:numPr>
        <w:spacing w:after="100"/>
      </w:pPr>
      <w:hyperlink w:history="1" r:id="rIdvzqe8jffgvuamxkd6q-gx">
        <w:r>
          <w:rPr>
            <w:rStyle w:val="Hyperlink"/>
          </w:rPr>
          <w:t xml:space="preserve">CMS TEAM overview (updated), CMS.gov PDF</w:t>
        </w:r>
      </w:hyperlink>
    </w:p>
    <w:p>
      <w:pPr>
        <w:pStyle w:val="ListParagraph"/>
        <w:numPr>
          <w:ilvl w:val="0"/>
          <w:numId w:val="2"/>
        </w:numPr>
        <w:spacing w:after="100"/>
      </w:pPr>
      <w:hyperlink w:history="1" r:id="rIdwafd0dwixl8zechuvanbo">
        <w:r>
          <w:rPr>
            <w:rStyle w:val="Hyperlink"/>
          </w:rPr>
          <w:t xml:space="preserve">CMS TEAM quality measures intro, CMS.gov PDF</w:t>
        </w:r>
      </w:hyperlink>
    </w:p>
    <w:p>
      <w:pPr>
        <w:pStyle w:val="ListParagraph"/>
        <w:numPr>
          <w:ilvl w:val="0"/>
          <w:numId w:val="2"/>
        </w:numPr>
        <w:spacing w:after="100"/>
      </w:pPr>
      <w:hyperlink w:history="1" r:id="rIdrjx-0mpf1j8ws6lzhwxku">
        <w:r>
          <w:rPr>
            <w:rStyle w:val="Hyperlink"/>
          </w:rPr>
          <w:t xml:space="preserve">CMS releases FY 2027 IPPS proposed update — McDermott+</w:t>
        </w:r>
      </w:hyperlink>
    </w:p>
    <w:p>
      <w:pPr>
        <w:pStyle w:val="ListParagraph"/>
        <w:numPr>
          <w:ilvl w:val="0"/>
          <w:numId w:val="2"/>
        </w:numPr>
        <w:spacing w:after="100"/>
      </w:pPr>
      <w:hyperlink w:history="1" r:id="rIdcocyxaw0hkqf9dy1iabde">
        <w:r>
          <w:rPr>
            <w:rStyle w:val="Hyperlink"/>
          </w:rPr>
          <w:t xml:space="preserve">TEAM Methodology Updates, FY 2027 CMS Proposed Rule — Datagen</w:t>
        </w:r>
      </w:hyperlink>
    </w:p>
    <w:p>
      <w:pPr>
        <w:pStyle w:val="ListParagraph"/>
        <w:numPr>
          <w:ilvl w:val="0"/>
          <w:numId w:val="2"/>
        </w:numPr>
        <w:spacing w:after="100"/>
      </w:pPr>
      <w:hyperlink w:history="1" r:id="rIde5jbglcpypcj3eim7ab5l">
        <w:r>
          <w:rPr>
            <w:rStyle w:val="Hyperlink"/>
          </w:rPr>
          <w:t xml:space="preserve">42 CFR § 512.547, Quality measures and composite quality score — eCFR</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0vgdp5s6lm3istuktwoh" Type="http://schemas.openxmlformats.org/officeDocument/2006/relationships/hyperlink" Target="https://www.cms.gov/priorities/innovation/innovation-models/team-model" TargetMode="External"/><Relationship Id="rIdvzqe8jffgvuamxkd6q-gx" Type="http://schemas.openxmlformats.org/officeDocument/2006/relationships/hyperlink" Target="https://www.cms.gov/files/document/team-overview-updated.pdf" TargetMode="External"/><Relationship Id="rIdwafd0dwixl8zechuvanbo" Type="http://schemas.openxmlformats.org/officeDocument/2006/relationships/hyperlink" Target="https://www.cms.gov/files/document/team-model-intro-qual-meas.pdf" TargetMode="External"/><Relationship Id="rIdrjx-0mpf1j8ws6lzhwxku" Type="http://schemas.openxmlformats.org/officeDocument/2006/relationships/hyperlink" Target="https://www.mcdermottplus.com/insights/cms-releases-fy-2027-ipps-proposed-update/" TargetMode="External"/><Relationship Id="rIdcocyxaw0hkqf9dy1iabde" Type="http://schemas.openxmlformats.org/officeDocument/2006/relationships/hyperlink" Target="https://insights.datagen.info/fy-2027-cms-proposed-rule-team-methodology-updates" TargetMode="External"/><Relationship Id="rIde5jbglcpypcj3eim7ab5l" Type="http://schemas.openxmlformats.org/officeDocument/2006/relationships/hyperlink" Target="https://www.ecfr.gov/current/title-42/chapter-IV/subchapter-H/part-512/subpart-E/subject-group-ECFRb25c806d4e6e376/section-512.547"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2026-09-18T17:56:32.171Z</dcterms:created>
  <dcterms:modified xsi:type="dcterms:W3CDTF">2026-09-18T17:56:32.171Z</dcterms:modified>
</cp:coreProperties>
</file>

<file path=docProps/custom.xml><?xml version="1.0" encoding="utf-8"?>
<Properties xmlns="http://schemas.openxmlformats.org/officeDocument/2006/custom-properties" xmlns:vt="http://schemas.openxmlformats.org/officeDocument/2006/docPropsVTypes"/>
</file>