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1.1 Inventory Report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Derby Signaller XRL — Data Audit &amp; Decision Event Extraction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3 May 2026 — Hao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Sandbox-scope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numbers below come from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M-row sample (~ 40 % of the full TD CSV)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scanned in 21 s. The 45 s bash sandbox cannot complete the 12 M-row full pass within a single call. The Python pipeline (`pipeline/p1_1_inventory.py`, `pipeline/p1_1_decisions.py`) is engineered to run identically on the full file when re-executed on your local machine, where the only change is to drop the `nrows` argument. Movements.csv (50 MB, 247 311 rows) is processed in full.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Phase 1.1 goals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This phase establishes three foundational artefacts that all later modelling depends 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 clean inventory of TD_data.csv (column types, event-type breakdown, time coverage, monthly profile, sub-area distribution)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Verification that the five-prefix sub-area decomposition (DW / TD / DC / EC / DY) actually partitions the route_id 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 first decision-event table in which every Panel_Request is parsed into (prefix, signal, letter, sub, class, train_id, headcode_class)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TD inventory (5 M-row sample)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Time range and event-type breakdown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Sample covers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 Feb 2023 15:49 → 21 Sep 2023 12:19</w:t>
      </w:r>
      <w:r>
        <w:rPr>
          <w:rFonts w:ascii="Arial" w:cs="Arial" w:eastAsia="Arial" w:hAnsi="Arial"/>
          <w:sz w:val="22"/>
          <w:szCs w:val="22"/>
        </w:rPr>
        <w:t xml:space="preserve"> (≈ 7 months, vs the full 14-month window).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of sample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≈ 2.80 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56.0 %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819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16.4 %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 berth-step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629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12.6 %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(release, state=0)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232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4.6 %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Panel_Request (Route, state=1)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232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4.6 %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CC berth-interpose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159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CB berth-cancel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81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1.6 %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48 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1.0 %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that Panel_Request count ≈ Route(release) count is exactly the symmetry expected by Chapter 3's framework: every locked route is eventually released. The small (&lt; 1 %) excess of releases over locks is consistent with auto-routed events that the signaller did not actively request but the interlocking still released.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5-prefix sub-area split — verified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All 231,919 Panel_Request decisions in the sample parse cleanly into the five-prefix taxonomy declared in the Training Plan §1 'Signal Prefixes'.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Coverage is 100 % after fixing the regex</w:t>
      </w:r>
      <w:r>
        <w:rPr>
          <w:rFonts w:ascii="Arial" w:cs="Arial" w:eastAsia="Arial" w:hAnsi="Arial"/>
          <w:sz w:val="22"/>
          <w:szCs w:val="22"/>
        </w:rPr>
        <w:t xml:space="preserve"> to allow hyphenated sub-position routes (e.g. RTD5045B-2(M); 1.0 % of decisions).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400"/>
        <w:gridCol w:w="21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Prefix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Sub-area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Panel_Request (sample)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of sample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Derby → Chesterfield (north corridor)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82,417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35.6 %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Trent Jcn → Derby (eastern approach + station)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59,005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25.4 %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DW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Derby → Wichnor Jcn (south corridor)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51,116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22.0 %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Duffield → north (re-controlled segment)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24,630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10.6 %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Etches Park → Chaddesden (depot / sidings)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12,517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5.4 %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This validates the §3.2 decomposition in the proposal directly. The split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imbalanced but covers all five prefixes</w:t>
      </w:r>
      <w:r>
        <w:rPr>
          <w:rFonts w:ascii="Arial" w:cs="Arial" w:eastAsia="Arial" w:hAnsi="Arial"/>
          <w:sz w:val="22"/>
          <w:szCs w:val="22"/>
        </w:rPr>
        <w:t xml:space="preserve"> — a hierarchical action head per prefix is therefore well-justified.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Top 10 decision signals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top 10 signals account for ≈ 35 % of all decisions, a long-tailed concentration consistent with route-setting being focused on Derby station throat and the Chesterfield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62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Decisions in sample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TD-5037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11,137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TD-5040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10,858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TD-5044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9,811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TD-5045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9,313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DC-5104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8,949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DY-564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8,695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DC-5088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8,693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DY-556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8,673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DC-5094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8,647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DC-5101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8,401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Route-class distribution (M / C / 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of sample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route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224,645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96.9 %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Shunt route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6,207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2.7 %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Call-on route (permissive)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1,067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 / PS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Warner / Proceed-on-Sight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0 % (none observed in sample)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 routes dominate as expected. The fact that C and S are present in non-trivial counts means the action-class signature in §4.5 of the proposal is not redundant — these classes capture genuine behavioural distinctions in the data.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Decision-event table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Output: </w:t>
      </w:r>
      <w:r>
        <w:rPr>
          <w:rFonts w:ascii="Consolas" w:cs="Consolas" w:eastAsia="Consolas" w:hAnsi="Consolas"/>
          <w:sz w:val="20"/>
          <w:szCs w:val="20"/>
        </w:rPr>
        <w:t xml:space="preserve">pipeline_out/decision_events_sample.parquet</w:t>
      </w:r>
      <w:r>
        <w:rPr>
          <w:rFonts w:ascii="Arial" w:cs="Arial" w:eastAsia="Arial" w:hAnsi="Arial"/>
          <w:sz w:val="22"/>
          <w:szCs w:val="22"/>
        </w:rPr>
        <w:t xml:space="preserve"> — 231,919 rows × 11 columns.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 of Panel_Request (1 s resolution)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route_id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route string e.g. RTD5045A(M)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prefix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DW / TD / DC / EC / DY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signal_no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number string (e.g. 5045)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letter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 letter (A, B, C, …)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hyphen sub-position number, else NaN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 / C / S / (W / PS reserved)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train_id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trainid_filled from TD_data — operational train identity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hc_class_digit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headcode first digit ∈ {0,1,2,3,4,5,6,7,8,9}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hc_dest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headcode destination letter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hc_serial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headcode 2-digit serial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Headcode parse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decision events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231,919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Headcode parsed (4-char standard)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229,503 (98.96 %)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Unparsed (e.g. '343R' 3-digit + letter)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2,416 (1.04 %)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train IDs in sample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1,715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Headcode-class distribution (parsed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 digit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of parsed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Express passenger / fast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152,846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66.6 %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Stopping / semi-fast passenger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33,140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14.4 %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coaching stock (ECS)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27,747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12.1 %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Heavy freight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8,889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3.9 %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 engine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3,329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1.4 %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 / freight (intermodal)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1,991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Parcels / postal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1,278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Non-standard (see §6 finding F2)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255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0.1 %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Non-standard (see §6 finding F2)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28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0.1 %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Train Movements (TRUST) inventory — full file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Full Movements.csv (50 MB) processed in one pass.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Total: 247,310 rows</w:t>
      </w:r>
      <w:r>
        <w:rPr>
          <w:rFonts w:ascii="Arial" w:cs="Arial" w:eastAsia="Arial" w:hAnsi="Arial"/>
          <w:sz w:val="22"/>
          <w:szCs w:val="22"/>
        </w:rPr>
        <w:t xml:space="preserve"> — exact match with Chapter 3 §3.3.3 ✓.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coverage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Realised events across the full Feb 2023 – Apr 2024 window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train IDs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25,447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loc_stanox (Derby area)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types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DEPARTURE / ARRIVAL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status — LATE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121,893 (49.3 %)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status — EARLY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71,466 (28.9 %)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status — ON TIME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52,986 (21.4 %)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Variation status — OFF ROUTE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965 ( 0.4 %)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platforms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/ 3 / 4 / 5 (each 22–27 k events)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TOC IDs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 (147,160) &gt; 27 (76,179) &gt; 42 (8,401)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timetable_variation — median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timetable_variation — mean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6.17 min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timetable_variation — std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14.20 min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timetable_variation — max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967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2"/>
              <w:left w:val="single" w:color="548235" w:sz="12"/>
              <w:bottom w:val="single" w:color="548235" w:sz="4"/>
              <w:right w:val="single" w:color="548235" w:sz="4"/>
            </w:tcBorders>
            <w:shd w:fill="E2EFD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Reward signal feasibility (good news)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timetable_variation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distribution is well-shaped for an RL reward — heavy-tailed (max 967 min suggests rare disruptions) but with a stable median of 2 min and a 75th percentile of 6 min. After clipping to ±60 min the signal is well-bounded for value learning. The 49 % LATE / 29 % EARLY / 21 % ON TIME mix means there is genuine variation for the reward to learn from — if every train were on time, the policy would have nothing to optimise.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Phase 1.1 findings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Eight findings worth noting before P1.2 begins: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 regex missed 1.0 % of Panel_Requests with hyphen sub-position (RTD5045B-2(M)). Fixed.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Resolved — regex now allows optional `-&lt;n&gt;` sub-position group; 100 % parse achieved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Headcodes 7 and 8 appear (255 + 28 events). UK reporting standard skips 7; 8 is non-standard.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P1.2: investigate; likely either (a) test/maintenance reporting, (b) parcel-class variant, or (c) data-side mis-encoding. Treat as 'unknown class' until characterised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1.04 % of train_ids do not match the 4-character standard (e.g. '343R').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P1.2: parse alternative formats; if cause is non-passenger (engineering / on-track-machine), assign a dedicated class category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5-prefix split is heavily imbalanced (DC 36 % vs EC 5 %).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P3: per-prefix policy heads need reweighted loss; per-prefix metric reporting is essential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10 signals account for ≈ 35 % of decisions; long-tail of 80+ rare signals.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P3: rare-signal regularisation; per-signal-frequency stratified evaluation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 W (Warner) and PS (Proceed-on-Sight) absent in the sample.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full-data scan; if truly absent at Derby, drop them from the action signature; if present they will be explicitly minority-class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Movements timetable_variation has a fat right tail (max 967 min).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P1.3: clip reward to a robust range (e.g. ±60 min); otherwise gradient updates dominated by outliers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TOC 28 (CrossCountry) and TOC 27 (East Midlands Railway) dominate; freight is minority.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passenger:freight imbalance is captured by hc_class digit; consider TOC × hc_class crosstab in P1.2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Pipeline artefacts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pipeline/config.py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Environment-aware paths; constants for prefixes, headcode classes, route classes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pipeline/route_parser.py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Canonical route_id and headcode parsers (Python + vectorised regex pattern)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pipeline/io_utils.py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Chunked TD CSV reader, Movements loader, parquet caching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pipeline/p1_1_inventory.py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Single-pass inventory script (full or sampled)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pipeline/p1_1_decisions.py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Decision-event extraction → parquet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pipeline_out/td_inventory_sample5M.json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 inventory for 5 M-row sample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pipeline_out/movements_inventory.json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Movements inventory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pipeline_out/decision_events_sample.parquet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231,919 decision events with action + headcode parse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pipeline_out/decision_events_summary.json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Aggregate stats over the decision-event table</w:t>
            </w:r>
          </w:p>
        </w:tc>
      </w:tr>
    </w:tbl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  Next: Phase 1.2 plan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Phase 1.2 builds the heterogeneous-graph state representation around each decision event. Concretely: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State at time tₖ — Track / Signal / Route status snapshot in the immediate topological neighbourhood of the focal Panel_Request signal (5–20 nodes per snapshot)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Train-node features — headcode class (parsed), TOC, length proxy from headcode + Movements, and current berth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Schedule context — planned departure/arrival deltas from SCHEDULE / Movements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Decision time τ — how many seconds before / after the train enters the approach-locking horizon was the Panel_Request issued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(s, a) pair → tensor — flatten the heterogeneous graph snapshot to a tensor representation suitable for the HG encoder</w:t>
      </w:r>
    </w:p>
    <w:p>
      <w:pPr>
        <w:spacing w:after="10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Estimated runtime per pass on the full TD file: 2–3 minutes on a workstation. Output will be a parquet of state-tensors keyed on (decision_event_id, asset_id) so subsequent rounds of feature engineering can extend without re-scanning.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Closing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Phase 1.1 is complete on the 5 M-row sample. The pipeline is engineered to extend to the full 12 M-row file without code changes — only re-run with the larger nrows or no nrows. The eight findings above are real artefacts of the data and will shape Phase 1.2 onwards. Once you have a chance to confirm F2 / F3 (the non-standard headcodes), Phase 1.2 can begin.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P1.1 Inventory Report — Derby XRL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2026-05-03T19:47:35.244Z</dcterms:created>
  <dcterms:modified xsi:type="dcterms:W3CDTF">2026-05-03T19:47:35.246Z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