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595959"/>
          <w:sz w:val="22"/>
          <w:szCs w:val="22"/>
        </w:rPr>
        <w:t xml:space="preserve">Research Proposal — v3 (after S-class clarification &amp; narrative reframe)</w:t>
      </w:r>
    </w:p>
    <w:p>
      <w:pPr>
        <w:spacing w:after="80"/>
        <w:jc w:val="center"/>
      </w:pPr>
      <w:r>
        <w:rPr>
          <w:rFonts w:ascii="Arial" w:cs="Arial" w:eastAsia="Arial" w:hAnsi="Arial"/>
          <w:b/>
          <w:bCs/>
          <w:color w:val="1F3864"/>
          <w:sz w:val="36"/>
          <w:szCs w:val="36"/>
        </w:rPr>
        <w:t xml:space="preserve">An End-to-End Expert System for UK Railway Signaller Decisions</w:t>
      </w:r>
    </w:p>
    <w:p>
      <w:pPr>
        <w:spacing w:after="80"/>
        <w:jc w:val="center"/>
      </w:pPr>
      <w:r>
        <w:rPr>
          <w:rFonts w:ascii="Arial" w:cs="Arial" w:eastAsia="Arial" w:hAnsi="Arial"/>
          <w:i/>
          <w:iCs/>
          <w:color w:val="595959"/>
          <w:sz w:val="22"/>
          <w:szCs w:val="22"/>
        </w:rPr>
        <w:t xml:space="preserve">From Open Rail Data Acquisition to Five-Level Explainable Offline + Inverse Reinforcement Learning — Full Derby Workstation Case Study</w:t>
      </w:r>
    </w:p>
    <w:p>
      <w:pPr>
        <w:spacing w:after="60" w:before="240"/>
        <w:jc w:val="center"/>
      </w:pPr>
      <w:r>
        <w:rPr>
          <w:rFonts w:ascii="Arial" w:cs="Arial" w:eastAsia="Arial" w:hAnsi="Arial"/>
          <w:sz w:val="22"/>
          <w:szCs w:val="22"/>
        </w:rPr>
        <w:t xml:space="preserve">Target journals: ESWA / EAAI</w:t>
      </w:r>
    </w:p>
    <w:p>
      <w:pPr>
        <w:spacing w:after="240"/>
        <w:jc w:val="center"/>
      </w:pPr>
      <w:r>
        <w:rPr>
          <w:rFonts w:ascii="Arial" w:cs="Arial" w:eastAsia="Arial" w:hAnsi="Arial"/>
          <w:color w:val="808080"/>
          <w:sz w:val="20"/>
          <w:szCs w:val="20"/>
        </w:rPr>
        <w:t xml:space="preserve">Prepared 3 May 2026 — Hao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12"/>
              <w:left w:val="single" w:color="548235" w:sz="12"/>
              <w:bottom w:val="single" w:color="548235" w:sz="4"/>
              <w:right w:val="single" w:color="548235" w:sz="4"/>
            </w:tcBorders>
            <w:shd w:fill="E2EFD9" w:val="clear"/>
            <w:tcMar>
              <w:top w:type="dxa" w:w="140"/>
              <w:left w:type="dxa" w:w="200"/>
              <w:bottom w:type="dxa" w:w="140"/>
              <w:right w:type="dxa" w:w="200"/>
            </w:tcMar>
          </w:tcPr>
          <w:p>
            <w:pPr>
              <w:spacing w:after="80"/>
            </w:pPr>
            <w:r>
              <w:rPr>
                <w:rFonts w:ascii="Arial" w:cs="Arial" w:eastAsia="Arial" w:hAnsi="Arial"/>
                <w:b/>
                <w:bCs/>
                <w:color w:val="548235"/>
                <w:sz w:val="22"/>
                <w:szCs w:val="22"/>
              </w:rPr>
              <w:t xml:space="preserve">What changed from v2 (four reframing points)</w:t>
            </w:r>
          </w:p>
          <w:p>
            <w:pPr>
              <w:spacing w:after="0"/>
            </w:pPr>
            <w:r>
              <w:rPr>
                <w:rFonts w:ascii="Arial" w:cs="Arial" w:eastAsia="Arial" w:hAnsi="Arial"/>
                <w:b/>
                <w:bCs/>
                <w:sz w:val="22"/>
                <w:szCs w:val="22"/>
              </w:rPr>
              <w:t xml:space="preserve">(1) Narrative shift — replicate AND improve. </w:t>
            </w:r>
            <w:r>
              <w:rPr>
                <w:rFonts w:ascii="Arial" w:cs="Arial" w:eastAsia="Arial" w:hAnsi="Arial"/>
                <w:sz w:val="22"/>
                <w:szCs w:val="22"/>
              </w:rPr>
              <w:t xml:space="preserve">The model is no longer evaluated on how closely it copies the signaller. It is evaluated on a four-way decomposition: </w:t>
            </w:r>
            <w:r>
              <w:rPr>
                <w:rFonts w:ascii="Arial" w:cs="Arial" w:eastAsia="Arial" w:hAnsi="Arial"/>
                <w:i/>
                <w:iCs/>
                <w:sz w:val="22"/>
                <w:szCs w:val="22"/>
              </w:rPr>
              <w:t xml:space="preserve">aligned-and-justified, divergent-and-improving, divergent-and-explained, divergent-and-unsafe. </w:t>
            </w:r>
            <w:r>
              <w:rPr>
                <w:rFonts w:ascii="Arial" w:cs="Arial" w:eastAsia="Arial" w:hAnsi="Arial"/>
                <w:sz w:val="22"/>
                <w:szCs w:val="22"/>
              </w:rPr>
              <w:t xml:space="preserve">CQL is reframed as the mechanism that allows the policy to outperform the demonstrations on heterogeneous-quality demonstration distributions, not just to stay safe.
</w:t>
            </w:r>
            <w:r>
              <w:rPr>
                <w:rFonts w:ascii="Arial" w:cs="Arial" w:eastAsia="Arial" w:hAnsi="Arial"/>
                <w:b/>
                <w:bCs/>
                <w:sz w:val="22"/>
                <w:szCs w:val="22"/>
              </w:rPr>
              <w:t xml:space="preserve">(2) System-level novelty made explicit. </w:t>
            </w:r>
            <w:r>
              <w:rPr>
                <w:rFonts w:ascii="Arial" w:cs="Arial" w:eastAsia="Arial" w:hAnsi="Arial"/>
                <w:sz w:val="22"/>
                <w:szCs w:val="22"/>
              </w:rPr>
              <w:t xml:space="preserve">The Chapter-3 acquisition framework (collector app, SOP decoding, continuity-recovery) is now Stage 1 of the published pipeline. The contribution claim becomes 'an end-to-end expert system from open feeds to selective-override deployment', not just an algorithm.
</w:t>
            </w:r>
            <w:r>
              <w:rPr>
                <w:rFonts w:ascii="Arial" w:cs="Arial" w:eastAsia="Arial" w:hAnsi="Arial"/>
                <w:b/>
                <w:bCs/>
                <w:sz w:val="22"/>
                <w:szCs w:val="22"/>
              </w:rPr>
              <w:t xml:space="preserve">(3) S-class semantics made explicit. </w:t>
            </w:r>
            <w:r>
              <w:rPr>
                <w:rFonts w:ascii="Arial" w:cs="Arial" w:eastAsia="Arial" w:hAnsi="Arial"/>
                <w:sz w:val="22"/>
                <w:szCs w:val="22"/>
              </w:rPr>
              <w:t xml:space="preserve">Each of the five S-class-derived event types (Track / Signal / Route / Panel_Request / TRTS) is mapped to a specific role in state or action.
</w:t>
            </w:r>
            <w:r>
              <w:rPr>
                <w:rFonts w:ascii="Arial" w:cs="Arial" w:eastAsia="Arial" w:hAnsi="Arial"/>
                <w:b/>
                <w:bCs/>
                <w:sz w:val="22"/>
                <w:szCs w:val="22"/>
              </w:rPr>
              <w:t xml:space="preserve">(4) MAF/MAR factual fix. </w:t>
            </w:r>
            <w:r>
              <w:rPr>
                <w:rFonts w:ascii="Arial" w:cs="Arial" w:eastAsia="Arial" w:hAnsi="Arial"/>
                <w:sz w:val="22"/>
                <w:szCs w:val="22"/>
              </w:rPr>
              <w:t xml:space="preserve">The Layer-2 worked example no longer fabricates MAR-aspect specifics that aren't in the data. Route class (M/C/S/W/PS) is retained at the action-signature level only; MAF/MAR remains a §5 Training-Plan rule consulted at Layer 4.</w:t>
            </w:r>
          </w:p>
        </w:tc>
      </w:tr>
    </w:tbl>
    <w:p>
      <w:pPr>
        <w:pStyle w:val="Heading1"/>
        <w:spacing w:after="200" w:before="320"/>
      </w:pPr>
      <w:r>
        <w:rPr>
          <w:rFonts w:ascii="Arial" w:cs="Arial" w:eastAsia="Arial" w:hAnsi="Arial"/>
          <w:b/>
          <w:bCs/>
          <w:color w:val="1F3864"/>
          <w:sz w:val="32"/>
          <w:szCs w:val="32"/>
        </w:rPr>
        <w:t xml:space="preserve">1  Executive Summary</w:t>
      </w:r>
    </w:p>
    <w:p>
      <w:pPr>
        <w:spacing w:after="100" w:line="300"/>
      </w:pPr>
      <w:r>
        <w:rPr>
          <w:rFonts w:ascii="Arial" w:cs="Arial" w:eastAsia="Arial" w:hAnsi="Arial"/>
          <w:sz w:val="22"/>
          <w:szCs w:val="22"/>
        </w:rPr>
        <w:t xml:space="preserve">This proposal sets out a complete expert-system research programme for UK railway signaller decisions, end to end, on real Network Rail Open Rail Data Feeds: from acquisition (the framework already developed in Thesis Chapter 3), through SOP-based decoding, to a heterogeneous-graph offline-RL policy with a Maximum-Entropy Inverse-RL branch, to a five-level interpretability stack, to four concrete deployment modes culminating in </w:t>
      </w:r>
      <w:r>
        <w:rPr>
          <w:rFonts w:ascii="Arial" w:cs="Arial" w:eastAsia="Arial" w:hAnsi="Arial"/>
          <w:b/>
          <w:bCs/>
          <w:sz w:val="22"/>
          <w:szCs w:val="22"/>
        </w:rPr>
        <w:t xml:space="preserve">selective override</w:t>
      </w:r>
      <w:r>
        <w:rPr>
          <w:rFonts w:ascii="Arial" w:cs="Arial" w:eastAsia="Arial" w:hAnsi="Arial"/>
          <w:sz w:val="22"/>
          <w:szCs w:val="22"/>
        </w:rPr>
        <w:t xml:space="preserve"> — the regime in which the model recommends a different route from the human only when the system-level reasoning supports it.</w:t>
      </w:r>
    </w:p>
    <w:p>
      <w:pPr>
        <w:spacing w:after="100" w:line="300"/>
      </w:pPr>
      <w:r>
        <w:rPr>
          <w:rFonts w:ascii="Arial" w:cs="Arial" w:eastAsia="Arial" w:hAnsi="Arial"/>
          <w:sz w:val="22"/>
          <w:szCs w:val="22"/>
        </w:rPr>
        <w:t xml:space="preserve">The crucial conceptual move in v3 is to </w:t>
      </w:r>
      <w:r>
        <w:rPr>
          <w:rFonts w:ascii="Arial" w:cs="Arial" w:eastAsia="Arial" w:hAnsi="Arial"/>
          <w:b/>
          <w:bCs/>
          <w:sz w:val="22"/>
          <w:szCs w:val="22"/>
        </w:rPr>
        <w:t xml:space="preserve">stop treating the signaller's behaviour as the gold standard</w:t>
      </w:r>
      <w:r>
        <w:rPr>
          <w:rFonts w:ascii="Arial" w:cs="Arial" w:eastAsia="Arial" w:hAnsi="Arial"/>
          <w:sz w:val="22"/>
          <w:szCs w:val="22"/>
        </w:rPr>
        <w:t xml:space="preserve">. Fourteen months of demonstrations are heterogeneous in quality across shifts, traffic conditions, and operational stress. Conservative offline RL has the property that, on such distributions, the recovered policy can be </w:t>
      </w:r>
      <w:r>
        <w:rPr>
          <w:rFonts w:ascii="Arial" w:cs="Arial" w:eastAsia="Arial" w:hAnsi="Arial"/>
          <w:i/>
          <w:iCs/>
          <w:sz w:val="22"/>
          <w:szCs w:val="22"/>
        </w:rPr>
        <w:t xml:space="preserve">strictly better</w:t>
      </w:r>
      <w:r>
        <w:rPr>
          <w:rFonts w:ascii="Arial" w:cs="Arial" w:eastAsia="Arial" w:hAnsi="Arial"/>
          <w:sz w:val="22"/>
          <w:szCs w:val="22"/>
        </w:rPr>
        <w:t xml:space="preserve"> than the average demonstration on operational metrics while staying inside the action-support of the data. The five-level explanation stack then has two complementary jobs: when policy and signaller agree, it explains </w:t>
      </w:r>
      <w:r>
        <w:rPr>
          <w:rFonts w:ascii="Arial" w:cs="Arial" w:eastAsia="Arial" w:hAnsi="Arial"/>
          <w:i/>
          <w:iCs/>
          <w:sz w:val="22"/>
          <w:szCs w:val="22"/>
        </w:rPr>
        <w:t xml:space="preserve">why this is good practice</w:t>
      </w:r>
      <w:r>
        <w:rPr>
          <w:rFonts w:ascii="Arial" w:cs="Arial" w:eastAsia="Arial" w:hAnsi="Arial"/>
          <w:sz w:val="22"/>
          <w:szCs w:val="22"/>
        </w:rPr>
        <w:t xml:space="preserve">; when they disagree, it explains </w:t>
      </w:r>
      <w:r>
        <w:rPr>
          <w:rFonts w:ascii="Arial" w:cs="Arial" w:eastAsia="Arial" w:hAnsi="Arial"/>
          <w:i/>
          <w:iCs/>
          <w:sz w:val="22"/>
          <w:szCs w:val="22"/>
        </w:rPr>
        <w:t xml:space="preserve">why the alternative might be safer or faster</w:t>
      </w:r>
      <w:r>
        <w:rPr>
          <w:rFonts w:ascii="Arial" w:cs="Arial" w:eastAsia="Arial" w:hAnsi="Arial"/>
          <w:sz w:val="22"/>
          <w:szCs w:val="22"/>
        </w:rPr>
        <w:t xml:space="preserve"> — and the rule base says whether the alternative is manual-compliant. The result is an expert system that is honestly more useful than a perfect imitator could ever be.</w:t>
      </w:r>
    </w:p>
    <w:p>
      <w:pPr>
        <w:pStyle w:val="Heading1"/>
        <w:spacing w:after="200" w:before="320"/>
      </w:pPr>
      <w:r>
        <w:rPr>
          <w:rFonts w:ascii="Arial" w:cs="Arial" w:eastAsia="Arial" w:hAnsi="Arial"/>
          <w:b/>
          <w:bCs/>
          <w:color w:val="1F3864"/>
          <w:sz w:val="32"/>
          <w:szCs w:val="32"/>
        </w:rPr>
        <w:t xml:space="preserve">2  Background and Motivation</w:t>
      </w:r>
    </w:p>
    <w:p>
      <w:pPr>
        <w:pStyle w:val="Heading2"/>
        <w:spacing w:after="160" w:before="280"/>
      </w:pPr>
      <w:r>
        <w:rPr>
          <w:rFonts w:ascii="Arial" w:cs="Arial" w:eastAsia="Arial" w:hAnsi="Arial"/>
          <w:b/>
          <w:bCs/>
          <w:color w:val="1F3864"/>
          <w:sz w:val="26"/>
          <w:szCs w:val="26"/>
        </w:rPr>
        <w:t xml:space="preserve">2.1  The signaller's decision problem</w:t>
      </w:r>
    </w:p>
    <w:p>
      <w:pPr>
        <w:spacing w:after="100" w:line="300"/>
      </w:pPr>
      <w:r>
        <w:rPr>
          <w:rFonts w:ascii="Arial" w:cs="Arial" w:eastAsia="Arial" w:hAnsi="Arial"/>
          <w:sz w:val="22"/>
          <w:szCs w:val="22"/>
        </w:rPr>
        <w:t xml:space="preserve">On the UK rail network, route setting is the act of selecting and locking a path through the interlocking ahead of an approaching train. At a busy station such as Derby, a signaller continuously decides which route to set, when to set it, and which conflicting train to prioritise. These decisions are tacit and skilled; the Derby Workstation Training Plan codifies many of them as preferred-vs-non-preferred routing, traffic-flow defaults, and exception-handling rules. But the manual is prescriptive, not descriptive — actual operational practice can and does diverge.</w:t>
      </w:r>
    </w:p>
    <w:p>
      <w:pPr>
        <w:pStyle w:val="Heading2"/>
        <w:spacing w:after="160" w:before="280"/>
      </w:pPr>
      <w:r>
        <w:rPr>
          <w:rFonts w:ascii="Arial" w:cs="Arial" w:eastAsia="Arial" w:hAnsi="Arial"/>
          <w:b/>
          <w:bCs/>
          <w:color w:val="1F3864"/>
          <w:sz w:val="26"/>
          <w:szCs w:val="26"/>
        </w:rPr>
        <w:t xml:space="preserve">2.2  Why imitation alone is not the right target</w:t>
      </w:r>
    </w:p>
    <w:p>
      <w:pPr>
        <w:spacing w:after="100" w:line="300"/>
      </w:pPr>
      <w:r>
        <w:rPr>
          <w:rFonts w:ascii="Arial" w:cs="Arial" w:eastAsia="Arial" w:hAnsi="Arial"/>
          <w:sz w:val="22"/>
          <w:szCs w:val="22"/>
        </w:rPr>
        <w:t xml:space="preserve">If the goal were perfect replication of the signaller, the project would be a behaviour-cloning study and its ceiling would be human performance. Two facts make this an undersold framing:</w:t>
      </w:r>
    </w:p>
    <w:p>
      <w:pPr>
        <w:pStyle w:val="ListParagraph"/>
        <w:numPr>
          <w:ilvl w:val="0"/>
          <w:numId w:val="2"/>
        </w:numPr>
        <w:spacing w:after="80" w:line="280"/>
      </w:pPr>
      <w:r>
        <w:rPr>
          <w:rFonts w:ascii="Arial" w:cs="Arial" w:eastAsia="Arial" w:hAnsi="Arial"/>
          <w:sz w:val="22"/>
          <w:szCs w:val="22"/>
        </w:rPr>
        <w:t xml:space="preserve">Demonstrations are mixed-quality. Different shifts, fatigue, exceptional traffic, and information delays mean some logged Panel_Request actions are sub-optimal even by the manual's own standards.</w:t>
      </w:r>
    </w:p>
    <w:p>
      <w:pPr>
        <w:pStyle w:val="ListParagraph"/>
        <w:numPr>
          <w:ilvl w:val="0"/>
          <w:numId w:val="2"/>
        </w:numPr>
        <w:spacing w:after="80" w:line="280"/>
      </w:pPr>
      <w:r>
        <w:rPr>
          <w:rFonts w:ascii="Arial" w:cs="Arial" w:eastAsia="Arial" w:hAnsi="Arial"/>
          <w:sz w:val="22"/>
          <w:szCs w:val="22"/>
        </w:rPr>
        <w:t xml:space="preserve">Offline reinforcement learning with a conservative regulariser (CQL) has been shown across domains to recover policies that improve on demonstrations when those demonstrations are heterogeneous. The improvement comes from learning Q-values rather than only π, and from the regulariser preferring actions that are both in-support and high-Q.</w:t>
      </w:r>
    </w:p>
    <w:p>
      <w:pPr>
        <w:spacing w:after="100" w:line="300"/>
      </w:pPr>
      <w:r>
        <w:rPr>
          <w:rFonts w:ascii="Arial" w:cs="Arial" w:eastAsia="Arial" w:hAnsi="Arial"/>
          <w:sz w:val="22"/>
          <w:szCs w:val="22"/>
        </w:rPr>
        <w:t xml:space="preserve">The right contribution, therefore, is </w:t>
      </w:r>
      <w:r>
        <w:rPr>
          <w:rFonts w:ascii="Arial" w:cs="Arial" w:eastAsia="Arial" w:hAnsi="Arial"/>
          <w:b/>
          <w:bCs/>
          <w:sz w:val="22"/>
          <w:szCs w:val="22"/>
        </w:rPr>
        <w:t xml:space="preserve">learning with measurable improvement, plus per-decision explanation</w:t>
      </w:r>
      <w:r>
        <w:rPr>
          <w:rFonts w:ascii="Arial" w:cs="Arial" w:eastAsia="Arial" w:hAnsi="Arial"/>
          <w:sz w:val="22"/>
          <w:szCs w:val="22"/>
        </w:rPr>
        <w:t xml:space="preserve"> — i.e., the policy at deployment time is honest about both what it agrees with the signaller on and what it would do differently.</w:t>
      </w:r>
    </w:p>
    <w:p>
      <w:pPr>
        <w:pStyle w:val="Heading2"/>
        <w:spacing w:after="160" w:before="280"/>
      </w:pPr>
      <w:r>
        <w:rPr>
          <w:rFonts w:ascii="Arial" w:cs="Arial" w:eastAsia="Arial" w:hAnsi="Arial"/>
          <w:b/>
          <w:bCs/>
          <w:color w:val="1F3864"/>
          <w:sz w:val="26"/>
          <w:szCs w:val="26"/>
        </w:rPr>
        <w:t xml:space="preserve">2.3  The signaller as a 'dispatching game'</w:t>
      </w:r>
    </w:p>
    <w:p>
      <w:pPr>
        <w:spacing w:after="100" w:line="300"/>
      </w:pPr>
      <w:r>
        <w:rPr>
          <w:rFonts w:ascii="Arial" w:cs="Arial" w:eastAsia="Arial" w:hAnsi="Arial"/>
          <w:sz w:val="22"/>
          <w:szCs w:val="22"/>
        </w:rPr>
        <w:t xml:space="preserve">The Derby workstation has the structure of a sequential decision game: 123 assets, 248 track sections, 447 routes, trains entering and leaving on a schedule, an implicit score over delay/conflict/throughput. Critically, the player has been observed for 14 months, the rules are partly written down (Training Plan), and the score is observable from a separate feed (TRUST). This is an unusually clean setting for both offline RL and inverse RL.</w:t>
      </w:r>
    </w:p>
    <w:p>
      <w:pPr>
        <w:pStyle w:val="Heading2"/>
        <w:spacing w:after="160" w:before="280"/>
      </w:pPr>
      <w:r>
        <w:rPr>
          <w:rFonts w:ascii="Arial" w:cs="Arial" w:eastAsia="Arial" w:hAnsi="Arial"/>
          <w:b/>
          <w:bCs/>
          <w:color w:val="1F3864"/>
          <w:sz w:val="26"/>
          <w:szCs w:val="26"/>
        </w:rPr>
        <w:t xml:space="preserve">2.4  Literature gap</w:t>
      </w:r>
    </w:p>
    <w:p>
      <w:pPr>
        <w:spacing w:after="100" w:line="300"/>
      </w:pPr>
      <w:r>
        <w:rPr>
          <w:rFonts w:ascii="Arial" w:cs="Arial" w:eastAsia="Arial" w:hAnsi="Arial"/>
          <w:sz w:val="22"/>
          <w:szCs w:val="22"/>
        </w:rPr>
        <w:t xml:space="preserve">The closest recent works are summarised below. None of them simultaneously offer demonstration-based learning, real open-feed data, recovered-reward analysis, multi-level interpretability, and an integrated acquisition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500"/>
        <w:gridCol w:w="1700"/>
        <w:gridCol w:w="2260"/>
      </w:tblGrid>
      <w:tr>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Reference</w:t>
            </w:r>
          </w:p>
        </w:tc>
        <w:tc>
          <w:tcPr>
            <w:tcW w:type="dxa" w:w="1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Approach</w:t>
            </w:r>
          </w:p>
        </w:tc>
        <w:tc>
          <w:tcPr>
            <w:tcW w:type="dxa" w:w="11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Data</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Improvement framing</w:t>
            </w:r>
          </w:p>
        </w:tc>
        <w:tc>
          <w:tcPr>
            <w:tcW w:type="dxa" w:w="1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Interpretability</w:t>
            </w:r>
          </w:p>
        </w:tc>
        <w:tc>
          <w:tcPr>
            <w:tcW w:type="dxa" w:w="22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Acquisition stack</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Šemrov et al. (Trans. Res. B, 2016)</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Q-learning train rescheduling — single-track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Synthetic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Optimisation only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Khadilkar (T-ITS, 2019)</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Scalable Q-learning extension for dispatch (priority-weighted delay)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Synthetic single/multi-track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Optimisation only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Liu, Lin &amp; Liu (2024)</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RL single-track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Synthetic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Optimisation only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Liu et al. (Appl. Sci.,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Multi-agent DRL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Simulated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Optimisation only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L2RP (Trans. Res. C,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GNN+DRL platforming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Synthetic+benchmark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Optimisation only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Limited</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DT + intrinsic motivation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Sequence-modelling offline RL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D4RL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Optimisation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Representation-level</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Pragmatic / Counterfactual BC (2025)</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Interpretable BC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Healthcare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Replication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Rule-style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This proposal (v3)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Offline RL + IRL on Derby Open-Feed demonstrations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Real 14-month TD/TM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Replicate AND improve, with selective override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5-level (intrinsic + decision + system + manual + recovered-reward)</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Integrated Ch-3 collector + SOP decoder</w:t>
            </w:r>
          </w:p>
        </w:tc>
      </w:tr>
    </w:tbl>
    <w:p>
      <w:pPr>
        <w:pStyle w:val="Heading2"/>
        <w:spacing w:after="160" w:before="280"/>
      </w:pPr>
      <w:r>
        <w:rPr>
          <w:rFonts w:ascii="Arial" w:cs="Arial" w:eastAsia="Arial" w:hAnsi="Arial"/>
          <w:b/>
          <w:bCs/>
          <w:color w:val="1F3864"/>
          <w:sz w:val="26"/>
          <w:szCs w:val="26"/>
        </w:rPr>
        <w:t xml:space="preserve">2.5  Research questions</w:t>
      </w:r>
    </w:p>
    <w:p>
      <w:pPr>
        <w:pStyle w:val="ListParagraph"/>
        <w:numPr>
          <w:ilvl w:val="0"/>
          <w:numId w:val="2"/>
        </w:numPr>
        <w:spacing w:after="80" w:line="280"/>
      </w:pPr>
      <w:r>
        <w:rPr>
          <w:rFonts w:ascii="Arial" w:cs="Arial" w:eastAsia="Arial" w:hAnsi="Arial"/>
          <w:sz w:val="22"/>
          <w:szCs w:val="22"/>
        </w:rPr>
        <w:t xml:space="preserve">RQ1 — Can a policy trained from logged Panel_Request demonstrations across the full Derby workstation reproduce the signaller's choices when the signaller is right, and propose better-or-equal choices when the signaller is sub-optimal?</w:t>
      </w:r>
    </w:p>
    <w:p>
      <w:pPr>
        <w:pStyle w:val="ListParagraph"/>
        <w:numPr>
          <w:ilvl w:val="0"/>
          <w:numId w:val="2"/>
        </w:numPr>
        <w:spacing w:after="80" w:line="280"/>
      </w:pPr>
      <w:r>
        <w:rPr>
          <w:rFonts w:ascii="Arial" w:cs="Arial" w:eastAsia="Arial" w:hAnsi="Arial"/>
          <w:sz w:val="22"/>
          <w:szCs w:val="22"/>
        </w:rPr>
        <w:t xml:space="preserve">RQ2 — When the policy diverges from the signaller, can the five-level explanation stack reliably indicate (a) why, (b) what the system-level consequence is, and (c) whether the alternative is manual-compliant?</w:t>
      </w:r>
    </w:p>
    <w:p>
      <w:pPr>
        <w:pStyle w:val="ListParagraph"/>
        <w:numPr>
          <w:ilvl w:val="0"/>
          <w:numId w:val="2"/>
        </w:numPr>
        <w:spacing w:after="80" w:line="280"/>
      </w:pPr>
      <w:r>
        <w:rPr>
          <w:rFonts w:ascii="Arial" w:cs="Arial" w:eastAsia="Arial" w:hAnsi="Arial"/>
          <w:sz w:val="22"/>
          <w:szCs w:val="22"/>
        </w:rPr>
        <w:t xml:space="preserve">RQ3 — What weights over the five operational dimensions (delay, conflict, throughput, switching, priority) does inverse RL attribute to the signaller, and how do they vary across shifts and operational regimes?</w:t>
      </w:r>
    </w:p>
    <w:p>
      <w:pPr>
        <w:pStyle w:val="ListParagraph"/>
        <w:numPr>
          <w:ilvl w:val="0"/>
          <w:numId w:val="2"/>
        </w:numPr>
        <w:spacing w:after="80" w:line="280"/>
      </w:pPr>
      <w:r>
        <w:rPr>
          <w:rFonts w:ascii="Arial" w:cs="Arial" w:eastAsia="Arial" w:hAnsi="Arial"/>
          <w:sz w:val="22"/>
          <w:szCs w:val="22"/>
        </w:rPr>
        <w:t xml:space="preserve">RQ4 — Does the selective-override deployment mode produce strictly better operational outcomes than either pure imitation or always-follow-the-signaller, while preserving manual compliance?</w:t>
      </w:r>
    </w:p>
    <w:p>
      <w:pPr>
        <w:pStyle w:val="ListParagraph"/>
        <w:numPr>
          <w:ilvl w:val="0"/>
          <w:numId w:val="2"/>
        </w:numPr>
        <w:spacing w:after="80" w:line="280"/>
      </w:pPr>
      <w:r>
        <w:rPr>
          <w:rFonts w:ascii="Arial" w:cs="Arial" w:eastAsia="Arial" w:hAnsi="Arial"/>
          <w:sz w:val="22"/>
          <w:szCs w:val="22"/>
        </w:rPr>
        <w:t xml:space="preserve">RQ5 — Is the integrated pipeline (acquisition → decoding → policy → explanation → deployment) reproducible by other research groups on other UK signalling areas?</w:t>
      </w:r>
    </w:p>
    <w:p>
      <w:pPr>
        <w:pStyle w:val="Heading1"/>
        <w:spacing w:after="200" w:before="320"/>
      </w:pPr>
      <w:r>
        <w:rPr>
          <w:rFonts w:ascii="Arial" w:cs="Arial" w:eastAsia="Arial" w:hAnsi="Arial"/>
          <w:b/>
          <w:bCs/>
          <w:color w:val="1F3864"/>
          <w:sz w:val="32"/>
          <w:szCs w:val="32"/>
        </w:rPr>
        <w:t xml:space="preserve">3  The Integrated Pipeline (the system-level contribution)</w:t>
      </w:r>
    </w:p>
    <w:p>
      <w:pPr>
        <w:spacing w:after="100" w:line="300"/>
      </w:pPr>
      <w:r>
        <w:rPr>
          <w:rFonts w:ascii="Arial" w:cs="Arial" w:eastAsia="Arial" w:hAnsi="Arial"/>
          <w:sz w:val="22"/>
          <w:szCs w:val="22"/>
        </w:rPr>
        <w:t xml:space="preserve">v3 makes the full pipeline a first-class deliverable. Stage 1 was developed in Thesis Chapter 3 and is now reused as a published, cited component. Stages 2–5 are the new methodological contributions of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500"/>
        <w:gridCol w:w="4960"/>
      </w:tblGrid>
      <w:tr>
        <w:tc>
          <w:tcPr>
            <w:tcW w:type="dxa" w:w="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Origin</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Key artefact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Live data acquisition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Chapter 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Application-based collector with broker subscription, heartbeat monitoring, controlled cleanup, exponential-backoff reconnection, and subscription recovery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SOP-based decoding &amp; event categorisation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Chapter 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Algorithm 3.1 — converts S-class addresses + bytes + bits into the five decoded event types (TRTS / Route / Panel Request / Track Status / Signal). C-class (CA/CB/CC) handled separately for berth tracking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S3</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MDP construction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This paper §4</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(state, action, reward, next-state) tuples per Panel_Request decision event; per-prefix sub-area heads; five-dim feature engineering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S4</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Policy learning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This paper §5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HG-DT-CQL trained on demonstrations; MaxEnt-IRL branch fitted post-hoc</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Five-level interpretability + selective-override deployment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This paper §6 + §7</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 attention; L2 Q-gap SHAP; L3 counterfactual rollout; L4 rule-base alignment; L5 recovered weights; selective-override decision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4"/>
              <w:right w:val="single" w:color="1F3864" w:sz="4"/>
            </w:tcBorders>
            <w:shd w:fill="DEEAF6" w:val="clear"/>
            <w:tcMar>
              <w:top w:type="dxa" w:w="140"/>
              <w:left w:type="dxa" w:w="200"/>
              <w:bottom w:type="dxa" w:w="140"/>
              <w:right w:type="dxa" w:w="200"/>
            </w:tcMar>
          </w:tcPr>
          <w:p>
            <w:pPr>
              <w:spacing w:after="80"/>
            </w:pPr>
            <w:r>
              <w:rPr>
                <w:rFonts w:ascii="Arial" w:cs="Arial" w:eastAsia="Arial" w:hAnsi="Arial"/>
                <w:b/>
                <w:bCs/>
                <w:color w:val="1F3864"/>
                <w:sz w:val="22"/>
                <w:szCs w:val="22"/>
              </w:rPr>
              <w:t xml:space="preserve">Why Stage 1 matters as a contribution</w:t>
            </w:r>
          </w:p>
          <w:p>
            <w:pPr>
              <w:spacing w:after="0"/>
            </w:pPr>
            <w:r>
              <w:rPr>
                <w:rFonts w:ascii="Arial" w:cs="Arial" w:eastAsia="Arial" w:hAnsi="Arial"/>
                <w:sz w:val="22"/>
                <w:szCs w:val="22"/>
              </w:rPr>
              <w:t xml:space="preserve">ESWA / EAAI reviewers consistently reward end-to-end systems with reproducibility. The Chapter-3 collector is not a re-implementation of standard streaming infrastructure — it solves three operationally-specific problems: (i) </w:t>
            </w:r>
            <w:r>
              <w:rPr>
                <w:rFonts w:ascii="Arial" w:cs="Arial" w:eastAsia="Arial" w:hAnsi="Arial"/>
                <w:b/>
                <w:bCs/>
                <w:sz w:val="22"/>
                <w:szCs w:val="22"/>
              </w:rPr>
              <w:t xml:space="preserve">subscription-state recovery after broker disconnection</w:t>
            </w:r>
            <w:r>
              <w:rPr>
                <w:rFonts w:ascii="Arial" w:cs="Arial" w:eastAsia="Arial" w:hAnsi="Arial"/>
                <w:sz w:val="22"/>
                <w:szCs w:val="22"/>
              </w:rPr>
              <w:t xml:space="preserve">, which is necessary for sustained 14-month coverage; (ii) </w:t>
            </w:r>
            <w:r>
              <w:rPr>
                <w:rFonts w:ascii="Arial" w:cs="Arial" w:eastAsia="Arial" w:hAnsi="Arial"/>
                <w:b/>
                <w:bCs/>
                <w:sz w:val="22"/>
                <w:szCs w:val="22"/>
              </w:rPr>
              <w:t xml:space="preserve">area-specific SOP-based decoding</w:t>
            </w:r>
            <w:r>
              <w:rPr>
                <w:rFonts w:ascii="Arial" w:cs="Arial" w:eastAsia="Arial" w:hAnsi="Arial"/>
                <w:sz w:val="22"/>
                <w:szCs w:val="22"/>
              </w:rPr>
              <w:t xml:space="preserve"> of S-class messages, which converts proprietary-style bit-level signalling data into research-friendly event categories; (iii) </w:t>
            </w:r>
            <w:r>
              <w:rPr>
                <w:rFonts w:ascii="Arial" w:cs="Arial" w:eastAsia="Arial" w:hAnsi="Arial"/>
                <w:b/>
                <w:bCs/>
                <w:sz w:val="22"/>
                <w:szCs w:val="22"/>
              </w:rPr>
              <w:t xml:space="preserve">structured preservation</w:t>
            </w:r>
            <w:r>
              <w:rPr>
                <w:rFonts w:ascii="Arial" w:cs="Arial" w:eastAsia="Arial" w:hAnsi="Arial"/>
                <w:sz w:val="22"/>
                <w:szCs w:val="22"/>
              </w:rPr>
              <w:t xml:space="preserve"> with feed-specific handling. Without these, the demonstration-based study is not feasible. By citing Chapter 3 as Stage 1 the paper inherits this contribution and presents the entire pipeline as a single artefact.</w:t>
            </w:r>
          </w:p>
        </w:tc>
      </w:tr>
    </w:tbl>
    <w:p>
      <w:pPr>
        <w:pStyle w:val="Heading1"/>
        <w:spacing w:after="200" w:before="320"/>
      </w:pPr>
      <w:r>
        <w:rPr>
          <w:rFonts w:ascii="Arial" w:cs="Arial" w:eastAsia="Arial" w:hAnsi="Arial"/>
          <w:b/>
          <w:bCs/>
          <w:color w:val="1F3864"/>
          <w:sz w:val="32"/>
          <w:szCs w:val="32"/>
        </w:rPr>
        <w:t xml:space="preserve">4  Data Foundation and MDP Construction</w:t>
      </w:r>
    </w:p>
    <w:p>
      <w:pPr>
        <w:pStyle w:val="Heading2"/>
        <w:spacing w:after="160" w:before="280"/>
      </w:pPr>
      <w:r>
        <w:rPr>
          <w:rFonts w:ascii="Arial" w:cs="Arial" w:eastAsia="Arial" w:hAnsi="Arial"/>
          <w:b/>
          <w:bCs/>
          <w:color w:val="1F3864"/>
          <w:sz w:val="26"/>
          <w:szCs w:val="26"/>
        </w:rPr>
        <w:t xml:space="preserve">4.1  S-class events → state / action mapping</w:t>
      </w:r>
    </w:p>
    <w:p>
      <w:pPr>
        <w:spacing w:after="100" w:line="300"/>
      </w:pPr>
      <w:r>
        <w:rPr>
          <w:rFonts w:ascii="Arial" w:cs="Arial" w:eastAsia="Arial" w:hAnsi="Arial"/>
          <w:sz w:val="22"/>
          <w:szCs w:val="22"/>
        </w:rPr>
        <w:t xml:space="preserve">S-class messages decompose, after SOP decoding, into five event categories used in this study (Chapter 3 Table 3.4). The role of each in the MDP is now stated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S-class derived event</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Role in MDP</w:t>
            </w:r>
          </w:p>
        </w:tc>
        <w:tc>
          <w:tcPr>
            <w:tcW w:type="dxa" w:w="3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Feature contribution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Track Status (track section occupied / cleared)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State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Per-track-section binary occupancy node feature; aggregated into 'busy region' indicators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Signal (signal aspect change)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State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Per-signal aspect feature (most-restrictive vs. not); recent-aspect-history short window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Route (state = 0, route released)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State / next-state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Indicates a route just freed up; provides realised dwell of the route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Panel_Request (Route, state = 1, route locked)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Action label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The supervised target — the (prefix, signal, letter, class) tuple. The signaller's action.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TRTS (Train Ready to Start 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State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Driver-side readiness indicator on platforms; useful for predicting departure timing decisions</w:t>
            </w:r>
          </w:p>
        </w:tc>
      </w:tr>
    </w:tbl>
    <w:p>
      <w:pPr>
        <w:spacing w:after="100" w:line="300"/>
      </w:pPr>
      <w:r>
        <w:rPr>
          <w:rFonts w:ascii="Arial" w:cs="Arial" w:eastAsia="Arial" w:hAnsi="Arial"/>
          <w:sz w:val="22"/>
          <w:szCs w:val="22"/>
        </w:rPr>
        <w:t xml:space="preserve">C-class events (CA berth-step, CB berth-cancel, CC berth-interpose) provide train identity tracking and feed train-node features (current berth, previous berth, headcode). Train Movements (TRUST) supplies realised vs. planned timestamps for the reward signal.</w:t>
      </w:r>
    </w:p>
    <w:p>
      <w:pPr>
        <w:pStyle w:val="Heading2"/>
        <w:spacing w:after="160" w:before="280"/>
      </w:pPr>
      <w:r>
        <w:rPr>
          <w:rFonts w:ascii="Arial" w:cs="Arial" w:eastAsia="Arial" w:hAnsi="Arial"/>
          <w:b/>
          <w:bCs/>
          <w:color w:val="1F3864"/>
          <w:sz w:val="26"/>
          <w:szCs w:val="26"/>
        </w:rPr>
        <w:t xml:space="preserve">4.2  Five-prefix sub-area decomposition</w:t>
      </w:r>
    </w:p>
    <w:p>
      <w:pPr>
        <w:spacing w:after="100" w:line="300"/>
      </w:pPr>
      <w:r>
        <w:rPr>
          <w:rFonts w:ascii="Arial" w:cs="Arial" w:eastAsia="Arial" w:hAnsi="Arial"/>
          <w:sz w:val="22"/>
          <w:szCs w:val="22"/>
        </w:rPr>
        <w:t xml:space="preserve">Per the Training Plan, signals on the Derby workstation are prefixed by line of route. The five prefixes — DW (Derby–Wichnor Jcn), TD (Trent Jcn–Derby), DC (Derby–Chesterfield), EC (Etches Park–Chaddesden), DY (Duffield to north, retains DY prefix per re-control) — partition the 447 routes into five sub-areas. They serve as a hierarchical prior (per-prefix policy heads) and as an evaluation slice (per-prefix metrics).</w:t>
      </w:r>
    </w:p>
    <w:p>
      <w:pPr>
        <w:pStyle w:val="Heading2"/>
        <w:spacing w:after="160" w:before="280"/>
      </w:pPr>
      <w:r>
        <w:rPr>
          <w:rFonts w:ascii="Arial" w:cs="Arial" w:eastAsia="Arial" w:hAnsi="Arial"/>
          <w:b/>
          <w:bCs/>
          <w:color w:val="1F3864"/>
          <w:sz w:val="26"/>
          <w:szCs w:val="26"/>
        </w:rPr>
        <w:t xml:space="preserve">4.3  Headcode → class encoding</w:t>
      </w:r>
    </w:p>
    <w:p>
      <w:pPr>
        <w:spacing w:after="100" w:line="300"/>
      </w:pPr>
      <w:r>
        <w:rPr>
          <w:rFonts w:ascii="Arial" w:cs="Arial" w:eastAsia="Arial" w:hAnsi="Arial"/>
          <w:sz w:val="22"/>
          <w:szCs w:val="22"/>
        </w:rPr>
        <w:t xml:space="preserve">Following the UK train-reporting number scheme, the first digit of the four-character headcode encodes the train class. Class meanings are taken from the supplied headcode reference (Wikipedia / Open Rail Data Wiki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First digit</w:t>
            </w:r>
          </w:p>
        </w:tc>
        <w:tc>
          <w:tcPr>
            <w:tcW w:type="dxa" w:w="7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Class meaning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Express passenger / fast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Stopping / semi-fast passenger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Parcels / postal (historical use, occasional)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Container / freight (intermodal)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Empty coaching stock (ECS)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Heavy freight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9</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High-speed / Channel Tunnel / VSTP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0</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Light engine</w:t>
            </w:r>
          </w:p>
        </w:tc>
      </w:tr>
    </w:tbl>
    <w:p>
      <w:pPr>
        <w:spacing w:after="100" w:line="300"/>
      </w:pPr>
      <w:r>
        <w:rPr>
          <w:rFonts w:ascii="Arial" w:cs="Arial" w:eastAsia="Arial" w:hAnsi="Arial"/>
          <w:sz w:val="22"/>
          <w:szCs w:val="22"/>
        </w:rPr>
        <w:t xml:space="preserve">The class is treated as a categorical state feature (one-hot or learned embedding) on each train-node of the heterogeneous graph. </w:t>
      </w:r>
      <w:r>
        <w:rPr>
          <w:rFonts w:ascii="Arial" w:cs="Arial" w:eastAsia="Arial" w:hAnsi="Arial"/>
          <w:b/>
          <w:bCs/>
          <w:sz w:val="22"/>
          <w:szCs w:val="22"/>
        </w:rPr>
        <w:t xml:space="preserve">No numerical priority weight is asserted as a prior — none is published as a UK industry standard. </w:t>
      </w:r>
      <w:r>
        <w:rPr>
          <w:rFonts w:ascii="Arial" w:cs="Arial" w:eastAsia="Arial" w:hAnsi="Arial"/>
          <w:sz w:val="22"/>
          <w:szCs w:val="22"/>
        </w:rPr>
        <w:t xml:space="preserve">Whatever effective priority weighting the signaller applies emerges (a) from the policy via Q-values that learn to value certain classes more in certain states, and (b) from the IRL branch (§5.4), which recovers per-class effective weights w*_class from the demonstrations and reports the result as an empirical finding rather than a calibrated assumption.</w:t>
      </w:r>
    </w:p>
    <w:p>
      <w:pPr>
        <w:pStyle w:val="Heading2"/>
        <w:spacing w:after="160" w:before="280"/>
      </w:pPr>
      <w:r>
        <w:rPr>
          <w:rFonts w:ascii="Arial" w:cs="Arial" w:eastAsia="Arial" w:hAnsi="Arial"/>
          <w:b/>
          <w:bCs/>
          <w:color w:val="1F3864"/>
          <w:sz w:val="26"/>
          <w:szCs w:val="26"/>
        </w:rPr>
        <w:t xml:space="preserve">4.4  Panel_Request semantic clarification</w:t>
      </w:r>
    </w:p>
    <w:p>
      <w:pPr>
        <w:spacing w:after="100" w:line="300"/>
      </w:pPr>
      <w:r>
        <w:rPr>
          <w:rFonts w:ascii="Arial" w:cs="Arial" w:eastAsia="Arial" w:hAnsi="Arial"/>
          <w:sz w:val="22"/>
          <w:szCs w:val="22"/>
        </w:rPr>
        <w:t xml:space="preserve">Raw S-class carries a single </w:t>
      </w:r>
      <w:r>
        <w:rPr>
          <w:rFonts w:ascii="Arial" w:cs="Arial" w:eastAsia="Arial" w:hAnsi="Arial"/>
          <w:b/>
          <w:bCs/>
          <w:sz w:val="22"/>
          <w:szCs w:val="22"/>
        </w:rPr>
        <w:t xml:space="preserve">Route</w:t>
      </w:r>
      <w:r>
        <w:rPr>
          <w:rFonts w:ascii="Arial" w:cs="Arial" w:eastAsia="Arial" w:hAnsi="Arial"/>
          <w:sz w:val="22"/>
          <w:szCs w:val="22"/>
        </w:rPr>
        <w:t xml:space="preserve"> event whose state toggles 0↔1. The pre-processed dataset partitions it into </w:t>
      </w:r>
      <w:r>
        <w:rPr>
          <w:rFonts w:ascii="Arial" w:cs="Arial" w:eastAsia="Arial" w:hAnsi="Arial"/>
          <w:b/>
          <w:bCs/>
          <w:sz w:val="22"/>
          <w:szCs w:val="22"/>
        </w:rPr>
        <w:t xml:space="preserve">Panel_Request</w:t>
      </w:r>
      <w:r>
        <w:rPr>
          <w:rFonts w:ascii="Arial" w:cs="Arial" w:eastAsia="Arial" w:hAnsi="Arial"/>
          <w:sz w:val="22"/>
          <w:szCs w:val="22"/>
        </w:rPr>
        <w:t xml:space="preserve"> (state=1, locked) and </w:t>
      </w:r>
      <w:r>
        <w:rPr>
          <w:rFonts w:ascii="Arial" w:cs="Arial" w:eastAsia="Arial" w:hAnsi="Arial"/>
          <w:b/>
          <w:bCs/>
          <w:sz w:val="22"/>
          <w:szCs w:val="22"/>
        </w:rPr>
        <w:t xml:space="preserve">Route</w:t>
      </w:r>
      <w:r>
        <w:rPr>
          <w:rFonts w:ascii="Arial" w:cs="Arial" w:eastAsia="Arial" w:hAnsi="Arial"/>
          <w:sz w:val="22"/>
          <w:szCs w:val="22"/>
        </w:rPr>
        <w:t xml:space="preserve"> (state=0, released). No operator-level identifier exists — only the workstation. Multi-shift heterogeneity is therefore absorbed into the modelling stack via a Mixture-of-Experts policy head and per-cluster IRL.</w:t>
      </w:r>
    </w:p>
    <w:p>
      <w:pPr>
        <w:pStyle w:val="Heading2"/>
        <w:spacing w:after="160" w:before="280"/>
      </w:pPr>
      <w:r>
        <w:rPr>
          <w:rFonts w:ascii="Arial" w:cs="Arial" w:eastAsia="Arial" w:hAnsi="Arial"/>
          <w:b/>
          <w:bCs/>
          <w:color w:val="1F3864"/>
          <w:sz w:val="26"/>
          <w:szCs w:val="26"/>
        </w:rPr>
        <w:t xml:space="preserve">4.5  MDP definition (v3, finalised)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7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State sₜ</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Heterogeneous-graph snapshot at decision events: nodes for each track section, signal, route, berth, and approaching train. Node features fed by the S-class → state mapping in §4.1. Train-node features include headcode-derived priority class, TOC, length, planned platform from SCHEDULE.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Action aₜ</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Two-stage discrete choice. Stage 1 — 'set / wait' over the dynamically masked candidate-route set Aₜ plus a no-op. Stage 2, given 'set' — which route in Aₜ. Each route id parses as (prefix∈{DW,TD,DC,EC,DY}, signal_no, route_letter, class∈{M,C,S,W,PS}). The class field is part of the action signature and explanation, but no aspect-runtime variant such as MAF/MAR is encoded as a feature because the data does not carry 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Decision event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Either (i) a Panel_Request occurs (training-time positive) or (ii) a focal train enters the approach-locking horizon of any signal whose Aₜ is non-empty (training-time wait-negative).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Reward rₜ</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Composite over five operational dimensions: r = w₁·(−|Δ-delay|) + w₂·(−1[conflict]) + w₃·(throughput) + w₄·(−switching_60s) + w₅·(priority). Weights are uniform priors during initial offline training and are post-hoc recovered by the MaxEnt-IRL branch. Manual compliance is NOT in the reward — reserved for L4 evaluation 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Transition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Exact next state observed in the data; no simulator needed for behaviour we already saw.</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Horizon / episode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Lifecycle of one train through the Derby area, typically 5–25 Panel_Requests. Multiple overlapping episodes share state when trains coincide; handled via the graph encoder.</w:t>
            </w:r>
          </w:p>
        </w:tc>
      </w:tr>
    </w:tbl>
    <w:p>
      <w:pPr>
        <w:pStyle w:val="Heading1"/>
        <w:spacing w:after="200" w:before="320"/>
      </w:pPr>
      <w:r>
        <w:rPr>
          <w:rFonts w:ascii="Arial" w:cs="Arial" w:eastAsia="Arial" w:hAnsi="Arial"/>
          <w:b/>
          <w:bCs/>
          <w:color w:val="1F3864"/>
          <w:sz w:val="32"/>
          <w:szCs w:val="32"/>
        </w:rPr>
        <w:t xml:space="preserve">5  Methodology</w:t>
      </w:r>
    </w:p>
    <w:p>
      <w:pPr>
        <w:pStyle w:val="Heading2"/>
        <w:spacing w:after="160" w:before="280"/>
      </w:pPr>
      <w:r>
        <w:rPr>
          <w:rFonts w:ascii="Arial" w:cs="Arial" w:eastAsia="Arial" w:hAnsi="Arial"/>
          <w:b/>
          <w:bCs/>
          <w:color w:val="1F3864"/>
          <w:sz w:val="26"/>
          <w:szCs w:val="26"/>
        </w:rPr>
        <w:t xml:space="preserve">5.1  Architecture overview</w:t>
      </w:r>
    </w:p>
    <w:p>
      <w:pPr>
        <w:spacing w:after="100" w:line="300"/>
      </w:pPr>
      <w:r>
        <w:rPr>
          <w:rFonts w:ascii="Arial" w:cs="Arial" w:eastAsia="Arial" w:hAnsi="Arial"/>
          <w:sz w:val="22"/>
          <w:szCs w:val="22"/>
        </w:rPr>
        <w:t xml:space="preserve">HG-DT-CQL + MaxEnt-IRL. Each component is well-known; the contribution is the integration, the demonstration data, and the interpretability stack on top.</w:t>
      </w:r>
    </w:p>
    <w:p>
      <w:pPr>
        <w:pStyle w:val="Heading2"/>
        <w:spacing w:after="160" w:before="280"/>
      </w:pPr>
      <w:r>
        <w:rPr>
          <w:rFonts w:ascii="Arial" w:cs="Arial" w:eastAsia="Arial" w:hAnsi="Arial"/>
          <w:b/>
          <w:bCs/>
          <w:color w:val="1F3864"/>
          <w:sz w:val="26"/>
          <w:szCs w:val="26"/>
        </w:rPr>
        <w:t xml:space="preserve">5.2  Heterogeneous Graph Encoder</w:t>
      </w:r>
    </w:p>
    <w:p>
      <w:pPr>
        <w:pStyle w:val="ListParagraph"/>
        <w:numPr>
          <w:ilvl w:val="0"/>
          <w:numId w:val="3"/>
        </w:numPr>
        <w:spacing w:after="80" w:line="280"/>
      </w:pPr>
      <w:r>
        <w:rPr>
          <w:rFonts w:ascii="Arial" w:cs="Arial" w:eastAsia="Arial" w:hAnsi="Arial"/>
          <w:sz w:val="22"/>
          <w:szCs w:val="22"/>
        </w:rPr>
        <w:t xml:space="preserve">Node types: {track, signal, route, berth, train}. Edge types: {connects, protects, locks_against, occupies, plans_to}.</w:t>
      </w:r>
    </w:p>
    <w:p>
      <w:pPr>
        <w:pStyle w:val="ListParagraph"/>
        <w:numPr>
          <w:ilvl w:val="0"/>
          <w:numId w:val="3"/>
        </w:numPr>
        <w:spacing w:after="80" w:line="280"/>
      </w:pPr>
      <w:r>
        <w:rPr>
          <w:rFonts w:ascii="Arial" w:cs="Arial" w:eastAsia="Arial" w:hAnsi="Arial"/>
          <w:sz w:val="22"/>
          <w:szCs w:val="22"/>
        </w:rPr>
        <w:t xml:space="preserve">Two-layer R-GCN / HGT combination; train nodes carry headcode-derived priority embedding + TOC + length; route nodes carry the route's track-circuit set as an order-aware sequence embedding. Sparse-attention hop range will be tuned during P3 (initial guess: 2–3 hops, to be empirically calibrated against route-locking distances observed in the data — not asserted as a fixed number).</w:t>
      </w:r>
    </w:p>
    <w:p>
      <w:pPr>
        <w:pStyle w:val="ListParagraph"/>
        <w:numPr>
          <w:ilvl w:val="0"/>
          <w:numId w:val="3"/>
        </w:numPr>
        <w:spacing w:after="80" w:line="280"/>
      </w:pPr>
      <w:r>
        <w:rPr>
          <w:rFonts w:ascii="Arial" w:cs="Arial" w:eastAsia="Arial" w:hAnsi="Arial"/>
          <w:sz w:val="22"/>
          <w:szCs w:val="22"/>
        </w:rPr>
        <w:t xml:space="preserve">Output eₜ shared by behaviour-cloning head, Decision Transformer, and IRL branch.</w:t>
      </w:r>
    </w:p>
    <w:p>
      <w:pPr>
        <w:pStyle w:val="Heading2"/>
        <w:spacing w:after="160" w:before="280"/>
      </w:pPr>
      <w:r>
        <w:rPr>
          <w:rFonts w:ascii="Arial" w:cs="Arial" w:eastAsia="Arial" w:hAnsi="Arial"/>
          <w:b/>
          <w:bCs/>
          <w:color w:val="1F3864"/>
          <w:sz w:val="26"/>
          <w:szCs w:val="26"/>
        </w:rPr>
        <w:t xml:space="preserve">5.3  Decision Transformer + CQL</w:t>
      </w:r>
    </w:p>
    <w:p>
      <w:pPr>
        <w:spacing w:after="100" w:line="300"/>
      </w:pPr>
      <w:r>
        <w:rPr>
          <w:rFonts w:ascii="Arial" w:cs="Arial" w:eastAsia="Arial" w:hAnsi="Arial"/>
          <w:sz w:val="22"/>
          <w:szCs w:val="22"/>
        </w:rPr>
        <w:t xml:space="preserve">Sequences (R̂, s, a) tokenised; five prefix-conditioned action heads (DW/TD/DC/EC/DY). Sparse attention is restricted topologically (hop budget tuned per §5.2) so attention maps remain interpretable. CQL adds a conservative regulariser to the value learning. </w:t>
      </w:r>
      <w:r>
        <w:rPr>
          <w:rFonts w:ascii="Arial" w:cs="Arial" w:eastAsia="Arial" w:hAnsi="Arial"/>
          <w:b/>
          <w:bCs/>
          <w:sz w:val="22"/>
          <w:szCs w:val="22"/>
        </w:rPr>
        <w:t xml:space="preserve">Critical reframe (v3): </w:t>
      </w:r>
      <w:r>
        <w:rPr>
          <w:rFonts w:ascii="Arial" w:cs="Arial" w:eastAsia="Arial" w:hAnsi="Arial"/>
          <w:sz w:val="22"/>
          <w:szCs w:val="22"/>
        </w:rPr>
        <w:t xml:space="preserve">CQL is the mechanism by which the policy can outperform the demonstrations. For mixed-quality demonstrations of the same state, CQL prefers the higher-Q in-support action; for homogeneous demonstrations it stays close to the BC solution. This is what enables the 'replicate-AND-improve' contribution.</w:t>
      </w:r>
    </w:p>
    <w:p>
      <w:pPr>
        <w:pStyle w:val="Heading2"/>
        <w:spacing w:after="160" w:before="280"/>
      </w:pPr>
      <w:r>
        <w:rPr>
          <w:rFonts w:ascii="Arial" w:cs="Arial" w:eastAsia="Arial" w:hAnsi="Arial"/>
          <w:b/>
          <w:bCs/>
          <w:color w:val="1F3864"/>
          <w:sz w:val="26"/>
          <w:szCs w:val="26"/>
        </w:rPr>
        <w:t xml:space="preserve">5.4  MaxEnt-IRL branch</w:t>
      </w:r>
    </w:p>
    <w:p>
      <w:pPr>
        <w:spacing w:after="100" w:line="300"/>
      </w:pPr>
      <w:r>
        <w:rPr>
          <w:rFonts w:ascii="Arial" w:cs="Arial" w:eastAsia="Arial" w:hAnsi="Arial"/>
          <w:sz w:val="22"/>
          <w:szCs w:val="22"/>
        </w:rPr>
        <w:t xml:space="preserve">Same HGE encoder; takes the five-dimensional feature vector φ(s, a) from §4.5 and learns a weight vector w* by maximum-entropy IRL. The recovered weights are evaluation outputs (L5) — they are the principal artefact for RQ3 and the policy-research deployment mode.</w:t>
      </w:r>
    </w:p>
    <w:p>
      <w:pPr>
        <w:pStyle w:val="Heading1"/>
        <w:spacing w:after="200" w:before="320"/>
      </w:pPr>
      <w:r>
        <w:rPr>
          <w:rFonts w:ascii="Arial" w:cs="Arial" w:eastAsia="Arial" w:hAnsi="Arial"/>
          <w:b/>
          <w:bCs/>
          <w:color w:val="1F3864"/>
          <w:sz w:val="32"/>
          <w:szCs w:val="32"/>
        </w:rPr>
        <w:t xml:space="preserve">6  Five-Level Interpretability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Question</w:t>
            </w:r>
          </w:p>
        </w:tc>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Artefact</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Used for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 — Model interpretability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What did the policy attend to?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Topologically-sparse attention map on the Derby schematic + IG saliency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A1 panel display, A2 trainee teaching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L2 — Decision explanation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Why this route over the alternatives?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Per-action SHAP-like decomposition of Q-gaps; templated NL rationale using only data-observable features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A1, A2, A3 audit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L3 — System explanation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What is the downstream consequence?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Counterfactual 30-min rollout vs. the alternative routes using a transparent simulator parameterised on Movements.csv</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A3 audit, selective-override criterion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L4 — Manual alignment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Does the chosen action agree with the manual?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Rule-base of ~80–120 rules from §3 and §5 of Training Plan; per-decision compliance label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A3 audit, deployment safety gate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L5 — Recovered reward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What weights does the signaller actually apply?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MaxEnt-IRL weight vector w* with bootstrap CIs and scenario decomposition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A4 policy research</w:t>
            </w:r>
          </w:p>
        </w:tc>
      </w:tr>
    </w:tbl>
    <w:p>
      <w:pPr>
        <w:pStyle w:val="Heading2"/>
        <w:spacing w:after="160" w:before="280"/>
      </w:pPr>
      <w:r>
        <w:rPr>
          <w:rFonts w:ascii="Arial" w:cs="Arial" w:eastAsia="Arial" w:hAnsi="Arial"/>
          <w:b/>
          <w:bCs/>
          <w:color w:val="1F3864"/>
          <w:sz w:val="26"/>
          <w:szCs w:val="26"/>
        </w:rPr>
        <w:t xml:space="preserve">6.1  L2 worked example (revised: data-only features)</w:t>
      </w:r>
    </w:p>
    <w:p>
      <w:pPr>
        <w:spacing w:after="100" w:line="300"/>
      </w:pPr>
      <w:r>
        <w:rPr>
          <w:rFonts w:ascii="Arial" w:cs="Arial" w:eastAsia="Arial" w:hAnsi="Arial"/>
          <w:sz w:val="22"/>
          <w:szCs w:val="22"/>
        </w:rPr>
        <w:t xml:space="preserve">At decision time, train 343R is approaching signal TD5045 from the South. Two main-class routes are valid: RTD5045A(M) and RTD5045B(M). The policy selects RTD5045A(M) and the L2 decomposition reads:</w:t>
      </w:r>
    </w:p>
    <w:p>
      <w:pPr>
        <w:spacing w:after="100" w:line="300"/>
      </w:pPr>
      <w:r>
        <w:rPr>
          <w:rFonts w:ascii="Consolas" w:cs="Consolas" w:eastAsia="Consolas" w:hAnsi="Consolas"/>
          <w:sz w:val="20"/>
          <w:szCs w:val="20"/>
        </w:rPr>
        <w:t xml:space="preserve">Q(RTD5045A(M)) − Q(RTD5045B(M)) = +0.66       (illustrative, not a real model output)</w:t>
      </w:r>
    </w:p>
    <w:p>
      <w:pPr>
        <w:pStyle w:val="ListParagraph"/>
        <w:numPr>
          <w:ilvl w:val="0"/>
          <w:numId w:val="3"/>
        </w:numPr>
        <w:spacing w:after="80" w:line="280"/>
      </w:pPr>
      <w:r>
        <w:rPr>
          <w:rFonts w:ascii="Arial" w:cs="Arial" w:eastAsia="Arial" w:hAnsi="Arial"/>
          <w:sz w:val="22"/>
          <w:szCs w:val="22"/>
        </w:rPr>
        <w:t xml:space="preserve">Platform 5 currently unoccupied (track-circuit features) → +0.41</w:t>
      </w:r>
    </w:p>
    <w:p>
      <w:pPr>
        <w:pStyle w:val="ListParagraph"/>
        <w:numPr>
          <w:ilvl w:val="0"/>
          <w:numId w:val="3"/>
        </w:numPr>
        <w:spacing w:after="80" w:line="280"/>
      </w:pPr>
      <w:r>
        <w:rPr>
          <w:rFonts w:ascii="Arial" w:cs="Arial" w:eastAsia="Arial" w:hAnsi="Arial"/>
          <w:sz w:val="22"/>
          <w:szCs w:val="22"/>
        </w:rPr>
        <w:t xml:space="preserve">Train 343R headcode prefix 1 → priority = 1.00 → +0.14</w:t>
      </w:r>
    </w:p>
    <w:p>
      <w:pPr>
        <w:pStyle w:val="ListParagraph"/>
        <w:numPr>
          <w:ilvl w:val="0"/>
          <w:numId w:val="3"/>
        </w:numPr>
        <w:spacing w:after="80" w:line="280"/>
      </w:pPr>
      <w:r>
        <w:rPr>
          <w:rFonts w:ascii="Arial" w:cs="Arial" w:eastAsia="Arial" w:hAnsi="Arial"/>
          <w:sz w:val="22"/>
          <w:szCs w:val="22"/>
        </w:rPr>
        <w:t xml:space="preserve">Throughput in TD sub-area in the last 60 s = 4 trains active → −0.03</w:t>
      </w:r>
    </w:p>
    <w:p>
      <w:pPr>
        <w:pStyle w:val="ListParagraph"/>
        <w:numPr>
          <w:ilvl w:val="0"/>
          <w:numId w:val="3"/>
        </w:numPr>
        <w:spacing w:after="80" w:line="280"/>
      </w:pPr>
      <w:r>
        <w:rPr>
          <w:rFonts w:ascii="Arial" w:cs="Arial" w:eastAsia="Arial" w:hAnsi="Arial"/>
          <w:sz w:val="22"/>
          <w:szCs w:val="22"/>
        </w:rPr>
        <w:t xml:space="preserve">No conflict with currently occupied tracks of either route → 0.00</w:t>
      </w:r>
    </w:p>
    <w:p>
      <w:pPr>
        <w:pStyle w:val="ListParagraph"/>
        <w:numPr>
          <w:ilvl w:val="0"/>
          <w:numId w:val="3"/>
        </w:numPr>
        <w:spacing w:after="80" w:line="280"/>
      </w:pPr>
      <w:r>
        <w:rPr>
          <w:rFonts w:ascii="Arial" w:cs="Arial" w:eastAsia="Arial" w:hAnsi="Arial"/>
          <w:sz w:val="22"/>
          <w:szCs w:val="22"/>
        </w:rPr>
        <w:t xml:space="preserve">Switching count in the last 60 s = 2 → −0.06</w:t>
      </w:r>
    </w:p>
    <w:p>
      <w:pPr>
        <w:spacing w:after="100" w:line="300"/>
      </w:pPr>
      <w:r>
        <w:rPr>
          <w:rFonts w:ascii="Arial" w:cs="Arial" w:eastAsia="Arial" w:hAnsi="Arial"/>
          <w:i/>
          <w:iCs/>
          <w:sz w:val="22"/>
          <w:szCs w:val="22"/>
        </w:rPr>
        <w:t xml:space="preserve">Format-illustrative only — the specific numbers above are placeholders to show the explanation template, not measurements from a trained model. All five feature axes are computable from observed data; nothing in the template depends on aspect-runtime variants such as MAF / MAR. Those distinctions remain in the L4 rule base where they belong.</w:t>
      </w:r>
    </w:p>
    <w:p>
      <w:pPr>
        <w:pStyle w:val="Heading1"/>
        <w:spacing w:after="200" w:before="320"/>
      </w:pPr>
      <w:r>
        <w:rPr>
          <w:rFonts w:ascii="Arial" w:cs="Arial" w:eastAsia="Arial" w:hAnsi="Arial"/>
          <w:b/>
          <w:bCs/>
          <w:color w:val="1F3864"/>
          <w:sz w:val="32"/>
          <w:szCs w:val="32"/>
        </w:rPr>
        <w:t xml:space="preserve">7  Replicate-AND-Improve Evaluation</w:t>
      </w:r>
    </w:p>
    <w:p>
      <w:pPr>
        <w:spacing w:after="100" w:line="300"/>
      </w:pPr>
      <w:r>
        <w:rPr>
          <w:rFonts w:ascii="Arial" w:cs="Arial" w:eastAsia="Arial" w:hAnsi="Arial"/>
          <w:sz w:val="22"/>
          <w:szCs w:val="22"/>
        </w:rPr>
        <w:t xml:space="preserve">v3 introduces the four-way decomposition of every test-set decision. Each Panel_Request in the test set is classified into one of four cells based on (alignment with signaller) × (counterfactual L3 quality). </w:t>
      </w:r>
      <w:r>
        <w:rPr>
          <w:rFonts w:ascii="Arial" w:cs="Arial" w:eastAsia="Arial" w:hAnsi="Arial"/>
          <w:b/>
          <w:bCs/>
          <w:sz w:val="22"/>
          <w:szCs w:val="22"/>
        </w:rPr>
        <w:t xml:space="preserve">Important framing point: divergence is not a target. </w:t>
      </w:r>
      <w:r>
        <w:rPr>
          <w:rFonts w:ascii="Arial" w:cs="Arial" w:eastAsia="Arial" w:hAnsi="Arial"/>
          <w:sz w:val="22"/>
          <w:szCs w:val="22"/>
        </w:rPr>
        <w:t xml:space="preserve">If the signaller's behaviour is uniformly excellent across the 14-month window, divergence rate may be small; that is itself a positive empirical finding (it validates the manual + the human's expertise). The four-way decomposition asks instead: </w:t>
      </w:r>
      <w:r>
        <w:rPr>
          <w:rFonts w:ascii="Arial" w:cs="Arial" w:eastAsia="Arial" w:hAnsi="Arial"/>
          <w:i/>
          <w:iCs/>
          <w:sz w:val="22"/>
          <w:szCs w:val="22"/>
        </w:rPr>
        <w:t xml:space="preserve">when divergences do occur, are they explainable and operationally improving, or risky?</w:t>
      </w:r>
      <w:r>
        <w:rPr>
          <w:rFonts w:ascii="Arial" w:cs="Arial" w:eastAsia="Arial" w:hAnsi="Arial"/>
          <w:sz w:val="22"/>
          <w:szCs w:val="22"/>
        </w:rPr>
        <w:t xml:space="preserve"> The same set of metrics therefore works whether the absolute divergence rate is 5 % or 25 %.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L3 says policy ≥ signaller</w:t>
            </w:r>
          </w:p>
        </w:tc>
        <w:tc>
          <w:tcPr>
            <w:tcW w:type="dxa" w:w="3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L3 says policy &lt; signaller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Aligned (policy = signaller)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Aligned-and-justified — desired</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Should be empty by construction (else flag simulator)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Divergent (policy ≠ signaller)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Divergent-and-improving — must be conditionally explainable</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Divergent-and-unsafe — must be small</w:t>
            </w:r>
          </w:p>
        </w:tc>
      </w:tr>
    </w:tbl>
    <w:p>
      <w:pPr>
        <w:pStyle w:val="Heading2"/>
        <w:spacing w:after="160" w:before="280"/>
      </w:pPr>
      <w:r>
        <w:rPr>
          <w:rFonts w:ascii="Arial" w:cs="Arial" w:eastAsia="Arial" w:hAnsi="Arial"/>
          <w:b/>
          <w:bCs/>
          <w:color w:val="1F3864"/>
          <w:sz w:val="26"/>
          <w:szCs w:val="26"/>
        </w:rPr>
        <w:t xml:space="preserve">7.1  New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4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c>
          <w:tcPr>
            <w:tcW w:type="dxa" w:w="24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Target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Alignment rate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P(π_learned = π_signaller)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Reported, not optimised — high alignment is not by itself the goal, low alignment is not failure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Justified alignment</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P(aligned ∧ L3-improvement ≥ 0 ∧ L2-faithful) divided by P(aligned)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Among aligned cases, fraction that L3 confirms — used to validate signaller expertise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Conditional improvement rate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P(L3-improvement &gt; δ_threshold | divergent)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Among divergences (whatever rate they occur at), the fraction that improve — should be high to justify ever overriding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Explained divergence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P(L3-improvement &gt; 0 ∧ (L4-compliant ∨ L4-explained-deviation) ∧ L2-faithful | divergent)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Among divergences, the fraction that survive all three explanation gates — these are the only ones the deployment surfaces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Unsafe divergence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P(divergent ∧ L3-improvement &lt; 0 ∧ L4-non-compliant) — joint, not conditional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 1 % — hard safety bound on the JOINT probability</w:t>
            </w:r>
          </w:p>
        </w:tc>
      </w:tr>
    </w:tbl>
    <w:p>
      <w:pPr>
        <w:spacing w:after="100" w:line="300"/>
      </w:pPr>
      <w:r>
        <w:rPr>
          <w:rFonts w:ascii="Arial" w:cs="Arial" w:eastAsia="Arial" w:hAnsi="Arial"/>
          <w:sz w:val="22"/>
          <w:szCs w:val="22"/>
        </w:rPr>
        <w:t xml:space="preserve">These metrics replace 'top-k accuracy' as the headline numbers in §9 Results. Top-k accuracy is still reported, but as a contextual metric — high top-k that comes with high </w:t>
      </w:r>
      <w:r>
        <w:rPr>
          <w:rFonts w:ascii="Arial" w:cs="Arial" w:eastAsia="Arial" w:hAnsi="Arial"/>
          <w:i/>
          <w:iCs/>
          <w:sz w:val="22"/>
          <w:szCs w:val="22"/>
        </w:rPr>
        <w:t xml:space="preserve">unsafe-divergence</w:t>
      </w:r>
      <w:r>
        <w:rPr>
          <w:rFonts w:ascii="Arial" w:cs="Arial" w:eastAsia="Arial" w:hAnsi="Arial"/>
          <w:sz w:val="22"/>
          <w:szCs w:val="22"/>
        </w:rPr>
        <w:t xml:space="preserve"> is a worse outcome than slightly lower top-k that comes with low </w:t>
      </w:r>
      <w:r>
        <w:rPr>
          <w:rFonts w:ascii="Arial" w:cs="Arial" w:eastAsia="Arial" w:hAnsi="Arial"/>
          <w:i/>
          <w:iCs/>
          <w:sz w:val="22"/>
          <w:szCs w:val="22"/>
        </w:rPr>
        <w:t xml:space="preserve">unsafe-divergence</w:t>
      </w:r>
      <w:r>
        <w:rPr>
          <w:rFonts w:ascii="Arial" w:cs="Arial" w:eastAsia="Arial" w:hAnsi="Arial"/>
          <w:sz w:val="22"/>
          <w:szCs w:val="22"/>
        </w:rPr>
        <w:t xml:space="preserve">. Note that all three </w:t>
      </w:r>
      <w:r>
        <w:rPr>
          <w:rFonts w:ascii="Arial" w:cs="Arial" w:eastAsia="Arial" w:hAnsi="Arial"/>
          <w:i/>
          <w:iCs/>
          <w:sz w:val="22"/>
          <w:szCs w:val="22"/>
        </w:rPr>
        <w:t xml:space="preserve">conditional</w:t>
      </w:r>
      <w:r>
        <w:rPr>
          <w:rFonts w:ascii="Arial" w:cs="Arial" w:eastAsia="Arial" w:hAnsi="Arial"/>
          <w:sz w:val="22"/>
          <w:szCs w:val="22"/>
        </w:rPr>
        <w:t xml:space="preserve"> metrics (Justified alignment, Conditional improvement rate, Explained divergence) are normalised by the size of their conditioning set — so a low absolute divergence rate does not penalise these metrics, it only narrows the population over which they are computed.</w:t>
      </w:r>
    </w:p>
    <w:p>
      <w:pPr>
        <w:pStyle w:val="Heading2"/>
        <w:spacing w:after="160" w:before="280"/>
      </w:pPr>
      <w:r>
        <w:rPr>
          <w:rFonts w:ascii="Arial" w:cs="Arial" w:eastAsia="Arial" w:hAnsi="Arial"/>
          <w:b/>
          <w:bCs/>
          <w:color w:val="1F3864"/>
          <w:sz w:val="26"/>
          <w:szCs w:val="26"/>
        </w:rPr>
        <w:t xml:space="preserve">7.2  Selective-override deployment rule</w:t>
      </w:r>
    </w:p>
    <w:p>
      <w:pPr>
        <w:spacing w:after="100" w:line="300"/>
      </w:pPr>
      <w:r>
        <w:rPr>
          <w:rFonts w:ascii="Arial" w:cs="Arial" w:eastAsia="Arial" w:hAnsi="Arial"/>
          <w:sz w:val="22"/>
          <w:szCs w:val="22"/>
        </w:rPr>
        <w:t xml:space="preserve">At inference time, the deployed system uses the following decision rule when the signaller's choice is observable:</w:t>
      </w:r>
    </w:p>
    <w:p>
      <w:pPr>
        <w:spacing w:after="100" w:line="300"/>
      </w:pPr>
      <w:r>
        <w:rPr>
          <w:rFonts w:ascii="Consolas" w:cs="Consolas" w:eastAsia="Consolas" w:hAnsi="Consolas"/>
          <w:sz w:val="20"/>
          <w:szCs w:val="20"/>
        </w:rPr>
        <w:t xml:space="preserve">if  policy.action == signaller.action:           show 'agreement' badge + L1/L2 explanation</w:t>
      </w:r>
    </w:p>
    <w:p>
      <w:pPr>
        <w:spacing w:after="100" w:line="300"/>
      </w:pPr>
      <w:r>
        <w:rPr>
          <w:rFonts w:ascii="Consolas" w:cs="Consolas" w:eastAsia="Consolas" w:hAnsi="Consolas"/>
          <w:sz w:val="20"/>
          <w:szCs w:val="20"/>
        </w:rPr>
        <w:t xml:space="preserve">elif L3.improvement &gt; δ AND L4.compliant AND L2.faithful:</w:t>
      </w:r>
    </w:p>
    <w:p>
      <w:pPr>
        <w:spacing w:after="100" w:line="300"/>
      </w:pPr>
      <w:r>
        <w:rPr>
          <w:rFonts w:ascii="Consolas" w:cs="Consolas" w:eastAsia="Consolas" w:hAnsi="Consolas"/>
          <w:sz w:val="20"/>
          <w:szCs w:val="20"/>
        </w:rPr>
        <w:t xml:space="preserve">                                                show 'consider override' card with all four explanations</w:t>
      </w:r>
    </w:p>
    <w:p>
      <w:pPr>
        <w:spacing w:after="100" w:line="300"/>
      </w:pPr>
      <w:r>
        <w:rPr>
          <w:rFonts w:ascii="Consolas" w:cs="Consolas" w:eastAsia="Consolas" w:hAnsi="Consolas"/>
          <w:sz w:val="20"/>
          <w:szCs w:val="20"/>
        </w:rPr>
        <w:t xml:space="preserve">else:                                           silent — do not distract the signaller</w:t>
      </w:r>
    </w:p>
    <w:p>
      <w:pPr>
        <w:spacing w:after="100" w:line="300"/>
      </w:pPr>
      <w:r>
        <w:rPr>
          <w:rFonts w:ascii="Arial" w:cs="Arial" w:eastAsia="Arial" w:hAnsi="Arial"/>
          <w:sz w:val="22"/>
          <w:szCs w:val="22"/>
        </w:rPr>
        <w:t xml:space="preserve">This is a </w:t>
      </w:r>
      <w:r>
        <w:rPr>
          <w:rFonts w:ascii="Arial" w:cs="Arial" w:eastAsia="Arial" w:hAnsi="Arial"/>
          <w:b/>
          <w:bCs/>
          <w:sz w:val="22"/>
          <w:szCs w:val="22"/>
        </w:rPr>
        <w:t xml:space="preserve">selective-override</w:t>
      </w:r>
      <w:r>
        <w:rPr>
          <w:rFonts w:ascii="Arial" w:cs="Arial" w:eastAsia="Arial" w:hAnsi="Arial"/>
          <w:sz w:val="22"/>
          <w:szCs w:val="22"/>
        </w:rPr>
        <w:t xml:space="preserve"> expert system, calibrated to interrupt the human only when a quantified, manual-compliant improvement is on the table. It is, in our view, the operationally correct way to deploy a learned policy alongside a safety-certified human role.</w:t>
      </w:r>
    </w:p>
    <w:p>
      <w:pPr>
        <w:pStyle w:val="Heading1"/>
        <w:spacing w:after="200" w:before="320"/>
      </w:pPr>
      <w:r>
        <w:rPr>
          <w:rFonts w:ascii="Arial" w:cs="Arial" w:eastAsia="Arial" w:hAnsi="Arial"/>
          <w:b/>
          <w:bCs/>
          <w:color w:val="1F3864"/>
          <w:sz w:val="32"/>
          <w:szCs w:val="32"/>
        </w:rPr>
        <w:t xml:space="preserve">8  Application Narratives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1500"/>
        <w:gridCol w:w="3460"/>
      </w:tblGrid>
      <w:tr>
        <w:tc>
          <w:tcPr>
            <w:tcW w:type="dxa" w:w="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Application</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User</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Layers used</w:t>
            </w:r>
          </w:p>
        </w:tc>
        <w:tc>
          <w:tcPr>
            <w:tcW w:type="dxa" w:w="34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Headline metric (v3)</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Selective-override decision support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On-shift signaller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 + L2 + L3 + L4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Improvement rate, Explained-divergence rate, Unsafe-divergence rate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Trainee onboarding — when the expert was right vs. when they could have done better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New signallers, training instructors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 + L2 + L3 + L4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Comprehension Likert ≥ 4.0/5; trainee-blind agreement on improvement cells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Audit / compliance review of historic decisions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Operations supervisor / regulator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L2 + L3 + L4</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Explanation-coverage; per-scenario compliance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Policy research — recovered trade-off weights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Network Rail strategy / management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L5</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Recovered w* with CIs; scenario decomposition; effect-size &gt; 2σ vs. uniform prior</w:t>
            </w:r>
          </w:p>
        </w:tc>
      </w:tr>
    </w:tbl>
    <w:p>
      <w:pPr>
        <w:spacing w:after="100" w:line="300"/>
      </w:pPr>
      <w:r>
        <w:rPr>
          <w:rFonts w:ascii="Arial" w:cs="Arial" w:eastAsia="Arial" w:hAnsi="Arial"/>
          <w:sz w:val="22"/>
          <w:szCs w:val="22"/>
        </w:rPr>
        <w:t xml:space="preserve">All four narratives now consume the four-way decomposition, not just the policy outputs. A1 displays improvement-only overrides; A2 explicitly teaches both 'why expert was right' and 'why expert could have been better'; A3 audits both compliant alignments and improvement-divergences; A4 reports IRL weights conditioned on which cell the demonstrations fell into.</w:t>
      </w:r>
    </w:p>
    <w:p>
      <w:pPr>
        <w:pStyle w:val="Heading1"/>
        <w:spacing w:after="200" w:before="320"/>
      </w:pPr>
      <w:r>
        <w:rPr>
          <w:rFonts w:ascii="Arial" w:cs="Arial" w:eastAsia="Arial" w:hAnsi="Arial"/>
          <w:b/>
          <w:bCs/>
          <w:color w:val="1F3864"/>
          <w:sz w:val="32"/>
          <w:szCs w:val="32"/>
        </w:rPr>
        <w:t xml:space="preserve">9  Experimental Design</w:t>
      </w:r>
    </w:p>
    <w:p>
      <w:pPr>
        <w:pStyle w:val="Heading2"/>
        <w:spacing w:after="160" w:before="280"/>
      </w:pPr>
      <w:r>
        <w:rPr>
          <w:rFonts w:ascii="Arial" w:cs="Arial" w:eastAsia="Arial" w:hAnsi="Arial"/>
          <w:b/>
          <w:bCs/>
          <w:color w:val="1F3864"/>
          <w:sz w:val="26"/>
          <w:szCs w:val="26"/>
        </w:rPr>
        <w:t xml:space="preserve">9.1  Splits</w:t>
      </w:r>
    </w:p>
    <w:p>
      <w:pPr>
        <w:spacing w:after="100" w:line="300"/>
      </w:pPr>
      <w:r>
        <w:rPr>
          <w:rFonts w:ascii="Arial" w:cs="Arial" w:eastAsia="Arial" w:hAnsi="Arial"/>
          <w:sz w:val="22"/>
          <w:szCs w:val="22"/>
        </w:rPr>
        <w:t xml:space="preserve">Time-based: train 28 Feb 2023–31 Dec 2023, validate Jan 2024, test Feb–Apr 2024. Per-prefix slices reported throughout. Sub-evaluation on disrupted vs. non-disrupted days.</w:t>
      </w:r>
    </w:p>
    <w:p>
      <w:pPr>
        <w:pStyle w:val="Heading2"/>
        <w:spacing w:after="160" w:before="280"/>
      </w:pPr>
      <w:r>
        <w:rPr>
          <w:rFonts w:ascii="Arial" w:cs="Arial" w:eastAsia="Arial" w:hAnsi="Arial"/>
          <w:b/>
          <w:bCs/>
          <w:color w:val="1F3864"/>
          <w:sz w:val="26"/>
          <w:szCs w:val="26"/>
        </w:rPr>
        <w:t xml:space="preserve">9.2  Baselines</w:t>
      </w:r>
    </w:p>
    <w:p>
      <w:pPr>
        <w:pStyle w:val="ListParagraph"/>
        <w:numPr>
          <w:ilvl w:val="0"/>
          <w:numId w:val="3"/>
        </w:numPr>
        <w:spacing w:after="80" w:line="280"/>
      </w:pPr>
      <w:r>
        <w:rPr>
          <w:rFonts w:ascii="Arial" w:cs="Arial" w:eastAsia="Arial" w:hAnsi="Arial"/>
          <w:sz w:val="22"/>
          <w:szCs w:val="22"/>
        </w:rPr>
        <w:t xml:space="preserve">B0 — Majority action per state cluster.</w:t>
      </w:r>
    </w:p>
    <w:p>
      <w:pPr>
        <w:pStyle w:val="ListParagraph"/>
        <w:numPr>
          <w:ilvl w:val="0"/>
          <w:numId w:val="3"/>
        </w:numPr>
        <w:spacing w:after="80" w:line="280"/>
      </w:pPr>
      <w:r>
        <w:rPr>
          <w:rFonts w:ascii="Arial" w:cs="Arial" w:eastAsia="Arial" w:hAnsi="Arial"/>
          <w:sz w:val="22"/>
          <w:szCs w:val="22"/>
        </w:rPr>
        <w:t xml:space="preserve">B1 — Pure BC, MLP, hand-engineered features.</w:t>
      </w:r>
    </w:p>
    <w:p>
      <w:pPr>
        <w:pStyle w:val="ListParagraph"/>
        <w:numPr>
          <w:ilvl w:val="0"/>
          <w:numId w:val="3"/>
        </w:numPr>
        <w:spacing w:after="80" w:line="280"/>
      </w:pPr>
      <w:r>
        <w:rPr>
          <w:rFonts w:ascii="Arial" w:cs="Arial" w:eastAsia="Arial" w:hAnsi="Arial"/>
          <w:sz w:val="22"/>
          <w:szCs w:val="22"/>
        </w:rPr>
        <w:t xml:space="preserve">B2 — Pure BC, HGE encoder (ablates CQL).</w:t>
      </w:r>
    </w:p>
    <w:p>
      <w:pPr>
        <w:pStyle w:val="ListParagraph"/>
        <w:numPr>
          <w:ilvl w:val="0"/>
          <w:numId w:val="3"/>
        </w:numPr>
        <w:spacing w:after="80" w:line="280"/>
      </w:pPr>
      <w:r>
        <w:rPr>
          <w:rFonts w:ascii="Arial" w:cs="Arial" w:eastAsia="Arial" w:hAnsi="Arial"/>
          <w:sz w:val="22"/>
          <w:szCs w:val="22"/>
        </w:rPr>
        <w:t xml:space="preserve">B3 — Vanilla DT without HGE (ablates graph encoder).</w:t>
      </w:r>
    </w:p>
    <w:p>
      <w:pPr>
        <w:pStyle w:val="ListParagraph"/>
        <w:numPr>
          <w:ilvl w:val="0"/>
          <w:numId w:val="3"/>
        </w:numPr>
        <w:spacing w:after="80" w:line="280"/>
      </w:pPr>
      <w:r>
        <w:rPr>
          <w:rFonts w:ascii="Arial" w:cs="Arial" w:eastAsia="Arial" w:hAnsi="Arial"/>
          <w:sz w:val="22"/>
          <w:szCs w:val="22"/>
        </w:rPr>
        <w:t xml:space="preserve">B4 — Liu et al. (2024) single-track RL adapted to Derby.</w:t>
      </w:r>
    </w:p>
    <w:p>
      <w:pPr>
        <w:pStyle w:val="ListParagraph"/>
        <w:numPr>
          <w:ilvl w:val="0"/>
          <w:numId w:val="3"/>
        </w:numPr>
        <w:spacing w:after="80" w:line="280"/>
      </w:pPr>
      <w:r>
        <w:rPr>
          <w:rFonts w:ascii="Arial" w:cs="Arial" w:eastAsia="Arial" w:hAnsi="Arial"/>
          <w:sz w:val="22"/>
          <w:szCs w:val="22"/>
        </w:rPr>
        <w:t xml:space="preserve">B5 — Rule-only policy (Training Plan preferred routes always).</w:t>
      </w:r>
    </w:p>
    <w:p>
      <w:pPr>
        <w:pStyle w:val="ListParagraph"/>
        <w:numPr>
          <w:ilvl w:val="0"/>
          <w:numId w:val="3"/>
        </w:numPr>
        <w:spacing w:after="80" w:line="280"/>
      </w:pPr>
      <w:r>
        <w:rPr>
          <w:rFonts w:ascii="Arial" w:cs="Arial" w:eastAsia="Arial" w:hAnsi="Arial"/>
          <w:sz w:val="22"/>
          <w:szCs w:val="22"/>
        </w:rPr>
        <w:t xml:space="preserve">B6 — Full HG-DT-CQL without IRL branch (ablates L5).</w:t>
      </w:r>
    </w:p>
    <w:p>
      <w:pPr>
        <w:pStyle w:val="ListParagraph"/>
        <w:numPr>
          <w:ilvl w:val="0"/>
          <w:numId w:val="3"/>
        </w:numPr>
        <w:spacing w:after="80" w:line="280"/>
      </w:pPr>
      <w:r>
        <w:rPr>
          <w:rFonts w:ascii="Arial" w:cs="Arial" w:eastAsia="Arial" w:hAnsi="Arial"/>
          <w:sz w:val="22"/>
          <w:szCs w:val="22"/>
        </w:rPr>
        <w:t xml:space="preserve">B7 — HG-DT-CQL without selective-override (ablates §7.2).</w:t>
      </w:r>
    </w:p>
    <w:p>
      <w:pPr>
        <w:pStyle w:val="Heading2"/>
        <w:spacing w:after="160" w:before="280"/>
      </w:pPr>
      <w:r>
        <w:rPr>
          <w:rFonts w:ascii="Arial" w:cs="Arial" w:eastAsia="Arial" w:hAnsi="Arial"/>
          <w:b/>
          <w:bCs/>
          <w:color w:val="1F3864"/>
          <w:sz w:val="26"/>
          <w:szCs w:val="26"/>
        </w:rPr>
        <w:t xml:space="preserve">9.3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Group</w:t>
            </w:r>
          </w:p>
        </w:tc>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Replicate-AND-improve (primary)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Aligned-justified, Improvement, Explained-divergence, Unsafe-divergence rates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Headline of §8 Results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Imitation fidelity (contextual)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Top-1 / Top-3 accuracy; KL(π‖π_signaller); per-prefix breakdown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Sanity context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Operational quality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Counterfactual Δ-total-delay over horizon H; conflict count; knock-on-delay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L3-derived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Interpretability faithfulness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Insertion / deletion AUC over IG ranking; rationale-stability under perturbation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L1/L2 honesty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Manual alignment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Coverage, compliance rate, disagreement-by-scenario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Recovered-reward validity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Held-out demo likelihood under w*; cross-context stability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Robustness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Performance under TD-feed dropout, missing platform, identity changes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Real-feed reliability</w:t>
            </w:r>
          </w:p>
        </w:tc>
      </w:tr>
    </w:tbl>
    <w:p>
      <w:pPr>
        <w:pStyle w:val="Heading1"/>
        <w:spacing w:after="200" w:before="320"/>
      </w:pPr>
      <w:r>
        <w:rPr>
          <w:rFonts w:ascii="Arial" w:cs="Arial" w:eastAsia="Arial" w:hAnsi="Arial"/>
          <w:b/>
          <w:bCs/>
          <w:color w:val="1F3864"/>
          <w:sz w:val="32"/>
          <w:szCs w:val="32"/>
        </w:rPr>
        <w:t xml:space="preserve">10  Journal Paper Outline (ESWA / EAAI)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100"/>
        <w:gridCol w:w="4960"/>
      </w:tblGrid>
      <w:tr>
        <w:tc>
          <w:tcPr>
            <w:tcW w:type="dxa" w:w="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Section</w:t>
            </w:r>
          </w:p>
        </w:tc>
        <w:tc>
          <w:tcPr>
            <w:tcW w:type="dxa" w:w="11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Approx pages</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Key content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Introduction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Operational stakes, gap, replicate-AND-improve framing, five contributions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Related work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Railway RL; offline RL; XRL; IRL; expert systems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Pipeline overview &amp; data acquisition (compressed Ch3)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Stages S1–S5, with S1–S2 summarising Ch-3 collector and SOP decoding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MDP construction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S-class → state mapping, action signature, five-dim features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HG-DT-CQL + IRL methodology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Encoder, DT, CQL reframed as improvement mechanism, IRL branch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Five-level interpretability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L1–L5 with the §6.1 worked example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Replicate-AND-improve evaluation framework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Four-way decomposition + selective-override rule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Experimental setup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Splits, baselines, metrics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Results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Replicate-AND-improve table; per-prefix breakdown; ablations; faithfulness; recovered weights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Discussion + four application narratives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A1–A4 mapped to results; deployment considerations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Conclusion and future work</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0.5</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Synthesis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Appendices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Rule-base; full hyper-parameters; reproducibility checklist</w:t>
            </w:r>
          </w:p>
        </w:tc>
      </w:tr>
    </w:tbl>
    <w:p>
      <w:pPr>
        <w:pStyle w:val="Heading1"/>
        <w:spacing w:after="200" w:before="320"/>
      </w:pPr>
      <w:r>
        <w:rPr>
          <w:rFonts w:ascii="Arial" w:cs="Arial" w:eastAsia="Arial" w:hAnsi="Arial"/>
          <w:b/>
          <w:bCs/>
          <w:color w:val="1F3864"/>
          <w:sz w:val="32"/>
          <w:szCs w:val="32"/>
        </w:rPr>
        <w:t xml:space="preserve">11  Risks and Mitigations (revised for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Likelihood</w:t>
            </w:r>
          </w:p>
        </w:tc>
        <w:tc>
          <w:tcPr>
            <w:tcW w:type="dxa" w:w="15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L3 simulator too simple → improvement rate inflated or deflated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Distorts the headline metric</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Validate the simulator on a held-out month against realised TRUST data; report simulator bias and propagate to the metric CI</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Reviewers attack 'replicate AND improve' as untestable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Rebuttal load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Pre-empt with B7 ablation: HG-DT-CQL without selective override vs. with — show the override mechanism actually changes the deployment outcome curve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Full-area action space has long-tail rare actions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Long-tail accuracy poor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Per-prefix heads + reweighted loss; report coverage by route-frequency bucket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 operator ID → multimodal demonstrations across shifts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Mixture flattens BC and IRL</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MoE policy head; cluster shifts via timing; per-cluster IRL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Movement records mis-aligned with TD events at second-level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Reward noisy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±10 s alignment via Munkres; quantify alignment quality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Training Plan rules ambiguous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L4 noisy</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Two-author annotation; report inter-annotator agreement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IRL identifiability — multiple w* explain same demonstrations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L5 unstable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MaxEnt formulation (unique under regularity); bootstrap CIs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ESWA / EAAI may reject as 'not enough method novelty'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Resubmission</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Position around (a) end-to-end pipeline contribution (Stage S1+S2 reused, S3–S5 new), (b) replicate-AND-improve framing, (c) recovered-reward as policy-research artefact. Secondary target IEEE T-ITS / Trans. Res. C.</w:t>
            </w:r>
          </w:p>
        </w:tc>
      </w:tr>
    </w:tbl>
    <w:p>
      <w:pPr>
        <w:pStyle w:val="Heading1"/>
        <w:spacing w:after="200" w:before="320"/>
      </w:pPr>
      <w:r>
        <w:rPr>
          <w:rFonts w:ascii="Arial" w:cs="Arial" w:eastAsia="Arial" w:hAnsi="Arial"/>
          <w:b/>
          <w:bCs/>
          <w:color w:val="1F3864"/>
          <w:sz w:val="32"/>
          <w:szCs w:val="32"/>
        </w:rPr>
        <w:t xml:space="preserve">12  Roadmap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6260"/>
      </w:tblGrid>
      <w:t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11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Weeks</w:t>
            </w:r>
          </w:p>
        </w:tc>
        <w:tc>
          <w:tcPr>
            <w:tcW w:type="dxa" w:w="62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P1 — Data engineering &amp; rule base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1–4</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Decode-and-align pipeline; (s, a, r, s') tensors per sub-area; rule base from Training Plan; headcode encoder; L3 simulator validated on held-out month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P2 — Baselines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5–7</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B0–B7 trained, evaluated on the four-way decomposition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P3 — HG-DT-CQL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8–11</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Full policy; faithfulness analysis; per-prefix breakdown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P4 — IRL branch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10–12</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MaxEnt-IRL fitted; recovered weights with CIs; scenario decomposition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P5 — Five-level interpretability + selective-override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11–14</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L1–L5 implemented; selective-override deployment-rule evaluated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P6 — Writing &amp; figures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13–18</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Full draft, internal review</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P7 — Polishing &amp; submission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18–20</w:t>
            </w:r>
          </w:p>
        </w:tc>
        <w:tc>
          <w:tcPr>
            <w:tcW w:type="dxa" w:w="6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Reproducibility package; submission to ESWA (primary) / EAAI (secondary)</w:t>
            </w:r>
          </w:p>
        </w:tc>
      </w:tr>
    </w:tbl>
    <w:p>
      <w:pPr>
        <w:spacing w:after="100" w:line="300"/>
      </w:pPr>
      <w:r>
        <w:rPr>
          <w:rFonts w:ascii="Arial" w:cs="Arial" w:eastAsia="Arial" w:hAnsi="Arial"/>
          <w:sz w:val="22"/>
          <w:szCs w:val="22"/>
        </w:rPr>
        <w:t xml:space="preserve">Total: ≈ 5 months from kick-off to submission, ≈ 20 effective working hours per week.</w:t>
      </w:r>
    </w:p>
    <w:p>
      <w:pPr>
        <w:pStyle w:val="Heading1"/>
        <w:spacing w:after="200" w:before="320"/>
      </w:pPr>
      <w:r>
        <w:rPr>
          <w:rFonts w:ascii="Arial" w:cs="Arial" w:eastAsia="Arial" w:hAnsi="Arial"/>
          <w:b/>
          <w:bCs/>
          <w:color w:val="1F3864"/>
          <w:sz w:val="32"/>
          <w:szCs w:val="32"/>
        </w:rPr>
        <w:t xml:space="preserve">13  Honest Novelty Assessment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1200"/>
        <w:gridCol w:w="3060"/>
      </w:tblGrid>
      <w:t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1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Novel?</w:t>
            </w:r>
          </w:p>
        </w:tc>
        <w:tc>
          <w:tcPr>
            <w:tcW w:type="dxa" w:w="30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Justification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Algorithm primitive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Heterogeneous GNN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R-GCN / HGT well established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Algorithm primitive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Decision Transformer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Chen et al. 2021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Algorithm primitive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Conservative Q-Learning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Kumar et al. 2020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Algorithm primitive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MaxEnt IRL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Ziebart et al. 2008</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Algorithm integration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HG-DT-CQL on a heterogeneous railway graph with per-prefix action heads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Combination not previously reported in railway operations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Application domain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Demonstration-based learning from real UK Open Rail Data with Panel_Request labels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Prior railway RL is overwhelmingly simulator-based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Evaluation framework</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Four-way decomposition: aligned-justified / divergent-improving / divergent-explained / divergent-unsafe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Replaces top-k accuracy as headline metric; not previously formalised in the railway literature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Deployment design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Selective-override expert system with quantified improvement gating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Novel deployment narrative for safety-critical signalling</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Interpretability framework</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Five-level stack with explicit recovered-reward layer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Yes (framework-level)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Five layers as a single integrated explanation per decision is novel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System integration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End-to-end acquisition + decoding + policy + explanation + deployment, on real feeds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Stage S1 + S2 are Chapter 3 (cited), S3–S5 are this paper. The integration is the system-level contribution</w:t>
            </w:r>
          </w:p>
        </w:tc>
      </w:tr>
    </w:tbl>
    <w:p>
      <w:pPr>
        <w:spacing w:after="100" w:line="300"/>
      </w:pPr>
      <w:r>
        <w:rPr>
          <w:rFonts w:ascii="Arial" w:cs="Arial" w:eastAsia="Arial" w:hAnsi="Arial"/>
          <w:sz w:val="22"/>
          <w:szCs w:val="22"/>
        </w:rPr>
        <w:t xml:space="preserve">In short: the algorithm primitives are not new. The </w:t>
      </w:r>
      <w:r>
        <w:rPr>
          <w:rFonts w:ascii="Arial" w:cs="Arial" w:eastAsia="Arial" w:hAnsi="Arial"/>
          <w:b/>
          <w:bCs/>
          <w:sz w:val="22"/>
          <w:szCs w:val="22"/>
        </w:rPr>
        <w:t xml:space="preserve">integration</w:t>
      </w:r>
      <w:r>
        <w:rPr>
          <w:rFonts w:ascii="Arial" w:cs="Arial" w:eastAsia="Arial" w:hAnsi="Arial"/>
          <w:sz w:val="22"/>
          <w:szCs w:val="22"/>
        </w:rPr>
        <w:t xml:space="preserve">, the </w:t>
      </w:r>
      <w:r>
        <w:rPr>
          <w:rFonts w:ascii="Arial" w:cs="Arial" w:eastAsia="Arial" w:hAnsi="Arial"/>
          <w:b/>
          <w:bCs/>
          <w:sz w:val="22"/>
          <w:szCs w:val="22"/>
        </w:rPr>
        <w:t xml:space="preserve">evaluation framework</w:t>
      </w:r>
      <w:r>
        <w:rPr>
          <w:rFonts w:ascii="Arial" w:cs="Arial" w:eastAsia="Arial" w:hAnsi="Arial"/>
          <w:sz w:val="22"/>
          <w:szCs w:val="22"/>
        </w:rPr>
        <w:t xml:space="preserve">, the </w:t>
      </w:r>
      <w:r>
        <w:rPr>
          <w:rFonts w:ascii="Arial" w:cs="Arial" w:eastAsia="Arial" w:hAnsi="Arial"/>
          <w:b/>
          <w:bCs/>
          <w:sz w:val="22"/>
          <w:szCs w:val="22"/>
        </w:rPr>
        <w:t xml:space="preserve">deployment design</w:t>
      </w:r>
      <w:r>
        <w:rPr>
          <w:rFonts w:ascii="Arial" w:cs="Arial" w:eastAsia="Arial" w:hAnsi="Arial"/>
          <w:sz w:val="22"/>
          <w:szCs w:val="22"/>
        </w:rPr>
        <w:t xml:space="preserve">, and the </w:t>
      </w:r>
      <w:r>
        <w:rPr>
          <w:rFonts w:ascii="Arial" w:cs="Arial" w:eastAsia="Arial" w:hAnsi="Arial"/>
          <w:b/>
          <w:bCs/>
          <w:sz w:val="22"/>
          <w:szCs w:val="22"/>
        </w:rPr>
        <w:t xml:space="preserve">end-to-end pipeline on real data</w:t>
      </w:r>
      <w:r>
        <w:rPr>
          <w:rFonts w:ascii="Arial" w:cs="Arial" w:eastAsia="Arial" w:hAnsi="Arial"/>
          <w:sz w:val="22"/>
          <w:szCs w:val="22"/>
        </w:rPr>
        <w:t xml:space="preserve"> are. ESWA/EAAI reviewers reward exactly this profile when the methodology is transparently positioned, which the v3 introduction explicitly does.</w:t>
      </w:r>
    </w:p>
    <w:p>
      <w:pPr>
        <w:pStyle w:val="Heading1"/>
        <w:spacing w:after="200" w:before="320"/>
      </w:pPr>
      <w:r>
        <w:rPr>
          <w:rFonts w:ascii="Arial" w:cs="Arial" w:eastAsia="Arial" w:hAnsi="Arial"/>
          <w:b/>
          <w:bCs/>
          <w:color w:val="1F3864"/>
          <w:sz w:val="32"/>
          <w:szCs w:val="32"/>
        </w:rPr>
        <w:t xml:space="preserve">14  Verification Disclaimers (illustrative vs. measured content)</w:t>
      </w:r>
    </w:p>
    <w:p>
      <w:pPr>
        <w:spacing w:after="100" w:line="300"/>
      </w:pPr>
      <w:r>
        <w:rPr>
          <w:rFonts w:ascii="Arial" w:cs="Arial" w:eastAsia="Arial" w:hAnsi="Arial"/>
          <w:sz w:val="22"/>
          <w:szCs w:val="22"/>
        </w:rPr>
        <w:t xml:space="preserve">To prevent any unintentional impression that this proposal contains measurements that have not yet been made, the following items are explicitly flagged as illustrative, prior, or projected — not empirical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3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Where it appears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Q-gap and component values (+0.66, +0.41, +0.14, …) in the Layer-2 worked example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Format-illustrative placeholders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§6.1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Numerical priority weights for headcode classes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REMOVED in this revision — no UK industry standard exists. Class is now a categorical state feature only; effective per-class weighting is recovered post-hoc by IRL</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§4.3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 80–120 estimated rules in the Training-Plan rule base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Project estimate from Section-3 + Section-5 prose; final count determined in P1</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 callout, §6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Target metric thresholds (≥ 80 % justified alignment; ≤ 1 % unsafe divergence; etc.)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Pre-registered targets, not measured outcomes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§7.1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Sparse-attention hop budget (2–3)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Initial design choice; will be empirically calibrated against route-locking distances in the data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§5.2 / §5.3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Roadmap weeks and total ≈ 5 months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Project plan estimate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§12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Estimated 1.5–2 M Panel_Request events over the full window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Linear extrapolation from a 2 M-row sample; exact count to be confirmed in P1</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000000"/>
                <w:sz w:val="20"/>
                <w:szCs w:val="20"/>
              </w:rPr>
              <w:t xml:space="preserve">§3, §4</w:t>
            </w:r>
          </w:p>
        </w:tc>
      </w:tr>
    </w:tbl>
    <w:p>
      <w:pPr>
        <w:spacing w:after="100" w:line="300"/>
      </w:pPr>
      <w:r>
        <w:rPr>
          <w:rFonts w:ascii="Arial" w:cs="Arial" w:eastAsia="Arial" w:hAnsi="Arial"/>
          <w:sz w:val="22"/>
          <w:szCs w:val="22"/>
        </w:rPr>
        <w:t xml:space="preserve">All other quantitative claims (data volumes, route counts, observation period, signal-prefix list, S-class event categories, headcode classification) are taken from Thesis Chapter 3, route_to_tc_all.csv, the Training Plan, the Open Rail Data Wiki, or directly verified against the supplied datasets.</w:t>
      </w:r>
    </w:p>
    <w:p>
      <w:pPr>
        <w:pStyle w:val="Heading1"/>
        <w:spacing w:after="200" w:before="320"/>
      </w:pPr>
      <w:r>
        <w:rPr>
          <w:rFonts w:ascii="Arial" w:cs="Arial" w:eastAsia="Arial" w:hAnsi="Arial"/>
          <w:b/>
          <w:bCs/>
          <w:color w:val="1F3864"/>
          <w:sz w:val="32"/>
          <w:szCs w:val="32"/>
        </w:rPr>
        <w:t xml:space="preserve">15  Closing Statement</w:t>
      </w:r>
    </w:p>
    <w:p>
      <w:pPr>
        <w:spacing w:after="100" w:line="300"/>
      </w:pPr>
      <w:r>
        <w:rPr>
          <w:rFonts w:ascii="Arial" w:cs="Arial" w:eastAsia="Arial" w:hAnsi="Arial"/>
          <w:sz w:val="22"/>
          <w:szCs w:val="22"/>
        </w:rPr>
        <w:t xml:space="preserve">v3 makes three structural shifts on top of v2. First, the contribution narrative moves from 'replicate the signaller and explain' to 'replicate where the signaller is right, improve where the signaller could have done better, explain both — and only interrupt the human when the system-level evidence is strong'. Second, the Chapter-3 acquisition framework is published as Stage 1 of the pipeline, making this an end-to-end expert system rather than only an algorithm study. Third, S-class semantics are made fully explicit and the v2 worked example is rewritten using only data-observable features. Combined with the IRL branch and the five-level interpretability stack, the proposal now has the methodological and narrative depth required to land in ESWA / EAAI.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End-to-End Expert System for UK Railway Signaller Decisions — Derby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2026-05-03T19:31:02.113Z</dcterms:created>
  <dcterms:modified xsi:type="dcterms:W3CDTF">2026-05-03T19:31:02.115Z</dcterms:modified>
</cp:coreProperties>
</file>

<file path=docProps/custom.xml><?xml version="1.0" encoding="utf-8"?>
<Properties xmlns="http://schemas.openxmlformats.org/officeDocument/2006/custom-properties" xmlns:vt="http://schemas.openxmlformats.org/officeDocument/2006/docPropsVTypes"/>
</file>