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Nome: Arthur Palacio Barbosa Moulepes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data- 26/08/24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turma - Tarde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Unique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Foreign Key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3-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primary key/Uniqueste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Check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Not null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Cascade/foreing key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9-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Alter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10-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11-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12-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13-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14-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15-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having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FOTO CAÇA PALAVRA: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4674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0860" l="830" r="-830" t="156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6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