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Itinerario Personal para la Empleabilidad I (1º SMR)</w:t>
      </w:r>
    </w:p>
    <w:p>
      <w:pPr>
        <w:pStyle w:val="Heading1"/>
      </w:pPr>
      <w:r>
        <w:t>Unidad 1: El Mercado Laboral en el Sector IT</w:t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r>
        <w:t>Perfiles típicos: Técnico Helpdesk (soporte), Administrador de Sistemas (servidores, virtualización), Técnico de Redes (Cisco, seguridad perimetral) e Instalador de Telecomunicaciones. Competencias: Certificaciones (CCNA, LPI), inglés técnico, resiliencia y adaptabilidad al cambio tecnológico.</w:t>
      </w:r>
    </w:p>
    <w:p>
      <w:r>
        <w:br w:type="page"/>
      </w:r>
    </w:p>
    <w:p>
      <w:pPr>
        <w:pStyle w:val="Heading1"/>
      </w:pPr>
      <w:r>
        <w:t>Unidad 2: Búsqueda de Empleo y Marca Personal</w:t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r>
        <w:t>LinkedIn como herramienta estratégica: perfil estelar, networking y optimización para reclutadores. CV enfocado en resultados y enlaces a portfolios o GitHub. Preparación de entrevistas técnicas, demostrando lógica y honestidad ante retos desconocidos.</w:t>
      </w:r>
    </w:p>
    <w:p>
      <w:r>
        <w:br w:type="page"/>
      </w:r>
    </w:p>
    <w:p>
      <w:pPr>
        <w:pStyle w:val="Heading1"/>
      </w:pPr>
      <w:r>
        <w:t>Unidad 3: Derecho Laboral: Contratos y Nóminas</w:t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r>
        <w:t>Tipos de contrato: Indefinido, Temporal y Formación. La nómina incluye devengos (salario base, complementos) y deducciones (Seguridad Social ~6.35%, IRPF). Conceptos: SMI, Salario Bruto vs Neto. El Convenio Colectivo marca los mínimos del sector.</w:t>
      </w:r>
    </w:p>
    <w:p>
      <w:r>
        <w:br w:type="page"/>
      </w:r>
    </w:p>
    <w:p>
      <w:pPr>
        <w:pStyle w:val="Heading1"/>
      </w:pPr>
      <w:r>
        <w:t>Unidad 4: Prevención de Riesgos Laborales (PRL) en IT</w:t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p>
      <w:r>
        <w:t>Ergonomía: posturas, sillas adecuadas, altura del monitor. Fatiga visual: regla 20-20-20. Riesgo eléctrico en montaje: pulseras antiestáticas, herramientas aisladas. Riesgos psicosociales: estrés y burnout. Actuación en emergencias en CPD (extintores de CO2/agentes limpios).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