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Sostenibilidad Aplicada al Sistema Productivo (1º SMR)</w:t>
      </w:r>
    </w:p>
    <w:p>
      <w:pPr>
        <w:pStyle w:val="Heading1"/>
      </w:pPr>
      <w:r>
        <w:t>Unidad 1: Desafíos Globales y ODS</w:t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r>
        <w:t>El sector IT es responsable de aproximadamente el 2-3% de las emisiones globales. La Agenda 2030 marca objetivos críticos: ODS 7 (energía limpia en Data Centers), ODS 9 (infraestructuras resilientes), ODS 12 (consumo responsable y reducción de residuos electrónicos) y ODS 13 (descarbonización tecnológica).</w:t>
      </w:r>
    </w:p>
    <w:p>
      <w:r>
        <w:br w:type="page"/>
      </w:r>
    </w:p>
    <w:p>
      <w:pPr>
        <w:pStyle w:val="Heading1"/>
      </w:pPr>
      <w:r>
        <w:t>Unidad 2: Economía Circular y Gestión de Residuos</w:t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r>
        <w:t>La economía circular propone cerrar el ciclo de vida: Ecodiseño para reparar, Servitización y Logística inversa. La gestión de RAEE está regulada por el RD 110/2015, exigiendo el tratamiento de materiales peligrosos (plomo, mercurio) y la recuperación de metales valiosos (oro, cobalto) mediante minería urbana.</w:t>
      </w:r>
    </w:p>
    <w:p>
      <w:r>
        <w:br w:type="page"/>
      </w:r>
    </w:p>
    <w:p>
      <w:pPr>
        <w:pStyle w:val="Heading1"/>
      </w:pPr>
      <w:r>
        <w:t>Unidad 3: Eficiencia Energética y Green IT</w:t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p>
      <w:r>
        <w:t>Estrategias: Virtualización para consolidar servidores, hardware eficiente (80 Plus, SSD), y optimización térmica (pasillos fríos/calientes). Métricas clave: PUE (eficiencia energética total), CUE (intensidad de carbono) y WUE (eficiencia en uso de agua).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