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95" w:rsidRDefault="00DE3A95">
      <w:pPr>
        <w:pStyle w:val="ConsPlusTitlePage"/>
      </w:pPr>
      <w:r>
        <w:t xml:space="preserve">Документ предоставлен </w:t>
      </w:r>
      <w:hyperlink r:id="rId4">
        <w:r>
          <w:rPr>
            <w:color w:val="0000FF"/>
          </w:rPr>
          <w:t>КонсультантПлюс</w:t>
        </w:r>
      </w:hyperlink>
      <w:r>
        <w:br/>
      </w:r>
    </w:p>
    <w:p w:rsidR="00DE3A95" w:rsidRDefault="00DE3A95">
      <w:pPr>
        <w:pStyle w:val="ConsPlusNormal"/>
        <w:jc w:val="both"/>
        <w:outlineLvl w:val="0"/>
      </w:pPr>
    </w:p>
    <w:p w:rsidR="00DE3A95" w:rsidRDefault="00DE3A95">
      <w:pPr>
        <w:pStyle w:val="ConsPlusTitle"/>
        <w:jc w:val="center"/>
      </w:pPr>
      <w:r>
        <w:t>ЦЕНТРАЛЬНЫЙ БАНК РОССИЙСКОЙ ФЕДЕРАЦИИ</w:t>
      </w:r>
    </w:p>
    <w:p w:rsidR="00DE3A95" w:rsidRDefault="00DE3A95">
      <w:pPr>
        <w:pStyle w:val="ConsPlusTitle"/>
        <w:jc w:val="center"/>
      </w:pPr>
    </w:p>
    <w:p w:rsidR="00DE3A95" w:rsidRDefault="00DE3A95">
      <w:pPr>
        <w:pStyle w:val="ConsPlusTitle"/>
        <w:jc w:val="center"/>
      </w:pPr>
      <w:r>
        <w:t>14 сентября 2018 г. N 23-МР</w:t>
      </w:r>
    </w:p>
    <w:p w:rsidR="00DE3A95" w:rsidRDefault="00DE3A95">
      <w:pPr>
        <w:pStyle w:val="ConsPlusTitle"/>
        <w:ind w:firstLine="540"/>
        <w:jc w:val="both"/>
      </w:pPr>
    </w:p>
    <w:p w:rsidR="00DE3A95" w:rsidRDefault="00DE3A95">
      <w:pPr>
        <w:pStyle w:val="ConsPlusTitle"/>
        <w:jc w:val="center"/>
      </w:pPr>
      <w:r>
        <w:t>МЕТОДИЧЕСКИЕ РЕКОМЕНДАЦИИ</w:t>
      </w:r>
    </w:p>
    <w:p w:rsidR="00DE3A95" w:rsidRDefault="00DE3A95">
      <w:pPr>
        <w:pStyle w:val="ConsPlusTitle"/>
        <w:jc w:val="center"/>
      </w:pPr>
      <w:r>
        <w:t>ПО РАЗРАБОТКЕ И УТВЕРЖДЕНИЮ ПОРЯДКА ДОСТУПА К ИНСАЙДЕРСКОЙ</w:t>
      </w:r>
    </w:p>
    <w:p w:rsidR="00DE3A95" w:rsidRDefault="00DE3A95">
      <w:pPr>
        <w:pStyle w:val="ConsPlusTitle"/>
        <w:jc w:val="center"/>
      </w:pPr>
      <w:r>
        <w:t>ИНФОРМАЦИИ И ПРАВИЛ ОХРАНЫ ЕЕ КОНФИДЕНЦИАЛЬНОСТИ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Normal"/>
        <w:ind w:firstLine="540"/>
        <w:jc w:val="both"/>
      </w:pPr>
      <w:r>
        <w:t xml:space="preserve">Настоящие Методические рекомендации разработаны в соответствии с </w:t>
      </w:r>
      <w:hyperlink r:id="rId5">
        <w:r>
          <w:rPr>
            <w:color w:val="0000FF"/>
          </w:rPr>
          <w:t>пунктом 11 части 1 статьи 14</w:t>
        </w:r>
      </w:hyperlink>
      <w:r>
        <w:t xml:space="preserve"> Федерального закона от 27.07.2010 N 224-ФЗ "О противодействии неправомерному использованию инсайдерской информации и манипулированию рынком и о внесении изменений в отдельные законодательные акты Российской Федерации" (далее - Федеральный закон) в целях оказания методологической помощи юридическим лицам, указанным в </w:t>
      </w:r>
      <w:hyperlink r:id="rId6">
        <w:r>
          <w:rPr>
            <w:color w:val="0000FF"/>
          </w:rPr>
          <w:t>пунктах 1</w:t>
        </w:r>
      </w:hyperlink>
      <w:r>
        <w:t xml:space="preserve"> - </w:t>
      </w:r>
      <w:hyperlink r:id="rId7">
        <w:r>
          <w:rPr>
            <w:color w:val="0000FF"/>
          </w:rPr>
          <w:t>8</w:t>
        </w:r>
      </w:hyperlink>
      <w:r>
        <w:t xml:space="preserve">, </w:t>
      </w:r>
      <w:hyperlink r:id="rId8">
        <w:r>
          <w:rPr>
            <w:color w:val="0000FF"/>
          </w:rPr>
          <w:t>11</w:t>
        </w:r>
      </w:hyperlink>
      <w:r>
        <w:t xml:space="preserve"> и </w:t>
      </w:r>
      <w:hyperlink r:id="rId9">
        <w:r>
          <w:rPr>
            <w:color w:val="0000FF"/>
          </w:rPr>
          <w:t>12 статьи 4</w:t>
        </w:r>
      </w:hyperlink>
      <w:r>
        <w:t xml:space="preserve"> Федерального закона (далее при совместном упоминании - организации), при разработке и утверждении ими в соответствии с </w:t>
      </w:r>
      <w:hyperlink r:id="rId10">
        <w:r>
          <w:rPr>
            <w:color w:val="0000FF"/>
          </w:rPr>
          <w:t>пунктом 1 статьи 11</w:t>
        </w:r>
      </w:hyperlink>
      <w:r>
        <w:t xml:space="preserve"> Федерального закона порядка доступа к инсайдерской информации и правил охраны ее конфиденциальности.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Title"/>
        <w:ind w:firstLine="540"/>
        <w:jc w:val="both"/>
        <w:outlineLvl w:val="0"/>
      </w:pPr>
      <w:r>
        <w:t>Глава 1. Общие положения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Normal"/>
        <w:ind w:firstLine="540"/>
        <w:jc w:val="both"/>
      </w:pPr>
      <w:r>
        <w:t>1.1. Организациям рекомендуется в разрабатываемых и утверждаемых ими порядке доступа к инсайдерской информации и правилах охраны ее конфиденциальности предусмотреть следующие положения: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1.1.1. Принципы организации процессов по обеспечению доступа к инсайдерской информации, ее сохранности и защиты, в том числе следующие принципы: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принцип следования этическим стандартам (в случае их наличия);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принцип непрерывности и эффективности процесса обеспечения защиты и сохранности инсайдерской информации;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принцип предотвращения конфликта интересов при обращении инсайдерской информации;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принцип соответствия мер по обеспечению защиты и сохранности инсайдерской информации, в том числе предотвращению, выявлению и пресечению ее неправомерного использования, характеру и масштабу деятельности организации.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1.1.2. Перечень мер по обеспечению доступа, защиты и сохранности инсайдерской информации, принятие которых рекомендуется в соответствии с </w:t>
      </w:r>
      <w:hyperlink w:anchor="P44">
        <w:r>
          <w:rPr>
            <w:color w:val="0000FF"/>
          </w:rPr>
          <w:t>главой 2</w:t>
        </w:r>
      </w:hyperlink>
      <w:r>
        <w:t xml:space="preserve"> настоящих Методических рекомендаций.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1.1.3. Порядок и сроки принятия мер по предотвращению неправомерного использования инсайдерской информации при наличии информации, поступившей из внутренних и внешних источников, в том числе информации о признаках недобросовестного поведения работников, а также членов органов управления организации.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1.1.4. Перечень мер по обеспечению недопущения незаконного разглашения и (или) использования инсайдерской информации работниками организации и (или) иными лицами, которым стала известна инсайдерская информация, в том числе случайно, в собственных интересах или в интересах третьих лиц, а также последствия, возникающие в результате незаконного разглашения и (или) использования инсайдерской информации.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1.1.5. Порядок информирования работников организации и ее органов управления о </w:t>
      </w:r>
      <w:r>
        <w:lastRenderedPageBreak/>
        <w:t xml:space="preserve">требованиях по соблюдению Федерального </w:t>
      </w:r>
      <w:hyperlink r:id="rId11">
        <w:r>
          <w:rPr>
            <w:color w:val="0000FF"/>
          </w:rPr>
          <w:t>закона</w:t>
        </w:r>
      </w:hyperlink>
      <w:r>
        <w:t xml:space="preserve"> и принятых в соответствии с ним нормативных актов.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1.1.6. Порядок ознакомления работников организации и ее органов управления с действующими редакциями внутренних документов организации, разработанных в соответствии с </w:t>
      </w:r>
      <w:hyperlink r:id="rId12">
        <w:r>
          <w:rPr>
            <w:color w:val="0000FF"/>
          </w:rPr>
          <w:t>частью 1 статьи 3</w:t>
        </w:r>
      </w:hyperlink>
      <w:r>
        <w:t xml:space="preserve">, </w:t>
      </w:r>
      <w:hyperlink r:id="rId13">
        <w:r>
          <w:rPr>
            <w:color w:val="0000FF"/>
          </w:rPr>
          <w:t>частью 1 статьи 9</w:t>
        </w:r>
      </w:hyperlink>
      <w:r>
        <w:t xml:space="preserve">, </w:t>
      </w:r>
      <w:hyperlink r:id="rId14">
        <w:r>
          <w:rPr>
            <w:color w:val="0000FF"/>
          </w:rPr>
          <w:t>статьей 11</w:t>
        </w:r>
      </w:hyperlink>
      <w:r>
        <w:t xml:space="preserve"> и </w:t>
      </w:r>
      <w:hyperlink r:id="rId15">
        <w:r>
          <w:rPr>
            <w:color w:val="0000FF"/>
          </w:rPr>
          <w:t>частями 1</w:t>
        </w:r>
      </w:hyperlink>
      <w:r>
        <w:t xml:space="preserve"> - </w:t>
      </w:r>
      <w:hyperlink r:id="rId16">
        <w:r>
          <w:rPr>
            <w:color w:val="0000FF"/>
          </w:rPr>
          <w:t>3 статьи 12</w:t>
        </w:r>
      </w:hyperlink>
      <w:r>
        <w:t xml:space="preserve"> Федерального закона.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1.1.7. Способы подтверждения факта ознакомления работников, имеющих доступ к инсайдерской информации, а также лиц, указанных в </w:t>
      </w:r>
      <w:hyperlink w:anchor="P35">
        <w:r>
          <w:rPr>
            <w:color w:val="0000FF"/>
          </w:rPr>
          <w:t>подпункте 1.1.16</w:t>
        </w:r>
      </w:hyperlink>
      <w:r>
        <w:t xml:space="preserve"> настоящего пункта, с действующими перечнем инсайдерской информации, порядком доступа к инсайдерской информации, правилами охраны ее конфиденциальности, требованиями Федерального </w:t>
      </w:r>
      <w:hyperlink r:id="rId17">
        <w:r>
          <w:rPr>
            <w:color w:val="0000FF"/>
          </w:rPr>
          <w:t>закона</w:t>
        </w:r>
      </w:hyperlink>
      <w:r>
        <w:t xml:space="preserve"> и принятых в соответствии с ним нормативных актов о последствиях неправомерного использования инсайдерской информации, а также порядок хранения документов, подтверждающих такое ознакомление.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1.1.8. Порядок и периодичность проведения обучения работников, в том числе лиц, указанных в </w:t>
      </w:r>
      <w:hyperlink w:anchor="P34">
        <w:r>
          <w:rPr>
            <w:color w:val="0000FF"/>
          </w:rPr>
          <w:t>подпунктах 1.1.15</w:t>
        </w:r>
      </w:hyperlink>
      <w:r>
        <w:t xml:space="preserve"> - </w:t>
      </w:r>
      <w:hyperlink w:anchor="P36">
        <w:r>
          <w:rPr>
            <w:color w:val="0000FF"/>
          </w:rPr>
          <w:t>1.1.17</w:t>
        </w:r>
      </w:hyperlink>
      <w:r>
        <w:t xml:space="preserve"> настоящего пункта, а также в </w:t>
      </w:r>
      <w:hyperlink w:anchor="P66">
        <w:r>
          <w:rPr>
            <w:color w:val="0000FF"/>
          </w:rPr>
          <w:t>пункте 2.2.14</w:t>
        </w:r>
      </w:hyperlink>
      <w:r>
        <w:t xml:space="preserve"> настоящих Методических рекомендаций, в целях повышения их осведомленности о правилах обращения с инсайдерской информацией и понимания последствий в результате их нарушения.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1.1.9. Права и обязанности лиц, ответственных за обеспечение доступа, защиты и сохранности инсайдерской информации, в том числе должностного лица (работников структурного подразделения), в обязанности которого входит осуществление контроля за соблюдением требований Федерального </w:t>
      </w:r>
      <w:hyperlink r:id="rId18">
        <w:r>
          <w:rPr>
            <w:color w:val="0000FF"/>
          </w:rPr>
          <w:t>закона</w:t>
        </w:r>
      </w:hyperlink>
      <w:r>
        <w:t xml:space="preserve"> и принятых в соответствии с ним нормативных актов (далее - ОДЛ).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1.1.10. Права и обязанности органов управления организации, утверждающих внутренние документы, разрабатываемые организациями в соответствии с </w:t>
      </w:r>
      <w:hyperlink r:id="rId19">
        <w:r>
          <w:rPr>
            <w:color w:val="0000FF"/>
          </w:rPr>
          <w:t>частью 1 статьи 3</w:t>
        </w:r>
      </w:hyperlink>
      <w:r>
        <w:t xml:space="preserve">, </w:t>
      </w:r>
      <w:hyperlink r:id="rId20">
        <w:r>
          <w:rPr>
            <w:color w:val="0000FF"/>
          </w:rPr>
          <w:t>пунктом 1 части 1 статьи 9</w:t>
        </w:r>
      </w:hyperlink>
      <w:r>
        <w:t xml:space="preserve">, </w:t>
      </w:r>
      <w:hyperlink r:id="rId21">
        <w:r>
          <w:rPr>
            <w:color w:val="0000FF"/>
          </w:rPr>
          <w:t>статьей 11</w:t>
        </w:r>
      </w:hyperlink>
      <w:r>
        <w:t xml:space="preserve"> и </w:t>
      </w:r>
      <w:hyperlink r:id="rId22">
        <w:r>
          <w:rPr>
            <w:color w:val="0000FF"/>
          </w:rPr>
          <w:t>частями 1</w:t>
        </w:r>
      </w:hyperlink>
      <w:r>
        <w:t xml:space="preserve"> - </w:t>
      </w:r>
      <w:hyperlink r:id="rId23">
        <w:r>
          <w:rPr>
            <w:color w:val="0000FF"/>
          </w:rPr>
          <w:t>3 статьи 12</w:t>
        </w:r>
      </w:hyperlink>
      <w:r>
        <w:t xml:space="preserve"> Федерального закона в целях защиты и сохранности инсайдерской информации и реализации мер по предотвращению, выявлению и пресечению ее неправомерного использования.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1.1.11. Порядок формирования и работы рабочих (проектных) групп, создаваемых для оперативного решения задач организации, требующих обработки инсайдерской информации, в состав которых по решению организации помимо работников организации, которым в целях исполнения ими должностных обязанностей предоставлен доступ к инсайдерской информации, могут входить работники структурных подразделений организации, в должностные обязанности которых не входит получение инсайдерской информации (далее - рабочие (проектные) группы), а также порядок предоставления рабочим (проектным) группам инсайдерской информации.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1.1.12. Порядок уведомления лиц, включенных в список инсайдеров, об их включении в список инсайдеров в соответствии с </w:t>
      </w:r>
      <w:hyperlink r:id="rId24">
        <w:r>
          <w:rPr>
            <w:color w:val="0000FF"/>
          </w:rPr>
          <w:t>пунктом 2 части 1 статьи 9</w:t>
        </w:r>
      </w:hyperlink>
      <w:r>
        <w:t xml:space="preserve"> Федерального закона до передачи им инсайдерской информации.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1.1.13. Порядок ведения следующих списков: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списка эмитентов, в отношении которых организацией получена инсайдерская информация и совершение операций в отношении финансовых инструментов которых в собственных интересах организации возможно, а также финансовых инструментов, в отношении которых организацией получена инсайдерская информация и совершение операций с которыми в собственных интересах организации возможно (далее - лист наблюдения);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списка эмитентов, в отношении которых организацией получена инсайдерская информация и совершение операций в отношении финансовых инструментов которых в собственных интересах организацией запрещено, а также финансовых инструментов, в отношении которых организацией получена инсайдерская информация и совершение операций с которыми в собственных интересах </w:t>
      </w:r>
      <w:r>
        <w:lastRenderedPageBreak/>
        <w:t>организацией запрещено (далее - стоп-лист).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1.1.14. Порядок ознакомления и доступа работников организации к информации, содержащейся в стоп-листе и листе наблюдения, и правила хранения информации, содержащейся в стоп-листе и листе наблюдения.</w:t>
      </w:r>
    </w:p>
    <w:p w:rsidR="00DE3A95" w:rsidRDefault="00DE3A95">
      <w:pPr>
        <w:pStyle w:val="ConsPlusNormal"/>
        <w:spacing w:before="220"/>
        <w:ind w:firstLine="540"/>
        <w:jc w:val="both"/>
      </w:pPr>
      <w:bookmarkStart w:id="0" w:name="P34"/>
      <w:bookmarkEnd w:id="0"/>
      <w:r>
        <w:t>1.1.15. Права и обязанности в области обеспечения доступа, защиты и сохранности инсайдерской информации работников структурного подразделения (структурных подразделений) организации, должностные обязанности которых в силу заключаемых с клиентами организации договоров связаны с получением инсайдерской информации от клиентов организации, в том числе права и обязанности в области обеспечения доступа, защиты и сохранности инсайдерской информации лиц, привлекающих клиентов, и лиц, осуществляющих оценку привлекаемых клиентов в соответствии с требованиями законодательства Российской Федерации и (или) внутренними документами организации.</w:t>
      </w:r>
    </w:p>
    <w:p w:rsidR="00DE3A95" w:rsidRDefault="00DE3A95">
      <w:pPr>
        <w:pStyle w:val="ConsPlusNormal"/>
        <w:spacing w:before="220"/>
        <w:ind w:firstLine="540"/>
        <w:jc w:val="both"/>
      </w:pPr>
      <w:bookmarkStart w:id="1" w:name="P35"/>
      <w:bookmarkEnd w:id="1"/>
      <w:r>
        <w:t>1.1.16. Права и обязанности в области обеспечения доступа, защиты и сохранности инсайдерской информации работников структурного подразделения организации, в должностные обязанности которых входит совершение операций в собственных интересах организации, в том числе права и обязанности в области обеспечения доступа, защиты и сохранности инсайдерской информации лиц, принимающих решения о совершении операций в собственных интересах организации, и лиц, осуществляющих предварительную оценку условий сделок, заключаемых организацией, в том числе на их соответствие требованиям законодательства Российской Федерации (если такая оценка осуществляется).</w:t>
      </w:r>
    </w:p>
    <w:p w:rsidR="00DE3A95" w:rsidRDefault="00DE3A95">
      <w:pPr>
        <w:pStyle w:val="ConsPlusNormal"/>
        <w:spacing w:before="220"/>
        <w:ind w:firstLine="540"/>
        <w:jc w:val="both"/>
      </w:pPr>
      <w:bookmarkStart w:id="2" w:name="P36"/>
      <w:bookmarkEnd w:id="2"/>
      <w:r>
        <w:t xml:space="preserve">1.1.17. Права и обязанности в области обеспечения доступа, защиты и сохранности инсайдерской информации работников структурного подразделения организации, которые предоставляют аналитические материалы лицам, указанным в </w:t>
      </w:r>
      <w:hyperlink w:anchor="P35">
        <w:r>
          <w:rPr>
            <w:color w:val="0000FF"/>
          </w:rPr>
          <w:t>подпункте 1.1.16</w:t>
        </w:r>
      </w:hyperlink>
      <w:r>
        <w:t xml:space="preserve"> настоящего пункта, и (или) публичную информацию участникам финансового рынка, которая используется при совершении операций с финансовыми инструментами, иностранной валютой и (или) товарами.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1.1.18. Перечень мер, обеспечивающих исключение несанкционированного доступа в помещения структурных подразделений, указанных в </w:t>
      </w:r>
      <w:hyperlink w:anchor="P34">
        <w:r>
          <w:rPr>
            <w:color w:val="0000FF"/>
          </w:rPr>
          <w:t>подпункте 1.1.15</w:t>
        </w:r>
      </w:hyperlink>
      <w:r>
        <w:t xml:space="preserve"> настоящего пункта, и к рабочим местам работников таких структурных подразделений.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1.1.19. Запрет работникам структурных подразделений, указанных в </w:t>
      </w:r>
      <w:hyperlink w:anchor="P35">
        <w:r>
          <w:rPr>
            <w:color w:val="0000FF"/>
          </w:rPr>
          <w:t>подпунктах 1.1.16</w:t>
        </w:r>
      </w:hyperlink>
      <w:r>
        <w:t xml:space="preserve"> - </w:t>
      </w:r>
      <w:hyperlink w:anchor="P36">
        <w:r>
          <w:rPr>
            <w:color w:val="0000FF"/>
          </w:rPr>
          <w:t>1.1.17</w:t>
        </w:r>
      </w:hyperlink>
      <w:r>
        <w:t xml:space="preserve"> настоящего пункта, на доступ к инсайдерской информации, получаемой от клиентов организации.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1.1.20. Ограничение на использование работниками структурных подразделений, указанных в </w:t>
      </w:r>
      <w:hyperlink w:anchor="P35">
        <w:r>
          <w:rPr>
            <w:color w:val="0000FF"/>
          </w:rPr>
          <w:t>подпункте 1.1.16</w:t>
        </w:r>
      </w:hyperlink>
      <w:r>
        <w:t xml:space="preserve"> настоящего пункта, личных средств связи, личных компьютеров и личных машинных носителей информации (флеш-накопители, внешние накопители на жестких дисках и иные устройства) при осуществлении своих должностных обязанностей.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1.1.21. Ограничение на передачу работниками организации, имеющими доступ к инсайдерской информации, средств идентификации и аутентификации, используемых ими при работе с инсайдерской информацией, третьим лицам.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1.1.22. Перечень лиц, которым организацией предоставляется доступ к инсайдерской информации, порядок ее передачи указанным лицам инсайдерской информации, в том числе с согласия (без согласия ОДЛ), содержащий форму запроса о предоставлении инсайдерской информации, требования к содержанию запроса, в том числе обоснование необходимости получения инсайдерской информации, сроки рассмотрения запроса, основания для отказа в предоставлении согласия на передачу инсайдерской информации, последствия нарушения порядка использования и хранения инсайдерской информации.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1.1.23. Порядок ведения и хранения журнала передачи инсайдерской информации, включающий указание на фиксацию в нем даты и времени передачи инсайдерской информации, </w:t>
      </w:r>
      <w:r>
        <w:lastRenderedPageBreak/>
        <w:t>информации о лицах, передающих и получающих инсайдерскую информацию, сути передаваемой инсайдерской информации и способе ее передачи, предоставления ОДЛ или иным уполномоченным лицом согласия на передачу инсайдерской информации.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Title"/>
        <w:ind w:firstLine="540"/>
        <w:jc w:val="both"/>
        <w:outlineLvl w:val="0"/>
      </w:pPr>
      <w:bookmarkStart w:id="3" w:name="P44"/>
      <w:bookmarkEnd w:id="3"/>
      <w:r>
        <w:t>Глава 2. Отдельные меры по обеспечению доступа к инсайдерской информации, ее защиты и сохранности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Normal"/>
        <w:ind w:firstLine="540"/>
        <w:jc w:val="both"/>
      </w:pPr>
      <w:r>
        <w:t xml:space="preserve">2.1. Организациям рекомендуется включать в разрабатываемые и утверждаемые ими порядок доступа к инсайдерской информации и правила охраны ее конфиденциальности меры, предусмотренные </w:t>
      </w:r>
      <w:hyperlink w:anchor="P47">
        <w:r>
          <w:rPr>
            <w:color w:val="0000FF"/>
          </w:rPr>
          <w:t>пунктом 2.2</w:t>
        </w:r>
      </w:hyperlink>
      <w:r>
        <w:t xml:space="preserve"> настоящих Методических рекомендаций.</w:t>
      </w:r>
    </w:p>
    <w:p w:rsidR="00DE3A95" w:rsidRDefault="00DE3A95">
      <w:pPr>
        <w:pStyle w:val="ConsPlusNormal"/>
        <w:spacing w:before="220"/>
        <w:ind w:firstLine="540"/>
        <w:jc w:val="both"/>
      </w:pPr>
      <w:bookmarkStart w:id="4" w:name="P47"/>
      <w:bookmarkEnd w:id="4"/>
      <w:r>
        <w:t>2.2. Организациям рекомендуется принимать следующие меры по обеспечению доступа к инсайдерской информации, ее защиты и сохранности: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2.2.1. Обеспечение недопущения осуществления функций структурными подразделениями, указанными в </w:t>
      </w:r>
      <w:hyperlink w:anchor="P34">
        <w:r>
          <w:rPr>
            <w:color w:val="0000FF"/>
          </w:rPr>
          <w:t>подпунктах 1.1.15</w:t>
        </w:r>
      </w:hyperlink>
      <w:r>
        <w:t xml:space="preserve"> - </w:t>
      </w:r>
      <w:hyperlink w:anchor="P35">
        <w:r>
          <w:rPr>
            <w:color w:val="0000FF"/>
          </w:rPr>
          <w:t>1.1.16 пункта 1.1</w:t>
        </w:r>
      </w:hyperlink>
      <w:r>
        <w:t xml:space="preserve"> настоящих Методических рекомендаций, не входящих в компетенцию таких структурных подразделений.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2.2.2. Установление рабочих мест работников структурных подразделений, имеющих доступ к инсайдерской информации организации, а также работников структурных подразделений, указанных в </w:t>
      </w:r>
      <w:hyperlink w:anchor="P34">
        <w:r>
          <w:rPr>
            <w:color w:val="0000FF"/>
          </w:rPr>
          <w:t>подпункте 1.1.15 пункта 1.1</w:t>
        </w:r>
      </w:hyperlink>
      <w:r>
        <w:t xml:space="preserve"> настоящих Методических рекомендаций, в помещениях, отделенных друг от друга, а также от помещений, в которых находятся рабочие места работников иных структурных подразделений организации.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При невозможности разделения рабочих мест организациям рекомендуется разработать иные доступные и разумные меры, направленные на защиту и сохранность инсайдерской информации.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2.2.3. Обеспечение расположения мониторов компьютеров работников, имеющих доступ к инсайдерской информации организации, а также работников структурных подразделений, указанных в </w:t>
      </w:r>
      <w:hyperlink w:anchor="P34">
        <w:r>
          <w:rPr>
            <w:color w:val="0000FF"/>
          </w:rPr>
          <w:t>подпункте 1.1.15 пункта 1.1</w:t>
        </w:r>
      </w:hyperlink>
      <w:r>
        <w:t xml:space="preserve"> настоящих Методических рекомендаций, исключающее риски ознакомления с инсайдерской информацией иными лицами, в том числе в случае если в организации не предусмотрено закрепление компьютеров непосредственно за определенным работником.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2.2.4. Разграничение прав доступа к базам данных работников, осуществляющих ввод инсайдерской информации в базы данных, и работников, осуществляющих последующую обработку инсайдерской информации.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2.2.5. Обеспечение исключения несанкционированного доступа к рабочим местам, компьютерам, машинным носителям информации работников организации, имеющих доступ к инсайдерской информации организации, а также работников структурных подразделений организации, указанных в </w:t>
      </w:r>
      <w:hyperlink w:anchor="P34">
        <w:r>
          <w:rPr>
            <w:color w:val="0000FF"/>
          </w:rPr>
          <w:t>подпункте 1.1.15 пункта 1.1</w:t>
        </w:r>
      </w:hyperlink>
      <w:r>
        <w:t xml:space="preserve"> настоящих Методических рекомендаций, работниками иных структурных подразделений, в том числе должностными лицами, указанными в </w:t>
      </w:r>
      <w:hyperlink w:anchor="P63">
        <w:r>
          <w:rPr>
            <w:color w:val="0000FF"/>
          </w:rPr>
          <w:t>абзаце третьем пункта 2.2.12</w:t>
        </w:r>
      </w:hyperlink>
      <w:r>
        <w:t xml:space="preserve"> настоящих Методических рекомендаций, посредством средств идентификации и аутентификации субъектов доступа и объектов доступа, в том числе присвоение субъектам и объектам доступа уникального признака (идентификатора).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2.2.6. Обеспечение контроля за передачей средств идентификации и аутентификации работников организации, имеющих доступ к инсайдерской информации организации, работников (структурного подразделения) структурных подразделений организации, указанных в </w:t>
      </w:r>
      <w:hyperlink w:anchor="P34">
        <w:r>
          <w:rPr>
            <w:color w:val="0000FF"/>
          </w:rPr>
          <w:t>подпункте 1.1.15 пункта 1.1</w:t>
        </w:r>
      </w:hyperlink>
      <w:r>
        <w:t xml:space="preserve"> настоящих Методических рекомендаций, а также ОДЛ, иным лицам.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Организациям рекомендуется при обеспечении доступа к инсайдерской информации руководствоваться </w:t>
      </w:r>
      <w:hyperlink r:id="rId25">
        <w:r>
          <w:rPr>
            <w:color w:val="0000FF"/>
          </w:rPr>
          <w:t>главой 7</w:t>
        </w:r>
      </w:hyperlink>
      <w:r>
        <w:t xml:space="preserve"> национального стандарта Российской Федерации ГОСТ Р 57580.1-2017 </w:t>
      </w:r>
      <w:r>
        <w:lastRenderedPageBreak/>
        <w:t>"Безопасность финансовых (банковских) операций. Защита информации финансовых организаций. Базовый состав организационных и технических мер" в части процесса 1 "Обеспечение защиты информации при управлении доступом".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2.2.7. Установление копировальных машин, принтеров и аналогичных устройств, используемых работниками организации, имеющими доступ к инсайдерской информации организации, а также работниками структурных подразделений, указанных в </w:t>
      </w:r>
      <w:hyperlink w:anchor="P34">
        <w:r>
          <w:rPr>
            <w:color w:val="0000FF"/>
          </w:rPr>
          <w:t>подпункте 1.1.15 пункта 1.1</w:t>
        </w:r>
      </w:hyperlink>
      <w:r>
        <w:t xml:space="preserve"> настоящих Методических рекомендаций, в местах, не доступных иным лицам.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2.2.8. Обеспечение соблюдения ограничений на использование личных средств связи, компьютеров, машинных носителей информации работниками структурных подразделений, указанными в </w:t>
      </w:r>
      <w:hyperlink w:anchor="P35">
        <w:r>
          <w:rPr>
            <w:color w:val="0000FF"/>
          </w:rPr>
          <w:t>подпункте 1.1.16 пункта 1.1</w:t>
        </w:r>
      </w:hyperlink>
      <w:r>
        <w:t xml:space="preserve"> настоящих Методических рекомендаций, при осуществлении своих должностных обязанностей.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2.2.9. Проведение переговоров, в том числе переговоров с клиентами организации, в отдельных помещениях (комнатах переговоров), обеспечивающих исключение возможности неправомерного распространения информации о факте и содержании указанных переговоров, в случае наличия риска неправомерного использования инсайдерской информации.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2.2.10. Хранение документов, содержащих сведения, составляющие инсайдерскую информацию, в местах, доступ к которым ограничен (для документов на бумажном носителе, машинных носителях информации рекомендуется предусмотреть запираемые места (сейфы, шкафы, помещения и т.п.).</w:t>
      </w:r>
    </w:p>
    <w:p w:rsidR="00DE3A95" w:rsidRDefault="00DE3A95">
      <w:pPr>
        <w:pStyle w:val="ConsPlusNormal"/>
        <w:spacing w:before="220"/>
        <w:ind w:firstLine="540"/>
        <w:jc w:val="both"/>
      </w:pPr>
      <w:bookmarkStart w:id="5" w:name="P60"/>
      <w:bookmarkEnd w:id="5"/>
      <w:r>
        <w:t>2.2.11. Обеспечение исключения конфликта интересов и получения согласия ОДЛ или иного уполномоченного лица, полученного в порядке и сроки, установленные порядком доступа к инсайдерской информации и правилами охраны ее конфиденциальности, при передаче (в случае возникновения такой необходимости) инсайдерской информации клиентов организации структурным подразделениям, совершающим операции в собственных интересах организации, а также лицам, принимающим решения о совершении таких операций, и лицам, осуществляющим предварительную оценку условий сделок, заключаемых организацией, в том числе на их соответствие требованиям законодательства Российской Федерации (если такая оценка осуществляется).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2.2.12. Обеспечение возможности передачи инсайдерской информации без согласия ОДЛ или иного уполномоченного лица в следующих случаях: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при передаче инсайдерской информации внутри рабочих (проектных) групп;</w:t>
      </w:r>
    </w:p>
    <w:p w:rsidR="00DE3A95" w:rsidRDefault="00DE3A95">
      <w:pPr>
        <w:pStyle w:val="ConsPlusNormal"/>
        <w:spacing w:before="220"/>
        <w:ind w:firstLine="540"/>
        <w:jc w:val="both"/>
      </w:pPr>
      <w:bookmarkStart w:id="6" w:name="P63"/>
      <w:bookmarkEnd w:id="6"/>
      <w:r>
        <w:t>при передаче инсайдерской информации должностным лицам, определенным организацией;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 xml:space="preserve">при передаче инсайдерской информации, полученной рабочей (проектной) группой, лицам, в должностные обязанности которых не входит получение инсайдерской информации, а также при передаче инсайдерской информации рабочей (проектной) группе рекомендуется руководствоваться </w:t>
      </w:r>
      <w:hyperlink w:anchor="P60">
        <w:r>
          <w:rPr>
            <w:color w:val="0000FF"/>
          </w:rPr>
          <w:t>пунктом 2.2.11</w:t>
        </w:r>
      </w:hyperlink>
      <w:r>
        <w:t xml:space="preserve"> настоящих Методических рекомендаций.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2.2.13. Доведение в уведомительном порядке до сведения ОДЛ или иного уполномоченного лица информации о создании рабочей (проектной) группы, включая предмет и период деятельности, ее состав.</w:t>
      </w:r>
    </w:p>
    <w:p w:rsidR="00DE3A95" w:rsidRDefault="00DE3A95">
      <w:pPr>
        <w:pStyle w:val="ConsPlusNormal"/>
        <w:spacing w:before="220"/>
        <w:ind w:firstLine="540"/>
        <w:jc w:val="both"/>
      </w:pPr>
      <w:bookmarkStart w:id="7" w:name="P66"/>
      <w:bookmarkEnd w:id="7"/>
      <w:r>
        <w:t>2.2.14. Определение должностных лиц, инсайдерская информация которым передается без согласия ОДЛ или иного уполномоченного лица, из числа работников, осуществляющих следующие функции: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административно-распорядительные функции;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lastRenderedPageBreak/>
        <w:t>функции внутреннего контроля за деятельностью организации;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функции управления рисками организации;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функции внутреннего аудита организации;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функции правового сопровождения деятельности организации;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функции обеспечения информационной и экономической безопасности деятельности организации.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2.2.15. Обеспечение соблюдения запрета на совершение операций организацией в собственных интересах с финансовыми инструментами, входящими (эмитенты которых входят) в стоп-лист.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2.2.16. Обеспечение своевременного ознакомления работников организации и ее органов управления с порядком доступа к инсайдерской информации и правилами охраны ее конфиденциальности.</w:t>
      </w:r>
    </w:p>
    <w:p w:rsidR="00DE3A95" w:rsidRDefault="00DE3A95">
      <w:pPr>
        <w:pStyle w:val="ConsPlusNormal"/>
        <w:spacing w:before="220"/>
        <w:ind w:firstLine="540"/>
        <w:jc w:val="both"/>
      </w:pPr>
      <w:r>
        <w:t>2.2.17. Регулярное обучение лиц, указанных в настоящих Методических рекомендациях, в целях повышения уровня их знаний в области обеспечения доступа, защиты и сохранности инсайдерской информации.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Title"/>
        <w:ind w:firstLine="540"/>
        <w:jc w:val="both"/>
        <w:outlineLvl w:val="0"/>
      </w:pPr>
      <w:r>
        <w:t>Глава 3. Заключительные положения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Normal"/>
        <w:ind w:firstLine="540"/>
        <w:jc w:val="both"/>
      </w:pPr>
      <w:r>
        <w:t>Настоящие Методические рекомендации подлежат опубликованию в "Вестнике Банка России".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Normal"/>
        <w:jc w:val="right"/>
      </w:pPr>
      <w:r>
        <w:t>Первый заместитель</w:t>
      </w:r>
    </w:p>
    <w:p w:rsidR="00DE3A95" w:rsidRDefault="00DE3A95">
      <w:pPr>
        <w:pStyle w:val="ConsPlusNormal"/>
        <w:jc w:val="right"/>
      </w:pPr>
      <w:r>
        <w:t>Председателя Банка России</w:t>
      </w:r>
    </w:p>
    <w:p w:rsidR="00DE3A95" w:rsidRDefault="00DE3A95">
      <w:pPr>
        <w:pStyle w:val="ConsPlusNormal"/>
        <w:jc w:val="right"/>
      </w:pPr>
      <w:r>
        <w:t>С.А.ШВЕЦОВ</w:t>
      </w: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Normal"/>
        <w:jc w:val="both"/>
      </w:pPr>
    </w:p>
    <w:p w:rsidR="00DE3A95" w:rsidRDefault="00DE3A95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A6579" w:rsidRDefault="00DA6579">
      <w:bookmarkStart w:id="8" w:name="_GoBack"/>
      <w:bookmarkEnd w:id="8"/>
    </w:p>
    <w:sectPr w:rsidR="00DA6579" w:rsidSect="005B5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95"/>
    <w:rsid w:val="005B12B0"/>
    <w:rsid w:val="009F1EFF"/>
    <w:rsid w:val="00AA42C0"/>
    <w:rsid w:val="00DA6579"/>
    <w:rsid w:val="00D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384EC-D33D-483A-BC7C-E0B0A562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3A9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DE3A9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DE3A95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65596&amp;dst=100053" TargetMode="External"/><Relationship Id="rId13" Type="http://schemas.openxmlformats.org/officeDocument/2006/relationships/hyperlink" Target="https://login.consultant.ru/link/?req=doc&amp;base=LAW&amp;n=465596&amp;dst=100098" TargetMode="External"/><Relationship Id="rId18" Type="http://schemas.openxmlformats.org/officeDocument/2006/relationships/hyperlink" Target="https://login.consultant.ru/link/?req=doc&amp;base=LAW&amp;n=46559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465596&amp;dst=100113" TargetMode="External"/><Relationship Id="rId7" Type="http://schemas.openxmlformats.org/officeDocument/2006/relationships/hyperlink" Target="https://login.consultant.ru/link/?req=doc&amp;base=LAW&amp;n=465596&amp;dst=100050" TargetMode="External"/><Relationship Id="rId12" Type="http://schemas.openxmlformats.org/officeDocument/2006/relationships/hyperlink" Target="https://login.consultant.ru/link/?req=doc&amp;base=LAW&amp;n=465596&amp;dst=11" TargetMode="External"/><Relationship Id="rId17" Type="http://schemas.openxmlformats.org/officeDocument/2006/relationships/hyperlink" Target="https://login.consultant.ru/link/?req=doc&amp;base=LAW&amp;n=465596" TargetMode="External"/><Relationship Id="rId25" Type="http://schemas.openxmlformats.org/officeDocument/2006/relationships/hyperlink" Target="https://login.consultant.ru/link/?req=doc&amp;base=OTN&amp;n=18186&amp;dst=10022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465596&amp;dst=29" TargetMode="External"/><Relationship Id="rId20" Type="http://schemas.openxmlformats.org/officeDocument/2006/relationships/hyperlink" Target="https://login.consultant.ru/link/?req=doc&amp;base=LAW&amp;n=465596&amp;dst=100099" TargetMode="Externa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65596&amp;dst=100043" TargetMode="External"/><Relationship Id="rId11" Type="http://schemas.openxmlformats.org/officeDocument/2006/relationships/hyperlink" Target="https://login.consultant.ru/link/?req=doc&amp;base=LAW&amp;n=465596" TargetMode="External"/><Relationship Id="rId24" Type="http://schemas.openxmlformats.org/officeDocument/2006/relationships/hyperlink" Target="https://login.consultant.ru/link/?req=doc&amp;base=LAW&amp;n=465596&amp;dst=17" TargetMode="External"/><Relationship Id="rId5" Type="http://schemas.openxmlformats.org/officeDocument/2006/relationships/hyperlink" Target="https://login.consultant.ru/link/?req=doc&amp;base=LAW&amp;n=465596&amp;dst=100148" TargetMode="External"/><Relationship Id="rId15" Type="http://schemas.openxmlformats.org/officeDocument/2006/relationships/hyperlink" Target="https://login.consultant.ru/link/?req=doc&amp;base=LAW&amp;n=465596&amp;dst=100119" TargetMode="External"/><Relationship Id="rId23" Type="http://schemas.openxmlformats.org/officeDocument/2006/relationships/hyperlink" Target="https://login.consultant.ru/link/?req=doc&amp;base=LAW&amp;n=465596&amp;dst=29" TargetMode="External"/><Relationship Id="rId10" Type="http://schemas.openxmlformats.org/officeDocument/2006/relationships/hyperlink" Target="https://login.consultant.ru/link/?req=doc&amp;base=LAW&amp;n=465596&amp;dst=25" TargetMode="External"/><Relationship Id="rId19" Type="http://schemas.openxmlformats.org/officeDocument/2006/relationships/hyperlink" Target="https://login.consultant.ru/link/?req=doc&amp;base=LAW&amp;n=465596&amp;dst=11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https://login.consultant.ru/link/?req=doc&amp;base=LAW&amp;n=465596&amp;dst=100054" TargetMode="External"/><Relationship Id="rId14" Type="http://schemas.openxmlformats.org/officeDocument/2006/relationships/hyperlink" Target="https://login.consultant.ru/link/?req=doc&amp;base=LAW&amp;n=465596&amp;dst=100113" TargetMode="External"/><Relationship Id="rId22" Type="http://schemas.openxmlformats.org/officeDocument/2006/relationships/hyperlink" Target="https://login.consultant.ru/link/?req=doc&amp;base=LAW&amp;n=465596&amp;dst=10011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2958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MOEX</Company>
  <LinksUpToDate>false</LinksUpToDate>
  <CharactersWithSpaces>19786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Андрей Павлович</dc:creator>
  <cp:keywords/>
  <dc:description/>
  <cp:lastModifiedBy>Журавлев Андрей Павлович</cp:lastModifiedBy>
  <cp:revision>1</cp:revision>
  <dcterms:created xsi:type="dcterms:W3CDTF">2024-04-19T08:42:00Z</dcterms:created>
  <dcterms:modified xsi:type="dcterms:W3CDTF">2024-04-19T08:42:00Z</dcterms:modified>
</cp:coreProperties>
</file>