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526" w:rsidRDefault="005E5526">
      <w:pPr>
        <w:pStyle w:val="ConsPlusTitlePage"/>
      </w:pPr>
      <w:r>
        <w:t xml:space="preserve">Документ предоставлен </w:t>
      </w:r>
      <w:hyperlink r:id="rId4">
        <w:r>
          <w:rPr>
            <w:color w:val="0000FF"/>
          </w:rPr>
          <w:t>КонсультантПлюс</w:t>
        </w:r>
      </w:hyperlink>
      <w:r>
        <w:br/>
      </w:r>
    </w:p>
    <w:p w:rsidR="005E5526" w:rsidRDefault="005E5526">
      <w:pPr>
        <w:pStyle w:val="ConsPlusNormal"/>
        <w:jc w:val="both"/>
        <w:outlineLvl w:val="0"/>
      </w:pPr>
    </w:p>
    <w:p w:rsidR="005E5526" w:rsidRDefault="005E5526">
      <w:pPr>
        <w:pStyle w:val="ConsPlusNormal"/>
      </w:pPr>
      <w:r>
        <w:t>Зарегистрировано в Минюсте России 4 июля 2019 г. N 55147</w:t>
      </w:r>
    </w:p>
    <w:p w:rsidR="005E5526" w:rsidRDefault="005E5526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E5526" w:rsidRDefault="005E5526">
      <w:pPr>
        <w:pStyle w:val="ConsPlusNormal"/>
        <w:jc w:val="both"/>
      </w:pPr>
    </w:p>
    <w:p w:rsidR="005E5526" w:rsidRDefault="005E5526">
      <w:pPr>
        <w:pStyle w:val="ConsPlusTitle"/>
        <w:jc w:val="center"/>
      </w:pPr>
      <w:r>
        <w:t>ЦЕНТРАЛЬНЫЙ БАНК РОССИЙСКОЙ ФЕДЕРАЦИИ</w:t>
      </w:r>
    </w:p>
    <w:p w:rsidR="005E5526" w:rsidRDefault="005E5526">
      <w:pPr>
        <w:pStyle w:val="ConsPlusTitle"/>
        <w:jc w:val="both"/>
      </w:pPr>
    </w:p>
    <w:p w:rsidR="005E5526" w:rsidRDefault="005E5526">
      <w:pPr>
        <w:pStyle w:val="ConsPlusTitle"/>
        <w:jc w:val="center"/>
      </w:pPr>
      <w:r>
        <w:t>УКАЗАНИЕ</w:t>
      </w:r>
    </w:p>
    <w:p w:rsidR="005E5526" w:rsidRDefault="005E5526">
      <w:pPr>
        <w:pStyle w:val="ConsPlusTitle"/>
        <w:jc w:val="center"/>
      </w:pPr>
      <w:r>
        <w:t>от 22 апреля 2019 г. N 5128-У</w:t>
      </w:r>
    </w:p>
    <w:p w:rsidR="005E5526" w:rsidRDefault="005E5526">
      <w:pPr>
        <w:pStyle w:val="ConsPlusTitle"/>
        <w:jc w:val="both"/>
      </w:pPr>
    </w:p>
    <w:p w:rsidR="005E5526" w:rsidRDefault="005E5526">
      <w:pPr>
        <w:pStyle w:val="ConsPlusTitle"/>
        <w:jc w:val="center"/>
      </w:pPr>
      <w:r>
        <w:t>О ПОРЯДКЕ И СРОКАХ</w:t>
      </w:r>
    </w:p>
    <w:p w:rsidR="005E5526" w:rsidRDefault="005E5526">
      <w:pPr>
        <w:pStyle w:val="ConsPlusTitle"/>
        <w:jc w:val="center"/>
      </w:pPr>
      <w:r>
        <w:t>ПРЕДОСТАВЛЕНИЯ ИНФОРМАЦИИ ИНСАЙДЕРАМИ, ПОЛУЧИВШИМИ</w:t>
      </w:r>
    </w:p>
    <w:p w:rsidR="005E5526" w:rsidRDefault="005E5526">
      <w:pPr>
        <w:pStyle w:val="ConsPlusTitle"/>
        <w:jc w:val="center"/>
      </w:pPr>
      <w:r>
        <w:t>ПРЕДУСМОТРЕННЫЙ ЧАСТЯМИ 1 - 3 СТАТЬИ 10 ФЕДЕРАЛЬНОГО</w:t>
      </w:r>
    </w:p>
    <w:p w:rsidR="005E5526" w:rsidRDefault="005E5526">
      <w:pPr>
        <w:pStyle w:val="ConsPlusTitle"/>
        <w:jc w:val="center"/>
      </w:pPr>
      <w:r>
        <w:t>ЗАКОНА ОТ 27 ИЮЛЯ 2010 ГОДА N 224-ФЗ "О ПРОТИВОДЕЙСТВИИ</w:t>
      </w:r>
    </w:p>
    <w:p w:rsidR="005E5526" w:rsidRDefault="005E5526">
      <w:pPr>
        <w:pStyle w:val="ConsPlusTitle"/>
        <w:jc w:val="center"/>
      </w:pPr>
      <w:r>
        <w:t>НЕПРАВОМЕРНОМУ ИСПОЛЬЗОВАНИЮ ИНСАЙДЕРСКОЙ ИНФОРМАЦИИ</w:t>
      </w:r>
    </w:p>
    <w:p w:rsidR="005E5526" w:rsidRDefault="005E5526">
      <w:pPr>
        <w:pStyle w:val="ConsPlusTitle"/>
        <w:jc w:val="center"/>
      </w:pPr>
      <w:r>
        <w:t>И МАНИПУЛИРОВАНИЮ РЫНКОМ И О ВНЕСЕНИИ ИЗМЕНЕНИЙ В ОТДЕЛЬНЫЕ</w:t>
      </w:r>
    </w:p>
    <w:p w:rsidR="005E5526" w:rsidRDefault="005E5526">
      <w:pPr>
        <w:pStyle w:val="ConsPlusTitle"/>
        <w:jc w:val="center"/>
      </w:pPr>
      <w:r>
        <w:t>ЗАКОНОДАТЕЛЬНЫЕ АКТЫ РОССИЙСКОЙ ФЕДЕРАЦИИ" ЗАПРОС</w:t>
      </w:r>
    </w:p>
    <w:p w:rsidR="005E5526" w:rsidRDefault="005E5526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5E5526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5E5526" w:rsidRDefault="005E5526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5E5526" w:rsidRDefault="005E5526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5E5526" w:rsidRDefault="005E5526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E5526" w:rsidRDefault="005E5526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>
              <w:r>
                <w:rPr>
                  <w:color w:val="0000FF"/>
                </w:rPr>
                <w:t>Указания</w:t>
              </w:r>
            </w:hyperlink>
            <w:r>
              <w:rPr>
                <w:color w:val="392C69"/>
              </w:rPr>
              <w:t xml:space="preserve"> Банка России от 16.11.2020 N 5621-У)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5E5526" w:rsidRDefault="005E5526">
            <w:pPr>
              <w:pStyle w:val="ConsPlusNormal"/>
            </w:pPr>
          </w:p>
        </w:tc>
      </w:tr>
    </w:tbl>
    <w:p w:rsidR="005E5526" w:rsidRDefault="005E5526">
      <w:pPr>
        <w:pStyle w:val="ConsPlusNormal"/>
        <w:jc w:val="both"/>
      </w:pPr>
    </w:p>
    <w:p w:rsidR="005E5526" w:rsidRDefault="005E5526">
      <w:pPr>
        <w:pStyle w:val="ConsPlusNormal"/>
        <w:ind w:firstLine="540"/>
        <w:jc w:val="both"/>
      </w:pPr>
      <w:r>
        <w:t xml:space="preserve">Настоящее Указание на основании </w:t>
      </w:r>
      <w:hyperlink r:id="rId6">
        <w:r>
          <w:rPr>
            <w:color w:val="0000FF"/>
          </w:rPr>
          <w:t>части 4 статьи 10</w:t>
        </w:r>
      </w:hyperlink>
      <w:r>
        <w:t xml:space="preserve"> Федерального закона от 27 июля 2010 года N 224-ФЗ "О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Федерации" (Собрание законодательства Российской Федерации, 2010, N 31, ст. 4193; 2011, N 29, ст. 4291; N 48, ст. 6728; 2012, N 31, ст. 4334; 2013, N 30, ст. 4082, ст. 4084; 2014, N 30, ст. 4219; 2016, N 27, ст. 4225; 2018, N 32, ст. 5103; N 53, ст. 8440) (далее - Федеральный закон от 27 июля 2010 года N 224-ФЗ) устанавливает порядок и сроки предоставления информации инсайдерами, получившими предусмотренный </w:t>
      </w:r>
      <w:hyperlink r:id="rId7">
        <w:r>
          <w:rPr>
            <w:color w:val="0000FF"/>
          </w:rPr>
          <w:t>частями 1</w:t>
        </w:r>
      </w:hyperlink>
      <w:r>
        <w:t xml:space="preserve"> - </w:t>
      </w:r>
      <w:hyperlink r:id="rId8">
        <w:r>
          <w:rPr>
            <w:color w:val="0000FF"/>
          </w:rPr>
          <w:t>3 статьи 10</w:t>
        </w:r>
      </w:hyperlink>
      <w:r>
        <w:t xml:space="preserve"> Федерального закона от 27 июля 2010 года N 224-ФЗ запрос.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 xml:space="preserve">1. Инсайдеры, включенные в список инсайдеров лиц, указанных в </w:t>
      </w:r>
      <w:hyperlink r:id="rId9">
        <w:r>
          <w:rPr>
            <w:color w:val="0000FF"/>
          </w:rPr>
          <w:t>частях 1</w:t>
        </w:r>
      </w:hyperlink>
      <w:r>
        <w:t xml:space="preserve"> - </w:t>
      </w:r>
      <w:hyperlink r:id="rId10">
        <w:r>
          <w:rPr>
            <w:color w:val="0000FF"/>
          </w:rPr>
          <w:t>3 статьи 10</w:t>
        </w:r>
      </w:hyperlink>
      <w:r>
        <w:t xml:space="preserve"> Федерального закона от 27 июля 2010 года N 224-ФЗ (далее - инсайдеры), получившие от лиц, указанных в </w:t>
      </w:r>
      <w:hyperlink r:id="rId11">
        <w:r>
          <w:rPr>
            <w:color w:val="0000FF"/>
          </w:rPr>
          <w:t>частях 1</w:t>
        </w:r>
      </w:hyperlink>
      <w:r>
        <w:t xml:space="preserve"> - </w:t>
      </w:r>
      <w:hyperlink r:id="rId12">
        <w:r>
          <w:rPr>
            <w:color w:val="0000FF"/>
          </w:rPr>
          <w:t>3 статьи 10</w:t>
        </w:r>
      </w:hyperlink>
      <w:r>
        <w:t xml:space="preserve"> Федерального закона от 27 июля 2010 года N 224-ФЗ (далее - запрашивающее лицо), запрос о предоставлении информации, указанной в </w:t>
      </w:r>
      <w:hyperlink r:id="rId13">
        <w:r>
          <w:rPr>
            <w:color w:val="0000FF"/>
          </w:rPr>
          <w:t>частях 1</w:t>
        </w:r>
      </w:hyperlink>
      <w:r>
        <w:t xml:space="preserve"> - </w:t>
      </w:r>
      <w:hyperlink r:id="rId14">
        <w:r>
          <w:rPr>
            <w:color w:val="0000FF"/>
          </w:rPr>
          <w:t>3 статьи 10</w:t>
        </w:r>
      </w:hyperlink>
      <w:r>
        <w:t xml:space="preserve"> Федерального закона от 27 июля 2010 года N 224-ФЗ (далее соответственно - информация, запрос), подписанный руководителем запрашивающего лица или уполномоченным им лицом и содержащий период, за который должна быть предоставлена информация, направленный способом, позволяющим подтвердить факт его получения инсайдером, должны предоставить запрашивающему лицу ответ, содержащий запрашиваемую информацию (далее - ответ на запрос), в указанный в запросе срок, который должен быть не менее 10 рабочих дней со дня получения инсайдером запроса.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 xml:space="preserve">В случае если информация относится к операциям (договорам), указанным в </w:t>
      </w:r>
      <w:hyperlink r:id="rId15">
        <w:r>
          <w:rPr>
            <w:color w:val="0000FF"/>
          </w:rPr>
          <w:t>частях 1</w:t>
        </w:r>
      </w:hyperlink>
      <w:r>
        <w:t xml:space="preserve"> - </w:t>
      </w:r>
      <w:hyperlink r:id="rId16">
        <w:r>
          <w:rPr>
            <w:color w:val="0000FF"/>
          </w:rPr>
          <w:t>3 статьи 10</w:t>
        </w:r>
      </w:hyperlink>
      <w:r>
        <w:t xml:space="preserve"> Федерального закона от 27 июля 2010 года N 224-ФЗ, которые инсайдером не совершались (не заключались) в период, за который в соответствии с запросом должна быть предоставлена информация, инсайдер должен в ответе на запрос предоставить сведения об отсутствии фактов совершения (заключения) операций (договоров).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>2. По решению инсайдера в ответе на запрос указывается о необходимости подтверждения получения запрашивающим лицом ответа на запрос.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 xml:space="preserve">3. В случае наличия обстоятельств, препятствующих исполнению инсайдером запроса в </w:t>
      </w:r>
      <w:r>
        <w:lastRenderedPageBreak/>
        <w:t>установленный в нем срок, инсайдер по его решению представляет запрашивающему лицу не позднее чем за 5 рабочих дней до истечения указанного в запросе срока мотивированное ходатайство о продлении срока исполнения запроса (далее - ходатайство о продлении срока).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>Запрашивающее лицо должно рассмотреть ходатайство о продлении срока в течение 2 рабочих дней со дня, следующего за днем его получения.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>В случае признания запрашивающим лицом ходатайства о продлении срока обоснованным запрашивающее лицо должно предоставить инсайдеру уведомление о продлении срока предоставления информации (далее - уведомление о продлении срока), но не более чем на 5 рабочих дней со дня получения инсайдером уведомления о продлении срока.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>В случае признания запрашивающим лицом ходатайства о продлении срока необоснованным запрашивающее лицо должно предоставить инсайдеру уведомление об отказе в продлении срока предоставления информации (далее - уведомление об отказе).</w:t>
      </w:r>
    </w:p>
    <w:p w:rsidR="005E5526" w:rsidRDefault="005E5526">
      <w:pPr>
        <w:pStyle w:val="ConsPlusNormal"/>
        <w:spacing w:before="220"/>
        <w:ind w:firstLine="540"/>
        <w:jc w:val="both"/>
      </w:pPr>
      <w:bookmarkStart w:id="0" w:name="P27"/>
      <w:bookmarkEnd w:id="0"/>
      <w:r>
        <w:t xml:space="preserve">4. Инсайдер, за исключением случая, указанного в </w:t>
      </w:r>
      <w:hyperlink w:anchor="P34">
        <w:r>
          <w:rPr>
            <w:color w:val="0000FF"/>
          </w:rPr>
          <w:t>пункте 5</w:t>
        </w:r>
      </w:hyperlink>
      <w:r>
        <w:t xml:space="preserve"> настоящего Указания, должен предоставить запрашивающему лицу ответ на запрос в форме электронного документа одним из следующих способов по выбору инсайдера: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>посредством использования программно-технических средств и информационно-телекоммуникационной сети "Интернет";</w:t>
      </w:r>
    </w:p>
    <w:p w:rsidR="005E5526" w:rsidRDefault="005E5526">
      <w:pPr>
        <w:pStyle w:val="ConsPlusNormal"/>
        <w:spacing w:before="220"/>
        <w:ind w:firstLine="540"/>
        <w:jc w:val="both"/>
      </w:pPr>
      <w:bookmarkStart w:id="1" w:name="P29"/>
      <w:bookmarkEnd w:id="1"/>
      <w:r>
        <w:t>на электронном носителе информации (компакт-диск, флэш-накопитель) нарочным или заказным почтовым отправлением с уведомлением о вручении;</w:t>
      </w:r>
    </w:p>
    <w:p w:rsidR="005E5526" w:rsidRDefault="005E5526">
      <w:pPr>
        <w:pStyle w:val="ConsPlusNormal"/>
        <w:spacing w:before="220"/>
        <w:ind w:firstLine="540"/>
        <w:jc w:val="both"/>
      </w:pPr>
      <w:bookmarkStart w:id="2" w:name="P30"/>
      <w:bookmarkEnd w:id="2"/>
      <w:r>
        <w:t>посредством использования программного обеспечения, размещенного на официальном сайте запрашивающего лица в информационно-телекоммуникационной сети "Интернет" (при наличии);</w:t>
      </w:r>
    </w:p>
    <w:p w:rsidR="005E5526" w:rsidRDefault="005E5526">
      <w:pPr>
        <w:pStyle w:val="ConsPlusNormal"/>
        <w:jc w:val="both"/>
      </w:pPr>
      <w:r>
        <w:t xml:space="preserve">(абзац введен </w:t>
      </w:r>
      <w:hyperlink r:id="rId17">
        <w:r>
          <w:rPr>
            <w:color w:val="0000FF"/>
          </w:rPr>
          <w:t>Указанием</w:t>
        </w:r>
      </w:hyperlink>
      <w:r>
        <w:t xml:space="preserve"> Банка России от 16.11.2020 N 5621-У)</w:t>
      </w:r>
    </w:p>
    <w:p w:rsidR="005E5526" w:rsidRDefault="005E5526">
      <w:pPr>
        <w:pStyle w:val="ConsPlusNormal"/>
        <w:spacing w:before="220"/>
        <w:ind w:firstLine="540"/>
        <w:jc w:val="both"/>
      </w:pPr>
      <w:bookmarkStart w:id="3" w:name="P32"/>
      <w:bookmarkEnd w:id="3"/>
      <w:r>
        <w:t xml:space="preserve">посредством информационных систем и комплексов программно-технических средств запрашивающего лица, используемых для корпоративного информационного взаимодействия (в том числе электронной почты), если это предусмотрено внутренним документом запрашивающего лица (для инсайдеров, указанных в </w:t>
      </w:r>
      <w:hyperlink r:id="rId18">
        <w:r>
          <w:rPr>
            <w:color w:val="0000FF"/>
          </w:rPr>
          <w:t>пунктах 7</w:t>
        </w:r>
      </w:hyperlink>
      <w:r>
        <w:t xml:space="preserve"> и </w:t>
      </w:r>
      <w:hyperlink r:id="rId19">
        <w:r>
          <w:rPr>
            <w:color w:val="0000FF"/>
          </w:rPr>
          <w:t>13 статьи 4</w:t>
        </w:r>
      </w:hyperlink>
      <w:r>
        <w:t xml:space="preserve"> Федерального закона от 27 июля 2010 года N 224-ФЗ).</w:t>
      </w:r>
    </w:p>
    <w:p w:rsidR="005E5526" w:rsidRDefault="005E5526">
      <w:pPr>
        <w:pStyle w:val="ConsPlusNormal"/>
        <w:jc w:val="both"/>
      </w:pPr>
      <w:r>
        <w:t xml:space="preserve">(абзац введен </w:t>
      </w:r>
      <w:hyperlink r:id="rId20">
        <w:r>
          <w:rPr>
            <w:color w:val="0000FF"/>
          </w:rPr>
          <w:t>Указанием</w:t>
        </w:r>
      </w:hyperlink>
      <w:r>
        <w:t xml:space="preserve"> Банка России от 16.11.2020 N 5621-У)</w:t>
      </w:r>
    </w:p>
    <w:p w:rsidR="005E5526" w:rsidRDefault="005E5526">
      <w:pPr>
        <w:pStyle w:val="ConsPlusNormal"/>
        <w:spacing w:before="220"/>
        <w:ind w:firstLine="540"/>
        <w:jc w:val="both"/>
      </w:pPr>
      <w:bookmarkStart w:id="4" w:name="P34"/>
      <w:bookmarkEnd w:id="4"/>
      <w:r>
        <w:t xml:space="preserve">5. В случае наличия обстоятельств, препятствующих исполнению инсайдером запроса в форме электронного документа одним из способов, указанных в </w:t>
      </w:r>
      <w:hyperlink w:anchor="P27">
        <w:r>
          <w:rPr>
            <w:color w:val="0000FF"/>
          </w:rPr>
          <w:t>пункте 4</w:t>
        </w:r>
      </w:hyperlink>
      <w:r>
        <w:t xml:space="preserve"> настоящего Указания, инсайдер должен предоставить запрашивающему лицу ответ на запрос на бумажном носителе по его выбору нарочным или заказным почтовым отправлением с уведомлением о вручении.</w:t>
      </w:r>
    </w:p>
    <w:p w:rsidR="005E5526" w:rsidRDefault="005E5526">
      <w:pPr>
        <w:pStyle w:val="ConsPlusNormal"/>
        <w:jc w:val="both"/>
      </w:pPr>
      <w:r>
        <w:t xml:space="preserve">(в ред. </w:t>
      </w:r>
      <w:hyperlink r:id="rId21">
        <w:r>
          <w:rPr>
            <w:color w:val="0000FF"/>
          </w:rPr>
          <w:t>Указания</w:t>
        </w:r>
      </w:hyperlink>
      <w:r>
        <w:t xml:space="preserve"> Банка России от 16.11.2020 N 5621-У)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 xml:space="preserve">6. При предоставлении ответа на запрос способом, указанным в </w:t>
      </w:r>
      <w:hyperlink w:anchor="P29">
        <w:r>
          <w:rPr>
            <w:color w:val="0000FF"/>
          </w:rPr>
          <w:t>абзаце третьем пункта 4</w:t>
        </w:r>
      </w:hyperlink>
      <w:r>
        <w:t xml:space="preserve"> настоящего Указания, инсайдер должен предоставить ответ на запрос в виде файла с одним из следующих расширений по выбору инсайдера: ".</w:t>
      </w:r>
      <w:proofErr w:type="spellStart"/>
      <w:r>
        <w:t>dbf</w:t>
      </w:r>
      <w:proofErr w:type="spellEnd"/>
      <w:r>
        <w:t>", ".</w:t>
      </w:r>
      <w:proofErr w:type="spellStart"/>
      <w:r>
        <w:t>xls</w:t>
      </w:r>
      <w:proofErr w:type="spellEnd"/>
      <w:r>
        <w:t>", ".</w:t>
      </w:r>
      <w:proofErr w:type="spellStart"/>
      <w:r>
        <w:t>xlsx</w:t>
      </w:r>
      <w:proofErr w:type="spellEnd"/>
      <w:r>
        <w:t>", ".</w:t>
      </w:r>
      <w:proofErr w:type="spellStart"/>
      <w:r>
        <w:t>txt</w:t>
      </w:r>
      <w:proofErr w:type="spellEnd"/>
      <w:r>
        <w:t>", ".</w:t>
      </w:r>
      <w:proofErr w:type="spellStart"/>
      <w:r>
        <w:t>csv</w:t>
      </w:r>
      <w:proofErr w:type="spellEnd"/>
      <w:r>
        <w:t>".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>7. Ответ на запрос на электронном носителе информации (компакт-диск, флэш-накопитель) должен предоставляться инсайдером вместе с сопроводительным письмом на бумажном носителе.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>8. В случае наличия в ответе на запрос указания на необходимость подтверждения получения запрашивающим лицом ответа на запрос запрашивающее лицо не позднее 2 рабочих дней со дня получения ответа на запрос должно предоставить инсайдеру подтверждение получения ответа на запрос (далее - подтверждение).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lastRenderedPageBreak/>
        <w:t>9. Ходатайство о продлении срока должно быть представлено инсайдером, а уведомление о продлении срока, уведомление об отказе, подтверждение предоставлены запрашивающим лицом способом, позволяющим подтвердить факт его получения адресатом.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 xml:space="preserve">10. Ответ на запрос, ходатайство о продлении срока в форме электронных документов должны быть подписаны электронной подписью инсайдера - физического лица или уполномоченного им лица, руководителя инсайдера - юридического лица или уполномоченного им лица (за исключением представления указанных документов способами, предусмотренными </w:t>
      </w:r>
      <w:hyperlink w:anchor="P30">
        <w:r>
          <w:rPr>
            <w:color w:val="0000FF"/>
          </w:rPr>
          <w:t>абзацами четвертым</w:t>
        </w:r>
      </w:hyperlink>
      <w:r>
        <w:t xml:space="preserve"> и </w:t>
      </w:r>
      <w:hyperlink w:anchor="P32">
        <w:r>
          <w:rPr>
            <w:color w:val="0000FF"/>
          </w:rPr>
          <w:t>пятым пункта 4</w:t>
        </w:r>
      </w:hyperlink>
      <w:r>
        <w:t xml:space="preserve"> настоящего Указания) и должны содержать сведения, позволяющие установить инсайдера.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 xml:space="preserve">Уведомление о продлении срока, уведомление об отказе, подтверждение в форме электронных документов должны быть подписаны электронной подписью руководителя запрашивающего лица или уполномоченного им лица (за исключением представления указанных документов способами, предусмотренными </w:t>
      </w:r>
      <w:hyperlink w:anchor="P30">
        <w:r>
          <w:rPr>
            <w:color w:val="0000FF"/>
          </w:rPr>
          <w:t>абзацами четвертым</w:t>
        </w:r>
      </w:hyperlink>
      <w:r>
        <w:t xml:space="preserve"> и </w:t>
      </w:r>
      <w:hyperlink w:anchor="P32">
        <w:r>
          <w:rPr>
            <w:color w:val="0000FF"/>
          </w:rPr>
          <w:t>пятым пункта 4</w:t>
        </w:r>
      </w:hyperlink>
      <w:r>
        <w:t xml:space="preserve"> настоящего Указания) и должны содержать сведения, позволяющие установить запрашивающее лицо.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>Ответ на запрос, ходатайство о продлении срока, сопроводительное письмо, оформляемые на бумажном носителе, должны быть подписаны инсайдером - физическим лицом или уполномоченным им лицом, руководителем инсайдера - юридического лица или уполномоченным им лицом и должны содержать сведения, позволяющие установить инсайдера.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>Уведомление о продлении срока, уведомление об отказе, подтверждение, оформляемые запрашивающим лицом на бумажном носителе, должны быть подписаны руководителем запрашивающего лица или уполномоченным им лицом и должны содержать сведения, позволяющие установить запрашивающее лицо.</w:t>
      </w:r>
    </w:p>
    <w:p w:rsidR="005E5526" w:rsidRDefault="005E5526">
      <w:pPr>
        <w:pStyle w:val="ConsPlusNormal"/>
        <w:jc w:val="both"/>
      </w:pPr>
      <w:r>
        <w:t xml:space="preserve">(п. 10 в ред. </w:t>
      </w:r>
      <w:hyperlink r:id="rId22">
        <w:r>
          <w:rPr>
            <w:color w:val="0000FF"/>
          </w:rPr>
          <w:t>Указания</w:t>
        </w:r>
      </w:hyperlink>
      <w:r>
        <w:t xml:space="preserve"> Банка России от 16.11.2020 N 5621-У)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 xml:space="preserve">11. В случае если ответ на запрос, ходатайство о продлении срока, сопроводительное письмо, уведомление о продлении срока, уведомление об отказе, подтверждение, оформляемые на бумажном носителе, состоят более чем из одного листа, листы должны быть пронумерованы, прошиты и скреплены на оборотной стороне последнего листа </w:t>
      </w:r>
      <w:proofErr w:type="spellStart"/>
      <w:r>
        <w:t>заверительной</w:t>
      </w:r>
      <w:proofErr w:type="spellEnd"/>
      <w:r>
        <w:t xml:space="preserve"> надписью с указанием цифрами и прописью количества прошитых листов, подписанной ее составителем с указанием фамилии, имени, отчества (последнее при наличии) и даты составления.</w:t>
      </w:r>
    </w:p>
    <w:p w:rsidR="005E5526" w:rsidRDefault="005E5526">
      <w:pPr>
        <w:pStyle w:val="ConsPlusNormal"/>
        <w:jc w:val="both"/>
      </w:pPr>
      <w:r>
        <w:t xml:space="preserve">(в ред. </w:t>
      </w:r>
      <w:hyperlink r:id="rId23">
        <w:r>
          <w:rPr>
            <w:color w:val="0000FF"/>
          </w:rPr>
          <w:t>Указания</w:t>
        </w:r>
      </w:hyperlink>
      <w:r>
        <w:t xml:space="preserve"> Банка России от 16.11.2020 N 5621-У)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>12. В случае подписания ответа на запрос, и (или) сопроводительного письма, и (или) ходатайства о продлении срока уполномоченным инсайдером лицом инсайдер по запросу запрашивающего лица о предоставлении документа, подтверждающего полномочия уполномоченного инсайдером лица, должен предоставить документ, подтверждающий полномочия указанного лица, в течение 3 рабочих дней со дня получения такого запроса способом, позволяющим подтвердить факт его получения запрашивающим лицом.</w:t>
      </w:r>
    </w:p>
    <w:p w:rsidR="005E5526" w:rsidRDefault="005E5526">
      <w:pPr>
        <w:pStyle w:val="ConsPlusNormal"/>
        <w:jc w:val="both"/>
      </w:pPr>
      <w:r>
        <w:t xml:space="preserve">(п. 12 в ред. </w:t>
      </w:r>
      <w:hyperlink r:id="rId24">
        <w:r>
          <w:rPr>
            <w:color w:val="0000FF"/>
          </w:rPr>
          <w:t>Указания</w:t>
        </w:r>
      </w:hyperlink>
      <w:r>
        <w:t xml:space="preserve"> Банка России от 16.11.2020 N 5621-У)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>13. Настоящее Указание вступает в силу по истечении 10 дней после дня его официального опубликования &lt;*&gt;.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5E5526" w:rsidRDefault="005E5526">
      <w:pPr>
        <w:pStyle w:val="ConsPlusNormal"/>
        <w:spacing w:before="220"/>
        <w:ind w:firstLine="540"/>
        <w:jc w:val="both"/>
      </w:pPr>
      <w:r>
        <w:t>&lt;*&gt; Официально опубликовано на сайте Банка России 12.07.2019.</w:t>
      </w:r>
    </w:p>
    <w:p w:rsidR="005E5526" w:rsidRDefault="005E5526">
      <w:pPr>
        <w:pStyle w:val="ConsPlusNormal"/>
        <w:ind w:firstLine="540"/>
        <w:jc w:val="both"/>
      </w:pPr>
    </w:p>
    <w:p w:rsidR="005E5526" w:rsidRDefault="005E5526">
      <w:pPr>
        <w:pStyle w:val="ConsPlusNormal"/>
        <w:ind w:firstLine="540"/>
        <w:jc w:val="both"/>
      </w:pPr>
      <w:r>
        <w:t xml:space="preserve">14. Со дня вступления в силу настоящего Указания не применять </w:t>
      </w:r>
      <w:hyperlink r:id="rId25">
        <w:r>
          <w:rPr>
            <w:color w:val="0000FF"/>
          </w:rPr>
          <w:t>пункт 3</w:t>
        </w:r>
      </w:hyperlink>
      <w:r>
        <w:t xml:space="preserve"> приказа Федеральной службы по финансовым рынкам от 18 июня 2013 года N 13-51/</w:t>
      </w:r>
      <w:proofErr w:type="spellStart"/>
      <w:r>
        <w:t>пз</w:t>
      </w:r>
      <w:proofErr w:type="spellEnd"/>
      <w:r>
        <w:t xml:space="preserve">-н "Об утверждении Положения о порядке уведомления лиц об их включении в список инсайдеров и исключении из такого списка, Положения о порядке передачи списков инсайдеров организаторам торговли, через которых </w:t>
      </w:r>
      <w:r>
        <w:lastRenderedPageBreak/>
        <w:t>совершаются операции с финансовыми инструментами, иностранной валютой и (или) товаром, Положения о порядке и сроках направления инсайдерами уведомлений о совершенных ими операциях", зарегистрированного Министерством юстиции Российской Федерации 30 августа 2013 года N 29797, а также утвержденное им Положение о порядке и сроках направления инсайдерами уведомлений о совершенных ими операциях.</w:t>
      </w:r>
    </w:p>
    <w:p w:rsidR="005E5526" w:rsidRDefault="005E5526">
      <w:pPr>
        <w:pStyle w:val="ConsPlusNormal"/>
        <w:jc w:val="both"/>
      </w:pPr>
    </w:p>
    <w:p w:rsidR="005E5526" w:rsidRDefault="005E5526">
      <w:pPr>
        <w:pStyle w:val="ConsPlusNormal"/>
        <w:jc w:val="right"/>
      </w:pPr>
      <w:r>
        <w:t>Председатель Центрального банка</w:t>
      </w:r>
    </w:p>
    <w:p w:rsidR="005E5526" w:rsidRDefault="005E5526">
      <w:pPr>
        <w:pStyle w:val="ConsPlusNormal"/>
        <w:jc w:val="right"/>
      </w:pPr>
      <w:r>
        <w:t>Российской Федерации</w:t>
      </w:r>
    </w:p>
    <w:p w:rsidR="005E5526" w:rsidRDefault="005E5526">
      <w:pPr>
        <w:pStyle w:val="ConsPlusNormal"/>
        <w:jc w:val="right"/>
      </w:pPr>
      <w:r>
        <w:t>Э.С.НАБИУЛЛИНА</w:t>
      </w:r>
    </w:p>
    <w:p w:rsidR="005E5526" w:rsidRDefault="005E5526">
      <w:pPr>
        <w:pStyle w:val="ConsPlusNormal"/>
        <w:jc w:val="both"/>
      </w:pPr>
    </w:p>
    <w:p w:rsidR="005E5526" w:rsidRDefault="005E5526">
      <w:pPr>
        <w:pStyle w:val="ConsPlusNormal"/>
        <w:jc w:val="both"/>
      </w:pPr>
    </w:p>
    <w:p w:rsidR="005E5526" w:rsidRDefault="005E5526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A6579" w:rsidRDefault="00DA6579">
      <w:bookmarkStart w:id="5" w:name="_GoBack"/>
      <w:bookmarkEnd w:id="5"/>
    </w:p>
    <w:sectPr w:rsidR="00DA6579" w:rsidSect="00230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26"/>
    <w:rsid w:val="005B12B0"/>
    <w:rsid w:val="005E5526"/>
    <w:rsid w:val="009F1EFF"/>
    <w:rsid w:val="00AA42C0"/>
    <w:rsid w:val="00DA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39FAA-57D6-4751-97D6-7C1AECC3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E5526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5E5526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5E5526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65596&amp;dst=117" TargetMode="External"/><Relationship Id="rId13" Type="http://schemas.openxmlformats.org/officeDocument/2006/relationships/hyperlink" Target="https://login.consultant.ru/link/?req=doc&amp;base=LAW&amp;n=465596&amp;dst=115" TargetMode="External"/><Relationship Id="rId18" Type="http://schemas.openxmlformats.org/officeDocument/2006/relationships/hyperlink" Target="https://login.consultant.ru/link/?req=doc&amp;base=LAW&amp;n=465596&amp;dst=93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LAW&amp;n=372616&amp;dst=100010" TargetMode="External"/><Relationship Id="rId7" Type="http://schemas.openxmlformats.org/officeDocument/2006/relationships/hyperlink" Target="https://login.consultant.ru/link/?req=doc&amp;base=LAW&amp;n=465596&amp;dst=115" TargetMode="External"/><Relationship Id="rId12" Type="http://schemas.openxmlformats.org/officeDocument/2006/relationships/hyperlink" Target="https://login.consultant.ru/link/?req=doc&amp;base=LAW&amp;n=465596&amp;dst=117" TargetMode="External"/><Relationship Id="rId17" Type="http://schemas.openxmlformats.org/officeDocument/2006/relationships/hyperlink" Target="https://login.consultant.ru/link/?req=doc&amp;base=LAW&amp;n=372616&amp;dst=100007" TargetMode="External"/><Relationship Id="rId25" Type="http://schemas.openxmlformats.org/officeDocument/2006/relationships/hyperlink" Target="https://login.consultant.ru/link/?req=doc&amp;base=LAW&amp;n=326681&amp;dst=10000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465596&amp;dst=117" TargetMode="External"/><Relationship Id="rId20" Type="http://schemas.openxmlformats.org/officeDocument/2006/relationships/hyperlink" Target="https://login.consultant.ru/link/?req=doc&amp;base=LAW&amp;n=372616&amp;dst=100009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65596&amp;dst=118" TargetMode="External"/><Relationship Id="rId11" Type="http://schemas.openxmlformats.org/officeDocument/2006/relationships/hyperlink" Target="https://login.consultant.ru/link/?req=doc&amp;base=LAW&amp;n=465596&amp;dst=115" TargetMode="External"/><Relationship Id="rId24" Type="http://schemas.openxmlformats.org/officeDocument/2006/relationships/hyperlink" Target="https://login.consultant.ru/link/?req=doc&amp;base=LAW&amp;n=372616&amp;dst=100017" TargetMode="External"/><Relationship Id="rId5" Type="http://schemas.openxmlformats.org/officeDocument/2006/relationships/hyperlink" Target="https://login.consultant.ru/link/?req=doc&amp;base=LAW&amp;n=372616&amp;dst=100006" TargetMode="External"/><Relationship Id="rId15" Type="http://schemas.openxmlformats.org/officeDocument/2006/relationships/hyperlink" Target="https://login.consultant.ru/link/?req=doc&amp;base=LAW&amp;n=465596&amp;dst=115" TargetMode="External"/><Relationship Id="rId23" Type="http://schemas.openxmlformats.org/officeDocument/2006/relationships/hyperlink" Target="https://login.consultant.ru/link/?req=doc&amp;base=LAW&amp;n=372616&amp;dst=100016" TargetMode="External"/><Relationship Id="rId10" Type="http://schemas.openxmlformats.org/officeDocument/2006/relationships/hyperlink" Target="https://login.consultant.ru/link/?req=doc&amp;base=LAW&amp;n=465596&amp;dst=117" TargetMode="External"/><Relationship Id="rId19" Type="http://schemas.openxmlformats.org/officeDocument/2006/relationships/hyperlink" Target="https://login.consultant.ru/link/?req=doc&amp;base=LAW&amp;n=465596&amp;dst=99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https://login.consultant.ru/link/?req=doc&amp;base=LAW&amp;n=465596&amp;dst=115" TargetMode="External"/><Relationship Id="rId14" Type="http://schemas.openxmlformats.org/officeDocument/2006/relationships/hyperlink" Target="https://login.consultant.ru/link/?req=doc&amp;base=LAW&amp;n=465596&amp;dst=117" TargetMode="External"/><Relationship Id="rId22" Type="http://schemas.openxmlformats.org/officeDocument/2006/relationships/hyperlink" Target="https://login.consultant.ru/link/?req=doc&amp;base=LAW&amp;n=372616&amp;dst=10001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MOEX</Company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Андрей Павлович</dc:creator>
  <cp:keywords/>
  <dc:description/>
  <cp:lastModifiedBy>Журавлев Андрей Павлович</cp:lastModifiedBy>
  <cp:revision>1</cp:revision>
  <dcterms:created xsi:type="dcterms:W3CDTF">2024-04-19T08:43:00Z</dcterms:created>
  <dcterms:modified xsi:type="dcterms:W3CDTF">2024-04-19T08:43:00Z</dcterms:modified>
</cp:coreProperties>
</file>