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005" w:rsidRDefault="00876005">
      <w:pPr>
        <w:pStyle w:val="ConsPlusTitlePage"/>
      </w:pPr>
      <w:r>
        <w:t xml:space="preserve">Документ предоставлен </w:t>
      </w:r>
      <w:hyperlink r:id="rId4">
        <w:r>
          <w:rPr>
            <w:color w:val="0000FF"/>
          </w:rPr>
          <w:t>КонсультантПлюс</w:t>
        </w:r>
      </w:hyperlink>
      <w:r>
        <w:br/>
      </w:r>
    </w:p>
    <w:p w:rsidR="00876005" w:rsidRDefault="00876005">
      <w:pPr>
        <w:pStyle w:val="ConsPlusNormal"/>
        <w:jc w:val="both"/>
        <w:outlineLvl w:val="0"/>
      </w:pPr>
    </w:p>
    <w:p w:rsidR="00876005" w:rsidRDefault="00876005">
      <w:pPr>
        <w:pStyle w:val="ConsPlusNormal"/>
      </w:pPr>
      <w:r>
        <w:t>Зарегистрировано в Минюсте России 16 октября 2019 г. N 56257</w:t>
      </w:r>
    </w:p>
    <w:p w:rsidR="00876005" w:rsidRDefault="00876005">
      <w:pPr>
        <w:pStyle w:val="ConsPlusNormal"/>
        <w:pBdr>
          <w:bottom w:val="single" w:sz="6" w:space="0" w:color="auto"/>
        </w:pBdr>
        <w:spacing w:before="100" w:after="100"/>
        <w:jc w:val="both"/>
        <w:rPr>
          <w:sz w:val="2"/>
          <w:szCs w:val="2"/>
        </w:rPr>
      </w:pPr>
    </w:p>
    <w:p w:rsidR="00876005" w:rsidRDefault="00876005">
      <w:pPr>
        <w:pStyle w:val="ConsPlusNormal"/>
        <w:jc w:val="both"/>
      </w:pPr>
    </w:p>
    <w:p w:rsidR="00876005" w:rsidRDefault="00876005">
      <w:pPr>
        <w:pStyle w:val="ConsPlusTitle"/>
        <w:jc w:val="center"/>
      </w:pPr>
      <w:r>
        <w:t>ЦЕНТРАЛЬНЫЙ БАНК РОССИЙСКОЙ ФЕДЕРАЦИИ</w:t>
      </w:r>
    </w:p>
    <w:p w:rsidR="00876005" w:rsidRDefault="00876005">
      <w:pPr>
        <w:pStyle w:val="ConsPlusTitle"/>
        <w:jc w:val="center"/>
      </w:pPr>
    </w:p>
    <w:p w:rsidR="00876005" w:rsidRDefault="00876005">
      <w:pPr>
        <w:pStyle w:val="ConsPlusTitle"/>
        <w:jc w:val="center"/>
      </w:pPr>
      <w:r>
        <w:t>УКАЗАНИЕ</w:t>
      </w:r>
    </w:p>
    <w:p w:rsidR="00876005" w:rsidRDefault="00876005">
      <w:pPr>
        <w:pStyle w:val="ConsPlusTitle"/>
        <w:jc w:val="center"/>
      </w:pPr>
      <w:r>
        <w:t>от 1 августа 2019 г. N 5222-У</w:t>
      </w:r>
    </w:p>
    <w:p w:rsidR="00876005" w:rsidRDefault="00876005">
      <w:pPr>
        <w:pStyle w:val="ConsPlusTitle"/>
        <w:jc w:val="center"/>
      </w:pPr>
    </w:p>
    <w:p w:rsidR="00876005" w:rsidRDefault="00876005">
      <w:pPr>
        <w:pStyle w:val="ConsPlusTitle"/>
        <w:jc w:val="center"/>
      </w:pPr>
      <w:r>
        <w:t>О ТРЕБОВАНИЯХ</w:t>
      </w:r>
    </w:p>
    <w:p w:rsidR="00876005" w:rsidRDefault="00876005">
      <w:pPr>
        <w:pStyle w:val="ConsPlusTitle"/>
        <w:jc w:val="center"/>
      </w:pPr>
      <w:r>
        <w:t>К ПРАВИЛАМ ВНУТРЕННЕГО КОНТРОЛЯ ПО ПРЕДОТВРАЩЕНИЮ,</w:t>
      </w:r>
    </w:p>
    <w:p w:rsidR="00876005" w:rsidRDefault="00876005">
      <w:pPr>
        <w:pStyle w:val="ConsPlusTitle"/>
        <w:jc w:val="center"/>
      </w:pPr>
      <w:r>
        <w:t>ВЫЯВЛЕНИЮ И ПРЕСЕЧЕНИЮ НЕПРАВОМЕРНОГО ИСПОЛЬЗОВАНИЯ</w:t>
      </w:r>
    </w:p>
    <w:p w:rsidR="00876005" w:rsidRDefault="00876005">
      <w:pPr>
        <w:pStyle w:val="ConsPlusTitle"/>
        <w:jc w:val="center"/>
      </w:pPr>
      <w:r>
        <w:t>ИНСАЙДЕРСКОЙ ИНФОРМАЦИИ И (ИЛИ) МАНИПУЛИРОВАНИЯ РЫНКОМ</w:t>
      </w:r>
    </w:p>
    <w:p w:rsidR="00876005" w:rsidRDefault="00876005">
      <w:pPr>
        <w:pStyle w:val="ConsPlusTitle"/>
        <w:jc w:val="center"/>
      </w:pPr>
      <w:r>
        <w:t>ЮРИДИЧЕСКИХ ЛИЦ, УКАЗАННЫХ В ПУНКТАХ 1, 3 - 8, 11 И 12</w:t>
      </w:r>
    </w:p>
    <w:p w:rsidR="00876005" w:rsidRDefault="00876005">
      <w:pPr>
        <w:pStyle w:val="ConsPlusTitle"/>
        <w:jc w:val="center"/>
      </w:pPr>
      <w:r>
        <w:t>СТАТЬИ 4 ФЕДЕРАЛЬНОГО ЗАКОНА ОТ 27 ИЮЛЯ 2010 ГОДА N 224-ФЗ</w:t>
      </w:r>
    </w:p>
    <w:p w:rsidR="00876005" w:rsidRDefault="00876005">
      <w:pPr>
        <w:pStyle w:val="ConsPlusTitle"/>
        <w:jc w:val="center"/>
      </w:pPr>
      <w:r>
        <w:t>"О ПРОТИВОДЕЙСТВИИ НЕПРАВОМЕРНОМУ ИСПОЛЬЗОВАНИЮ</w:t>
      </w:r>
    </w:p>
    <w:p w:rsidR="00876005" w:rsidRDefault="00876005">
      <w:pPr>
        <w:pStyle w:val="ConsPlusTitle"/>
        <w:jc w:val="center"/>
      </w:pPr>
      <w:r>
        <w:t>ИНСАЙДЕРСКОЙ ИНФОРМАЦИИ И МАНИПУЛИРОВАНИЮ РЫНКОМ</w:t>
      </w:r>
    </w:p>
    <w:p w:rsidR="00876005" w:rsidRDefault="00876005">
      <w:pPr>
        <w:pStyle w:val="ConsPlusTitle"/>
        <w:jc w:val="center"/>
      </w:pPr>
      <w:r>
        <w:t>И О ВНЕСЕНИИ ИЗМЕНЕНИЙ В ОТДЕЛЬНЫЕ ЗАКОНОДАТЕЛЬНЫЕ</w:t>
      </w:r>
    </w:p>
    <w:p w:rsidR="00876005" w:rsidRDefault="00876005">
      <w:pPr>
        <w:pStyle w:val="ConsPlusTitle"/>
        <w:jc w:val="center"/>
      </w:pPr>
      <w:r>
        <w:t>АКТЫ РОССИЙСКОЙ ФЕДЕРАЦИИ"</w:t>
      </w:r>
    </w:p>
    <w:p w:rsidR="00876005" w:rsidRDefault="00876005">
      <w:pPr>
        <w:pStyle w:val="ConsPlusNormal"/>
        <w:jc w:val="both"/>
      </w:pPr>
    </w:p>
    <w:p w:rsidR="00876005" w:rsidRDefault="00876005">
      <w:pPr>
        <w:pStyle w:val="ConsPlusNormal"/>
        <w:ind w:firstLine="540"/>
        <w:jc w:val="both"/>
      </w:pPr>
      <w:r>
        <w:t xml:space="preserve">Настоящее Указание в соответствии с </w:t>
      </w:r>
      <w:hyperlink r:id="rId5">
        <w:r>
          <w:rPr>
            <w:color w:val="0000FF"/>
          </w:rPr>
          <w:t>пунктом 1 части 2 статьи 11</w:t>
        </w:r>
      </w:hyperlink>
      <w:r>
        <w:t xml:space="preserve"> и </w:t>
      </w:r>
      <w:hyperlink r:id="rId6">
        <w:r>
          <w:rPr>
            <w:color w:val="0000FF"/>
          </w:rPr>
          <w:t>пунктом 13 части 1 статьи 14</w:t>
        </w:r>
      </w:hyperlink>
      <w:r>
        <w:t xml:space="preserve"> Федерального закона от 27 июля 2010 года N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(Собрание законодательства Российской Федерации, 2010, N 31, ст. 4193; 2011, N 29, ст. 4291; N 48, ст. 6728; 2012, N 31, ст. 4334; 2013, N 30, ст. 4082, ст. 4084; 2014, N 30, ст. 4219; 2016, N 27, ст. 4225; 2018, N 32, ст. 5103; N 53, ст. 8440) (далее - Федеральный закон от 27 июля 2010 года N 224-ФЗ) устанавливает требования к правилам внутреннего контроля по предотвращению, выявлению и пресечению неправомерного использования инсайдерской информации и (или) манипулирования рынком юридических лиц, указанных в </w:t>
      </w:r>
      <w:hyperlink r:id="rId7">
        <w:r>
          <w:rPr>
            <w:color w:val="0000FF"/>
          </w:rPr>
          <w:t>пунктах 1</w:t>
        </w:r>
      </w:hyperlink>
      <w:r>
        <w:t xml:space="preserve">, </w:t>
      </w:r>
      <w:hyperlink r:id="rId8">
        <w:r>
          <w:rPr>
            <w:color w:val="0000FF"/>
          </w:rPr>
          <w:t>3</w:t>
        </w:r>
      </w:hyperlink>
      <w:r>
        <w:t xml:space="preserve"> - </w:t>
      </w:r>
      <w:hyperlink r:id="rId9">
        <w:r>
          <w:rPr>
            <w:color w:val="0000FF"/>
          </w:rPr>
          <w:t>8</w:t>
        </w:r>
      </w:hyperlink>
      <w:r>
        <w:t xml:space="preserve">, </w:t>
      </w:r>
      <w:hyperlink r:id="rId10">
        <w:r>
          <w:rPr>
            <w:color w:val="0000FF"/>
          </w:rPr>
          <w:t>11</w:t>
        </w:r>
      </w:hyperlink>
      <w:r>
        <w:t xml:space="preserve"> и </w:t>
      </w:r>
      <w:hyperlink r:id="rId11">
        <w:r>
          <w:rPr>
            <w:color w:val="0000FF"/>
          </w:rPr>
          <w:t>12 статьи 4</w:t>
        </w:r>
      </w:hyperlink>
      <w:r>
        <w:t xml:space="preserve"> Федерального закона от 27 июля 2010 года N 224-ФЗ.</w:t>
      </w:r>
    </w:p>
    <w:p w:rsidR="00876005" w:rsidRDefault="00876005">
      <w:pPr>
        <w:pStyle w:val="ConsPlusNormal"/>
        <w:spacing w:before="220"/>
        <w:ind w:firstLine="540"/>
        <w:jc w:val="both"/>
      </w:pPr>
      <w:bookmarkStart w:id="0" w:name="P21"/>
      <w:bookmarkEnd w:id="0"/>
      <w:r>
        <w:t xml:space="preserve">1. Правила внутреннего контроля по предотвращению, выявлению и пресечению неправомерного использования инсайдерской информации и (или) манипулирования рынком (далее - противодействие НИИИМР) (далее - правила внутреннего контроля в области противодействия НИИИМР), разработанные и утвержденные юридическими лицами, указанными в </w:t>
      </w:r>
      <w:hyperlink r:id="rId12">
        <w:r>
          <w:rPr>
            <w:color w:val="0000FF"/>
          </w:rPr>
          <w:t>пунктах 1</w:t>
        </w:r>
      </w:hyperlink>
      <w:r>
        <w:t xml:space="preserve">, </w:t>
      </w:r>
      <w:hyperlink r:id="rId13">
        <w:r>
          <w:rPr>
            <w:color w:val="0000FF"/>
          </w:rPr>
          <w:t>3</w:t>
        </w:r>
      </w:hyperlink>
      <w:r>
        <w:t xml:space="preserve"> - </w:t>
      </w:r>
      <w:hyperlink r:id="rId14">
        <w:r>
          <w:rPr>
            <w:color w:val="0000FF"/>
          </w:rPr>
          <w:t>8</w:t>
        </w:r>
      </w:hyperlink>
      <w:r>
        <w:t xml:space="preserve">, </w:t>
      </w:r>
      <w:hyperlink r:id="rId15">
        <w:r>
          <w:rPr>
            <w:color w:val="0000FF"/>
          </w:rPr>
          <w:t>11</w:t>
        </w:r>
      </w:hyperlink>
      <w:r>
        <w:t xml:space="preserve"> и </w:t>
      </w:r>
      <w:hyperlink r:id="rId16">
        <w:r>
          <w:rPr>
            <w:color w:val="0000FF"/>
          </w:rPr>
          <w:t>12 статьи 4</w:t>
        </w:r>
      </w:hyperlink>
      <w:r>
        <w:t xml:space="preserve"> Федерального закона от 27 июля 2010 года N 224-ФЗ (далее - юридические лица), должны содержать следующие положения.</w:t>
      </w:r>
    </w:p>
    <w:p w:rsidR="00876005" w:rsidRDefault="00876005">
      <w:pPr>
        <w:pStyle w:val="ConsPlusNormal"/>
        <w:spacing w:before="220"/>
        <w:ind w:firstLine="540"/>
        <w:jc w:val="both"/>
      </w:pPr>
      <w:bookmarkStart w:id="1" w:name="P22"/>
      <w:bookmarkEnd w:id="1"/>
      <w:r>
        <w:t>1.1. Цели, задачи и методы осуществления контроля за соблюдением юридическим лицом:</w:t>
      </w:r>
    </w:p>
    <w:p w:rsidR="00876005" w:rsidRDefault="00876005">
      <w:pPr>
        <w:pStyle w:val="ConsPlusNormal"/>
        <w:spacing w:before="220"/>
        <w:ind w:firstLine="540"/>
        <w:jc w:val="both"/>
      </w:pPr>
      <w:r>
        <w:t xml:space="preserve">требований Федерального </w:t>
      </w:r>
      <w:hyperlink r:id="rId17">
        <w:r>
          <w:rPr>
            <w:color w:val="0000FF"/>
          </w:rPr>
          <w:t>закона</w:t>
        </w:r>
      </w:hyperlink>
      <w:r>
        <w:t xml:space="preserve"> от 27 июля 2010 года N 224-ФЗ и принятых в соответствии с ним нормативных актов, а также требований (правил) саморегулируемой организации в сфере финансового рынка, разработанных в соответствии с </w:t>
      </w:r>
      <w:hyperlink r:id="rId18">
        <w:r>
          <w:rPr>
            <w:color w:val="0000FF"/>
          </w:rPr>
          <w:t>пунктом 1 части 1 статьи 17</w:t>
        </w:r>
      </w:hyperlink>
      <w:r>
        <w:t xml:space="preserve"> Федерального закона от 27 июля 2010 года N 224-ФЗ, в случае их наличия (для юридических лиц, являющихся членами указанной саморегулируемой организации в сфере финансового рынка) (далее - требования в области противодействия НИИИМР);</w:t>
      </w:r>
    </w:p>
    <w:p w:rsidR="00876005" w:rsidRDefault="00876005">
      <w:pPr>
        <w:pStyle w:val="ConsPlusNormal"/>
        <w:spacing w:before="220"/>
        <w:ind w:firstLine="540"/>
        <w:jc w:val="both"/>
      </w:pPr>
      <w:bookmarkStart w:id="2" w:name="P24"/>
      <w:bookmarkEnd w:id="2"/>
      <w:r>
        <w:t xml:space="preserve">порядка и сроков раскрытия инсайдерской информации (отдельных видов инсайдерской информации) эмитента, утвержденных в соответствии с </w:t>
      </w:r>
      <w:hyperlink r:id="rId19">
        <w:r>
          <w:rPr>
            <w:color w:val="0000FF"/>
          </w:rPr>
          <w:t>частью 1.1 статьи 8</w:t>
        </w:r>
      </w:hyperlink>
      <w:r>
        <w:t xml:space="preserve"> Федерального закона от 27 июля 2010 года N 224-ФЗ советом директоров (наблюдательным советом) эмитента, а в случае отсутствия совета директоров (наблюдательного совета) - лицом, осуществляющим функции единоличного исполнительного органа эмитента (далее - порядок и сроки раскрытия инсайдерской информации эмитента) (для юридических лиц, являющихся эмитентами);</w:t>
      </w:r>
    </w:p>
    <w:p w:rsidR="00876005" w:rsidRDefault="00876005">
      <w:pPr>
        <w:pStyle w:val="ConsPlusNormal"/>
        <w:spacing w:before="220"/>
        <w:ind w:firstLine="540"/>
        <w:jc w:val="both"/>
      </w:pPr>
      <w:r>
        <w:lastRenderedPageBreak/>
        <w:t xml:space="preserve">порядка доступа к инсайдерской информации, правил охраны ее конфиденциальности и контроля за соблюдением требований Федерального </w:t>
      </w:r>
      <w:hyperlink r:id="rId20">
        <w:r>
          <w:rPr>
            <w:color w:val="0000FF"/>
          </w:rPr>
          <w:t>закона</w:t>
        </w:r>
      </w:hyperlink>
      <w:r>
        <w:t xml:space="preserve"> от 27 июля 2010 года N 224-ФЗ и принятых в соответствии с ним нормативных актов (далее - порядок доступа к инсайдерской информации);</w:t>
      </w:r>
    </w:p>
    <w:p w:rsidR="00876005" w:rsidRDefault="00876005">
      <w:pPr>
        <w:pStyle w:val="ConsPlusNormal"/>
        <w:spacing w:before="220"/>
        <w:ind w:firstLine="540"/>
        <w:jc w:val="both"/>
      </w:pPr>
      <w:r>
        <w:t>правил внутреннего контроля в области противодействия НИИИМР;</w:t>
      </w:r>
    </w:p>
    <w:p w:rsidR="00876005" w:rsidRDefault="00876005">
      <w:pPr>
        <w:pStyle w:val="ConsPlusNormal"/>
        <w:spacing w:before="220"/>
        <w:ind w:firstLine="540"/>
        <w:jc w:val="both"/>
      </w:pPr>
      <w:bookmarkStart w:id="3" w:name="P27"/>
      <w:bookmarkEnd w:id="3"/>
      <w:r>
        <w:t xml:space="preserve">внутренних документов организатора торговли, предусматривающих действия, направленные на предупреждение, выявление и пресечение нарушений требований Федерального </w:t>
      </w:r>
      <w:hyperlink r:id="rId21">
        <w:r>
          <w:rPr>
            <w:color w:val="0000FF"/>
          </w:rPr>
          <w:t>закона</w:t>
        </w:r>
      </w:hyperlink>
      <w:r>
        <w:t xml:space="preserve"> от 27 июля 2010 года N 224-ФЗ и принятых в соответствии с ним нормативных актов, включая правила предотвращения, выявления и пресечения случаев неправомерного использования инсайдерской информации и (или) манипулирования рынком, в том числе критерии сделок (заявок), имеющих признаки неправомерного использования инсайдерской информации и (или) манипулирования рынком (далее - нестандартные сделки (заявки) (для юридических лиц, являющихся организаторами торговли).</w:t>
      </w:r>
    </w:p>
    <w:p w:rsidR="00876005" w:rsidRDefault="00876005">
      <w:pPr>
        <w:pStyle w:val="ConsPlusNormal"/>
        <w:spacing w:before="220"/>
        <w:ind w:firstLine="540"/>
        <w:jc w:val="both"/>
      </w:pPr>
      <w:r>
        <w:t xml:space="preserve">1.2. Функции структурного подразделения (должностного лица) юридического лица, в обязанности которого входит осуществление контроля за соблюдением юридическим лицом требований Федерального </w:t>
      </w:r>
      <w:hyperlink r:id="rId22">
        <w:r>
          <w:rPr>
            <w:color w:val="0000FF"/>
          </w:rPr>
          <w:t>закона</w:t>
        </w:r>
      </w:hyperlink>
      <w:r>
        <w:t xml:space="preserve"> от 27 июля 2010 года N 224-ФЗ и принятых в соответствии с ним нормативных актов (далее соответственно - ответственное структурное подразделение, ответственное должностное лицо), включая следующие функции.</w:t>
      </w:r>
    </w:p>
    <w:p w:rsidR="00876005" w:rsidRDefault="00876005">
      <w:pPr>
        <w:pStyle w:val="ConsPlusNormal"/>
        <w:spacing w:before="220"/>
        <w:ind w:firstLine="540"/>
        <w:jc w:val="both"/>
      </w:pPr>
      <w:r>
        <w:t xml:space="preserve">1.2.1. Выявление, анализ, оценка и мониторинг риска возникновения у юридического лица расходов (убытков) и (или) иных неблагоприятных последствий в результате его несоответствия или несоответствия его деятельности требованиям в области противодействия НИИИМР, а также документам, указанным в </w:t>
      </w:r>
      <w:hyperlink w:anchor="P24">
        <w:r>
          <w:rPr>
            <w:color w:val="0000FF"/>
          </w:rPr>
          <w:t>абзацах третьем</w:t>
        </w:r>
      </w:hyperlink>
      <w:r>
        <w:t xml:space="preserve"> - </w:t>
      </w:r>
      <w:hyperlink w:anchor="P27">
        <w:r>
          <w:rPr>
            <w:color w:val="0000FF"/>
          </w:rPr>
          <w:t>шестом подпункта 1.1</w:t>
        </w:r>
      </w:hyperlink>
      <w:r>
        <w:t xml:space="preserve"> настоящего пункта (далее - документы юридического лица), и (или) в результате применения Банком России и (или) саморегулируемой организацией в сфере финансового рынка (для юридических лиц, являющихся членами указанной саморегулируемой организации в сфере финансового рынка) мер к юридическому лицу (далее - регуляторный риск в области противодействия НИИИМР).</w:t>
      </w:r>
    </w:p>
    <w:p w:rsidR="00876005" w:rsidRDefault="00876005">
      <w:pPr>
        <w:pStyle w:val="ConsPlusNormal"/>
        <w:spacing w:before="220"/>
        <w:ind w:firstLine="540"/>
        <w:jc w:val="both"/>
      </w:pPr>
      <w:r>
        <w:t>1.2.2. Организация процессов, направленных на управление регуляторным риском в области противодействия НИИИМР, в том числе разработка мероприятий, направленных на предупреждение и предотвращение последствий реализации регуляторного риска в области противодействия НИИИМР, а также осуществление контроля за проведением указанных мероприятий.</w:t>
      </w:r>
    </w:p>
    <w:p w:rsidR="00876005" w:rsidRDefault="00876005">
      <w:pPr>
        <w:pStyle w:val="ConsPlusNormal"/>
        <w:spacing w:before="220"/>
        <w:ind w:firstLine="540"/>
        <w:jc w:val="both"/>
      </w:pPr>
      <w:r>
        <w:t>1.2.3. Ведение учета событий, связанных с регуляторным риском в области противодействия НИИИМР.</w:t>
      </w:r>
    </w:p>
    <w:p w:rsidR="00876005" w:rsidRDefault="00876005">
      <w:pPr>
        <w:pStyle w:val="ConsPlusNormal"/>
        <w:spacing w:before="220"/>
        <w:ind w:firstLine="540"/>
        <w:jc w:val="both"/>
      </w:pPr>
      <w:r>
        <w:t>1.2.4. Осуществление контроля за следующими действиями.</w:t>
      </w:r>
    </w:p>
    <w:p w:rsidR="00876005" w:rsidRDefault="00876005">
      <w:pPr>
        <w:pStyle w:val="ConsPlusNormal"/>
        <w:spacing w:before="220"/>
        <w:ind w:firstLine="540"/>
        <w:jc w:val="both"/>
      </w:pPr>
      <w:bookmarkStart w:id="4" w:name="P33"/>
      <w:bookmarkEnd w:id="4"/>
      <w:r>
        <w:t>1.2.4.1. Информирование юридическим лицом Банка России о вероятных и (или) наступивших событиях регуляторного риска в области противодействия НИИИМР, признанных юридическим лицом существенными (далее - существенные события регуляторного риска в области противодействия НИИИМР), в случае принятия юридическим лицом решения об информировании Банка России о существенных событиях регуляторного риска в области противодействия НИИИМР.</w:t>
      </w:r>
    </w:p>
    <w:p w:rsidR="00876005" w:rsidRDefault="00876005">
      <w:pPr>
        <w:pStyle w:val="ConsPlusNormal"/>
        <w:spacing w:before="220"/>
        <w:ind w:firstLine="540"/>
        <w:jc w:val="both"/>
      </w:pPr>
      <w:r>
        <w:t xml:space="preserve">1.2.4.2. Составление юридическим лицом собственных перечней инсайдерской информации и внесение в них изменений (для юридических лиц, являющихся лицами, указанными в </w:t>
      </w:r>
      <w:hyperlink r:id="rId23">
        <w:r>
          <w:rPr>
            <w:color w:val="0000FF"/>
          </w:rPr>
          <w:t>пунктах 1</w:t>
        </w:r>
      </w:hyperlink>
      <w:r>
        <w:t xml:space="preserve">, </w:t>
      </w:r>
      <w:hyperlink r:id="rId24">
        <w:r>
          <w:rPr>
            <w:color w:val="0000FF"/>
          </w:rPr>
          <w:t>3</w:t>
        </w:r>
      </w:hyperlink>
      <w:r>
        <w:t xml:space="preserve">, </w:t>
      </w:r>
      <w:hyperlink r:id="rId25">
        <w:r>
          <w:rPr>
            <w:color w:val="0000FF"/>
          </w:rPr>
          <w:t>4</w:t>
        </w:r>
      </w:hyperlink>
      <w:r>
        <w:t xml:space="preserve">, </w:t>
      </w:r>
      <w:hyperlink r:id="rId26">
        <w:r>
          <w:rPr>
            <w:color w:val="0000FF"/>
          </w:rPr>
          <w:t>11</w:t>
        </w:r>
      </w:hyperlink>
      <w:r>
        <w:t xml:space="preserve"> и </w:t>
      </w:r>
      <w:hyperlink r:id="rId27">
        <w:r>
          <w:rPr>
            <w:color w:val="0000FF"/>
          </w:rPr>
          <w:t>12 статьи 4</w:t>
        </w:r>
      </w:hyperlink>
      <w:r>
        <w:t xml:space="preserve"> Федерального закона от 27 июля 2010 года N 224-ФЗ).</w:t>
      </w:r>
    </w:p>
    <w:p w:rsidR="00876005" w:rsidRDefault="00876005">
      <w:pPr>
        <w:pStyle w:val="ConsPlusNormal"/>
        <w:spacing w:before="220"/>
        <w:ind w:firstLine="540"/>
        <w:jc w:val="both"/>
      </w:pPr>
      <w:r>
        <w:t>1.2.4.3. Соблюдение юридическим лицом порядка доступа к инсайдерской информации.</w:t>
      </w:r>
    </w:p>
    <w:p w:rsidR="00876005" w:rsidRDefault="00876005">
      <w:pPr>
        <w:pStyle w:val="ConsPlusNormal"/>
        <w:spacing w:before="220"/>
        <w:ind w:firstLine="540"/>
        <w:jc w:val="both"/>
      </w:pPr>
      <w:r>
        <w:t xml:space="preserve">1.2.4.4. Соблюдение юридическим лицом порядка и сроков раскрытия инсайдерской информации эмитента (для юридических лиц, являющихся эмитентами) и порядка и сроков </w:t>
      </w:r>
      <w:r>
        <w:lastRenderedPageBreak/>
        <w:t xml:space="preserve">раскрытия инсайдерской информации, установленных в соответствии с </w:t>
      </w:r>
      <w:hyperlink r:id="rId28">
        <w:r>
          <w:rPr>
            <w:color w:val="0000FF"/>
          </w:rPr>
          <w:t>частью 1 статьи 8</w:t>
        </w:r>
      </w:hyperlink>
      <w:r>
        <w:t xml:space="preserve"> Федерального закона от 27 июля 2010 года N 224-ФЗ (для юридических лиц, являющихся лицами, указанными в </w:t>
      </w:r>
      <w:hyperlink r:id="rId29">
        <w:r>
          <w:rPr>
            <w:color w:val="0000FF"/>
          </w:rPr>
          <w:t>пунктах 1</w:t>
        </w:r>
      </w:hyperlink>
      <w:r>
        <w:t xml:space="preserve">, </w:t>
      </w:r>
      <w:hyperlink r:id="rId30">
        <w:r>
          <w:rPr>
            <w:color w:val="0000FF"/>
          </w:rPr>
          <w:t>3</w:t>
        </w:r>
      </w:hyperlink>
      <w:r>
        <w:t xml:space="preserve">, </w:t>
      </w:r>
      <w:hyperlink r:id="rId31">
        <w:r>
          <w:rPr>
            <w:color w:val="0000FF"/>
          </w:rPr>
          <w:t>4</w:t>
        </w:r>
      </w:hyperlink>
      <w:r>
        <w:t xml:space="preserve">, </w:t>
      </w:r>
      <w:hyperlink r:id="rId32">
        <w:r>
          <w:rPr>
            <w:color w:val="0000FF"/>
          </w:rPr>
          <w:t>11</w:t>
        </w:r>
      </w:hyperlink>
      <w:r>
        <w:t xml:space="preserve"> и </w:t>
      </w:r>
      <w:hyperlink r:id="rId33">
        <w:r>
          <w:rPr>
            <w:color w:val="0000FF"/>
          </w:rPr>
          <w:t>12 статьи 4</w:t>
        </w:r>
      </w:hyperlink>
      <w:r>
        <w:t xml:space="preserve"> Федерального закона от 27 июля 2010 года N 224-ФЗ).</w:t>
      </w:r>
    </w:p>
    <w:p w:rsidR="00876005" w:rsidRDefault="00876005">
      <w:pPr>
        <w:pStyle w:val="ConsPlusNormal"/>
        <w:spacing w:before="220"/>
        <w:ind w:firstLine="540"/>
        <w:jc w:val="both"/>
      </w:pPr>
      <w:r>
        <w:t>1.2.4.5. Проведение юридическим лицом мероприятий, направленных на реализацию прав (исполнение обязанностей) в части:</w:t>
      </w:r>
    </w:p>
    <w:p w:rsidR="00876005" w:rsidRDefault="00876005">
      <w:pPr>
        <w:pStyle w:val="ConsPlusNormal"/>
        <w:spacing w:before="220"/>
        <w:ind w:firstLine="540"/>
        <w:jc w:val="both"/>
      </w:pPr>
      <w:r>
        <w:t>ведения списка инсайдеров;</w:t>
      </w:r>
    </w:p>
    <w:p w:rsidR="00876005" w:rsidRDefault="00876005">
      <w:pPr>
        <w:pStyle w:val="ConsPlusNormal"/>
        <w:spacing w:before="220"/>
        <w:ind w:firstLine="540"/>
        <w:jc w:val="both"/>
      </w:pPr>
      <w:r>
        <w:t xml:space="preserve">уведомления лиц, включенных в список инсайдеров, об их включении в такой список и исключении из него, а также информирования указанных лиц о требованиях Федерального </w:t>
      </w:r>
      <w:hyperlink r:id="rId34">
        <w:r>
          <w:rPr>
            <w:color w:val="0000FF"/>
          </w:rPr>
          <w:t>закона</w:t>
        </w:r>
      </w:hyperlink>
      <w:r>
        <w:t xml:space="preserve"> от 27 июля 2010 года N 224-ФЗ;</w:t>
      </w:r>
    </w:p>
    <w:p w:rsidR="00876005" w:rsidRDefault="00876005">
      <w:pPr>
        <w:pStyle w:val="ConsPlusNormal"/>
        <w:spacing w:before="220"/>
        <w:ind w:firstLine="540"/>
        <w:jc w:val="both"/>
      </w:pPr>
      <w:r>
        <w:t xml:space="preserve">передачи списка инсайдеров организатору торговли, через которого совершаются операции с финансовыми инструментами, иностранной валютой и (или) товаром, по его требованию (для юридических лиц, являющихся лицами, указанными в </w:t>
      </w:r>
      <w:hyperlink r:id="rId35">
        <w:r>
          <w:rPr>
            <w:color w:val="0000FF"/>
          </w:rPr>
          <w:t>пунктах 1</w:t>
        </w:r>
      </w:hyperlink>
      <w:r>
        <w:t xml:space="preserve">, </w:t>
      </w:r>
      <w:hyperlink r:id="rId36">
        <w:r>
          <w:rPr>
            <w:color w:val="0000FF"/>
          </w:rPr>
          <w:t>3</w:t>
        </w:r>
      </w:hyperlink>
      <w:r>
        <w:t xml:space="preserve"> - </w:t>
      </w:r>
      <w:hyperlink r:id="rId37">
        <w:r>
          <w:rPr>
            <w:color w:val="0000FF"/>
          </w:rPr>
          <w:t>7</w:t>
        </w:r>
      </w:hyperlink>
      <w:r>
        <w:t xml:space="preserve">, </w:t>
      </w:r>
      <w:hyperlink r:id="rId38">
        <w:r>
          <w:rPr>
            <w:color w:val="0000FF"/>
          </w:rPr>
          <w:t>11</w:t>
        </w:r>
      </w:hyperlink>
      <w:r>
        <w:t xml:space="preserve"> и </w:t>
      </w:r>
      <w:hyperlink r:id="rId39">
        <w:r>
          <w:rPr>
            <w:color w:val="0000FF"/>
          </w:rPr>
          <w:t>12 статьи 4</w:t>
        </w:r>
      </w:hyperlink>
      <w:r>
        <w:t xml:space="preserve"> Федерального закона от 27 июля 2010 года N 224-ФЗ);</w:t>
      </w:r>
    </w:p>
    <w:p w:rsidR="00876005" w:rsidRDefault="00876005">
      <w:pPr>
        <w:pStyle w:val="ConsPlusNormal"/>
        <w:spacing w:before="220"/>
        <w:ind w:firstLine="540"/>
        <w:jc w:val="both"/>
      </w:pPr>
      <w:r>
        <w:t>передачи списка инсайдеров в Банк России по его требованию;</w:t>
      </w:r>
    </w:p>
    <w:p w:rsidR="00876005" w:rsidRDefault="00876005">
      <w:pPr>
        <w:pStyle w:val="ConsPlusNormal"/>
        <w:spacing w:before="220"/>
        <w:ind w:firstLine="540"/>
        <w:jc w:val="both"/>
      </w:pPr>
      <w:r>
        <w:t xml:space="preserve">направления запросов, содержащих информацию, предусмотренную </w:t>
      </w:r>
      <w:hyperlink r:id="rId40">
        <w:r>
          <w:rPr>
            <w:color w:val="0000FF"/>
          </w:rPr>
          <w:t>частями 1</w:t>
        </w:r>
      </w:hyperlink>
      <w:r>
        <w:t xml:space="preserve"> - </w:t>
      </w:r>
      <w:hyperlink r:id="rId41">
        <w:r>
          <w:rPr>
            <w:color w:val="0000FF"/>
          </w:rPr>
          <w:t>3 статьи 10</w:t>
        </w:r>
      </w:hyperlink>
      <w:r>
        <w:t xml:space="preserve"> Федерального закона от 27 июля 2010 года N 224-ФЗ, а также предоставления информации при получении юридическим лицом указанных запросов (для юридических лиц, являющихся лицами, указанными в </w:t>
      </w:r>
      <w:hyperlink r:id="rId42">
        <w:r>
          <w:rPr>
            <w:color w:val="0000FF"/>
          </w:rPr>
          <w:t>частях 1</w:t>
        </w:r>
      </w:hyperlink>
      <w:r>
        <w:t xml:space="preserve"> - </w:t>
      </w:r>
      <w:hyperlink r:id="rId43">
        <w:r>
          <w:rPr>
            <w:color w:val="0000FF"/>
          </w:rPr>
          <w:t>4 статьи 10</w:t>
        </w:r>
      </w:hyperlink>
      <w:r>
        <w:t xml:space="preserve"> Федерального закона от 27 июля 2010 года N 224-ФЗ);</w:t>
      </w:r>
    </w:p>
    <w:p w:rsidR="00876005" w:rsidRDefault="00876005">
      <w:pPr>
        <w:pStyle w:val="ConsPlusNormal"/>
        <w:spacing w:before="220"/>
        <w:ind w:firstLine="540"/>
        <w:jc w:val="both"/>
      </w:pPr>
      <w:r>
        <w:t xml:space="preserve">направления юридическим лицом требований, предусмотренных </w:t>
      </w:r>
      <w:hyperlink r:id="rId44">
        <w:r>
          <w:rPr>
            <w:color w:val="0000FF"/>
          </w:rPr>
          <w:t>пунктом 1 части 2 статьи 12</w:t>
        </w:r>
      </w:hyperlink>
      <w:r>
        <w:t xml:space="preserve"> Федерального закона от 27 июля 2010 года N 224-ФЗ (для юридических лиц, являющихся организаторами торговли);</w:t>
      </w:r>
    </w:p>
    <w:p w:rsidR="00876005" w:rsidRDefault="00876005">
      <w:pPr>
        <w:pStyle w:val="ConsPlusNormal"/>
        <w:spacing w:before="220"/>
        <w:ind w:firstLine="540"/>
        <w:jc w:val="both"/>
      </w:pPr>
      <w:r>
        <w:t>направления юридическим лицом в Банк России уведомления обо всех выявленных в течение каждого торгового дня нестандартных сделках (заявках) и о результатах проведенных проверок (для юридических лиц, являющихся организаторами торговли);</w:t>
      </w:r>
    </w:p>
    <w:p w:rsidR="00876005" w:rsidRDefault="00876005">
      <w:pPr>
        <w:pStyle w:val="ConsPlusNormal"/>
        <w:spacing w:before="220"/>
        <w:ind w:firstLine="540"/>
        <w:jc w:val="both"/>
      </w:pPr>
      <w:r>
        <w:t>направления юридическим лицом в Банк России уведомлений об операциях, осуществляемых от его имени, но за счет клиента юридического лица, или от имени и по поручению клиента юридического лица, в отношении которых у юридического лица имеются основания полагать, что указанные операции осуществляются с неправомерным использованием инсайдерской информации и (или) являются манипулированием рынком (далее - потенциально нестандартные операции) (для юридических лиц, являющихся участниками организованных торгов).</w:t>
      </w:r>
    </w:p>
    <w:p w:rsidR="00876005" w:rsidRDefault="00876005">
      <w:pPr>
        <w:pStyle w:val="ConsPlusNormal"/>
        <w:spacing w:before="220"/>
        <w:ind w:firstLine="540"/>
        <w:jc w:val="both"/>
      </w:pPr>
      <w:r>
        <w:t>1.2.4.6. Совершение операций с финансовыми инструментами, иностранной валютой и (или) товарами юридическим лицом от своего имени и за свой счет, от своего имени и за счет клиентов и (или) от имени и за счет клиентов (для юридических лиц, являющихся управляющими компаниями инвестиционных фондов, паевых инвестиционных фондов и негосударственных пенсионных фондов и (или) профессиональными участниками рынка ценных бумаг и (или) иными лицами, осуществляющими в интересах клиентов операции с финансовыми инструментами, иностранной валютой и (или) товарами, получившими инсайдерскую информацию от клиентов), а также лицами, включенными в список инсайдеров указанного юридического лица.</w:t>
      </w:r>
    </w:p>
    <w:p w:rsidR="00876005" w:rsidRDefault="00876005">
      <w:pPr>
        <w:pStyle w:val="ConsPlusNormal"/>
        <w:spacing w:before="220"/>
        <w:ind w:firstLine="540"/>
        <w:jc w:val="both"/>
      </w:pPr>
      <w:r>
        <w:t xml:space="preserve">1.2.4.7. Соблюдение лицами, указанными в </w:t>
      </w:r>
      <w:hyperlink r:id="rId45">
        <w:r>
          <w:rPr>
            <w:color w:val="0000FF"/>
          </w:rPr>
          <w:t>пунктах 7</w:t>
        </w:r>
      </w:hyperlink>
      <w:r>
        <w:t xml:space="preserve"> и </w:t>
      </w:r>
      <w:hyperlink r:id="rId46">
        <w:r>
          <w:rPr>
            <w:color w:val="0000FF"/>
          </w:rPr>
          <w:t>13 статьи 4</w:t>
        </w:r>
      </w:hyperlink>
      <w:r>
        <w:t xml:space="preserve"> Федерального закона от 27 июля 2010 года N 224-ФЗ, включенными в список инсайдеров юридического лица, и связанными с ними лицами условий совершения операций с финансовыми инструментами, определенных советом директоров (наблюдательным советом) юридического лица, а в случае его отсутствия - высшим органом управления юридического лица, в соответствии с </w:t>
      </w:r>
      <w:hyperlink r:id="rId47">
        <w:r>
          <w:rPr>
            <w:color w:val="0000FF"/>
          </w:rPr>
          <w:t>частью 3 статьи 11</w:t>
        </w:r>
      </w:hyperlink>
      <w:r>
        <w:t xml:space="preserve"> Федерального закона от 27 июля 2010 года N 224-ФЗ.</w:t>
      </w:r>
    </w:p>
    <w:p w:rsidR="00876005" w:rsidRDefault="00876005">
      <w:pPr>
        <w:pStyle w:val="ConsPlusNormal"/>
        <w:spacing w:before="220"/>
        <w:ind w:firstLine="540"/>
        <w:jc w:val="both"/>
      </w:pPr>
      <w:r>
        <w:lastRenderedPageBreak/>
        <w:t>1.2.4.8. Выявление юридическим лицом потенциально нестандартных операций (для юридических лиц, являющихся участниками организованных торгов).</w:t>
      </w:r>
    </w:p>
    <w:p w:rsidR="00876005" w:rsidRDefault="00876005">
      <w:pPr>
        <w:pStyle w:val="ConsPlusNormal"/>
        <w:spacing w:before="220"/>
        <w:ind w:firstLine="540"/>
        <w:jc w:val="both"/>
      </w:pPr>
      <w:r>
        <w:t>1.2.4.9. Выявление юридическим лицом нестандартных сделок (заявок) (для юридических лиц, являющихся организаторами торговли).</w:t>
      </w:r>
    </w:p>
    <w:p w:rsidR="00876005" w:rsidRDefault="00876005">
      <w:pPr>
        <w:pStyle w:val="ConsPlusNormal"/>
        <w:spacing w:before="220"/>
        <w:ind w:firstLine="540"/>
        <w:jc w:val="both"/>
      </w:pPr>
      <w:r>
        <w:t xml:space="preserve">1.2.4.10. Проведение юридическим лицом проверок нестандартных сделок (заявок) на предмет неправомерного использования инсайдерской информации и (или) манипулирования рынком в соответствии с </w:t>
      </w:r>
      <w:hyperlink r:id="rId48">
        <w:r>
          <w:rPr>
            <w:color w:val="0000FF"/>
          </w:rPr>
          <w:t>пунктом 2 части 1 статьи 12</w:t>
        </w:r>
      </w:hyperlink>
      <w:r>
        <w:t xml:space="preserve"> Федерального закона от 27 июля 2010 года N 224-ФЗ (для юридических лиц, являющихся организаторами торговли).</w:t>
      </w:r>
    </w:p>
    <w:p w:rsidR="00876005" w:rsidRDefault="00876005">
      <w:pPr>
        <w:pStyle w:val="ConsPlusNormal"/>
        <w:spacing w:before="220"/>
        <w:ind w:firstLine="540"/>
        <w:jc w:val="both"/>
      </w:pPr>
      <w:r>
        <w:t>1.2.4.11. Обеспечение юридическим лицом соответствия документов юридического лица требованиям в области противодействия НИИИМР и соответствия документов юридического лица друг другу.</w:t>
      </w:r>
    </w:p>
    <w:p w:rsidR="00876005" w:rsidRDefault="00876005">
      <w:pPr>
        <w:pStyle w:val="ConsPlusNormal"/>
        <w:spacing w:before="220"/>
        <w:ind w:firstLine="540"/>
        <w:jc w:val="both"/>
      </w:pPr>
      <w:bookmarkStart w:id="5" w:name="P52"/>
      <w:bookmarkEnd w:id="5"/>
      <w:r>
        <w:t>1.2.4.12. Проведение юридическим лицом ознакомления лиц, входящих в состав органов управления, и работников юридического лица с требованиями в области противодействия НИИИМР и документами юридического лица.</w:t>
      </w:r>
    </w:p>
    <w:p w:rsidR="00876005" w:rsidRDefault="00876005">
      <w:pPr>
        <w:pStyle w:val="ConsPlusNormal"/>
        <w:spacing w:before="220"/>
        <w:ind w:firstLine="540"/>
        <w:jc w:val="both"/>
      </w:pPr>
      <w:r>
        <w:t>1.2.5. Участие в рассмотрении обращений (в том числе жалоб), запросов и заявлений в области противодействия НИИИМР, а также анализ статистики указанных обращений (в том числе жалоб), запросов и заявлений (при наличии указанной статистики).</w:t>
      </w:r>
    </w:p>
    <w:p w:rsidR="00876005" w:rsidRDefault="00876005">
      <w:pPr>
        <w:pStyle w:val="ConsPlusNormal"/>
        <w:spacing w:before="220"/>
        <w:ind w:firstLine="540"/>
        <w:jc w:val="both"/>
      </w:pPr>
      <w:r>
        <w:t>1.2.6. Составление и предоставление единоличному исполнительному органу юридического лица отчетов о вероятных и (или) наступивших событиях регуляторного риска в области противодействия НИИИМР и отчетов о деятельности ответственного структурного подразделения (ответственного должностного лица) (далее - отчеты ответственного структурного подразделения (ответственного должностного лица).</w:t>
      </w:r>
    </w:p>
    <w:p w:rsidR="00876005" w:rsidRDefault="00876005">
      <w:pPr>
        <w:pStyle w:val="ConsPlusNormal"/>
        <w:spacing w:before="220"/>
        <w:ind w:firstLine="540"/>
        <w:jc w:val="both"/>
      </w:pPr>
      <w:r>
        <w:t>1.2.7. Составление и предоставление единоличному исполнительному органу юридического лица предложений, направленных на совершенствование проводимых юридическим лицом мероприятий по противодействию НИИИМР.</w:t>
      </w:r>
    </w:p>
    <w:p w:rsidR="00876005" w:rsidRDefault="00876005">
      <w:pPr>
        <w:pStyle w:val="ConsPlusNormal"/>
        <w:spacing w:before="220"/>
        <w:ind w:firstLine="540"/>
        <w:jc w:val="both"/>
      </w:pPr>
      <w:r>
        <w:t>1.2.8. Участие в процессе пересмотра правил внутреннего контроля в области противодействия НИИИМР.</w:t>
      </w:r>
    </w:p>
    <w:p w:rsidR="00876005" w:rsidRDefault="00876005">
      <w:pPr>
        <w:pStyle w:val="ConsPlusNormal"/>
        <w:spacing w:before="220"/>
        <w:ind w:firstLine="540"/>
        <w:jc w:val="both"/>
      </w:pPr>
      <w:r>
        <w:t>1.3. Права и обязанности руководителя ответственного структурного подразделения (ответственного должностного лица), в том числе следующие права и обязанности.</w:t>
      </w:r>
    </w:p>
    <w:p w:rsidR="00876005" w:rsidRDefault="00876005">
      <w:pPr>
        <w:pStyle w:val="ConsPlusNormal"/>
        <w:spacing w:before="220"/>
        <w:ind w:firstLine="540"/>
        <w:jc w:val="both"/>
      </w:pPr>
      <w:r>
        <w:t>1.3.1. Право запрашивать у лиц, входящих в состав органов управления, структурных подразделений и работников юридического лица документы и информацию, в том числе разъяснения, необходимые для выполнения руководителем ответственного структурного подразделения (ответственным должностным лицом) своих функций.</w:t>
      </w:r>
    </w:p>
    <w:p w:rsidR="00876005" w:rsidRDefault="00876005">
      <w:pPr>
        <w:pStyle w:val="ConsPlusNormal"/>
        <w:spacing w:before="220"/>
        <w:ind w:firstLine="540"/>
        <w:jc w:val="both"/>
      </w:pPr>
      <w:r>
        <w:t>1.3.2. Право передачи в Банк России информации о вероятных и (или) наступивших событиях регуляторного риска в области противодействия НИИИМР.</w:t>
      </w:r>
    </w:p>
    <w:p w:rsidR="00876005" w:rsidRDefault="00876005">
      <w:pPr>
        <w:pStyle w:val="ConsPlusNormal"/>
        <w:spacing w:before="220"/>
        <w:ind w:firstLine="540"/>
        <w:jc w:val="both"/>
      </w:pPr>
      <w:r>
        <w:t>1.3.3. Право участвовать в процессе отбора кандидатов на должности работников ответственного структурного подразделения (при их наличии).</w:t>
      </w:r>
    </w:p>
    <w:p w:rsidR="00876005" w:rsidRDefault="00876005">
      <w:pPr>
        <w:pStyle w:val="ConsPlusNormal"/>
        <w:spacing w:before="220"/>
        <w:ind w:firstLine="540"/>
        <w:jc w:val="both"/>
      </w:pPr>
      <w:r>
        <w:t xml:space="preserve">1.3.4. Обязанность разрабатывать рекомендации в области противодействия НИИИМР для решения задач, установленных в правилах внутреннего контроля в области противодействия НИИИМР в соответствии с </w:t>
      </w:r>
      <w:hyperlink w:anchor="P22">
        <w:r>
          <w:rPr>
            <w:color w:val="0000FF"/>
          </w:rPr>
          <w:t>подпунктом 1.1</w:t>
        </w:r>
      </w:hyperlink>
      <w:r>
        <w:t xml:space="preserve"> настоящего пункта.</w:t>
      </w:r>
    </w:p>
    <w:p w:rsidR="00876005" w:rsidRDefault="00876005">
      <w:pPr>
        <w:pStyle w:val="ConsPlusNormal"/>
        <w:spacing w:before="220"/>
        <w:ind w:firstLine="540"/>
        <w:jc w:val="both"/>
      </w:pPr>
      <w:r>
        <w:t xml:space="preserve">1.3.5. Обязанность информировать единоличный исполнительный орган юридического лица обо всех случаях, препятствующих осуществлению функций ответственного структурного </w:t>
      </w:r>
      <w:r>
        <w:lastRenderedPageBreak/>
        <w:t>подразделения (ответственного должностного лица).</w:t>
      </w:r>
    </w:p>
    <w:p w:rsidR="00876005" w:rsidRDefault="00876005">
      <w:pPr>
        <w:pStyle w:val="ConsPlusNormal"/>
        <w:spacing w:before="220"/>
        <w:ind w:firstLine="540"/>
        <w:jc w:val="both"/>
      </w:pPr>
      <w:r>
        <w:t xml:space="preserve">1.4. Указание на подотчетность ответственного структурного подразделения (ответственного должностного лица) единоличному исполнительному органу юридического лица в соответствии с </w:t>
      </w:r>
      <w:hyperlink r:id="rId49">
        <w:r>
          <w:rPr>
            <w:color w:val="0000FF"/>
          </w:rPr>
          <w:t>пунктом 2 части 1 статьи 11</w:t>
        </w:r>
      </w:hyperlink>
      <w:r>
        <w:t xml:space="preserve"> Федерального закона от 27 июля 2010 года N 224-ФЗ, а также указание на орган управления юридического лица, которому подчинено ответственное структурное подразделение (ответственное должностное лицо).</w:t>
      </w:r>
    </w:p>
    <w:p w:rsidR="00876005" w:rsidRDefault="00876005">
      <w:pPr>
        <w:pStyle w:val="ConsPlusNormal"/>
        <w:spacing w:before="220"/>
        <w:ind w:firstLine="540"/>
        <w:jc w:val="both"/>
      </w:pPr>
      <w:r>
        <w:t>1.5. Положения о порядке составления и предоставления ответственным структурным подразделением (ответственным должностным лицом) единоличному исполнительному органу юридического лица отчетов ответственного структурного подразделения (ответственного должностного лица), содержащие перечень информации, которая подлежит включению в указанные отчеты, а также периодичность и сроки их предоставления.</w:t>
      </w:r>
    </w:p>
    <w:p w:rsidR="00876005" w:rsidRDefault="00876005">
      <w:pPr>
        <w:pStyle w:val="ConsPlusNormal"/>
        <w:spacing w:before="220"/>
        <w:ind w:firstLine="540"/>
        <w:jc w:val="both"/>
      </w:pPr>
      <w:r>
        <w:t>1.6. Положения о порядке составления и предоставления ответственным структурным подразделением (ответственным должностным лицом) единоличному исполнительному органу юридического лица предложений, направленных на совершенствование проводимых юридическим лицом мероприятий по соблюдению требований в области противодействия НИИИМР.</w:t>
      </w:r>
    </w:p>
    <w:p w:rsidR="00876005" w:rsidRDefault="00876005">
      <w:pPr>
        <w:pStyle w:val="ConsPlusNormal"/>
        <w:spacing w:before="220"/>
        <w:ind w:firstLine="540"/>
        <w:jc w:val="both"/>
      </w:pPr>
      <w:r>
        <w:t>1.7. Положения о порядке оценки органами управления (работниками юридического лица, не являющимися работниками ответственного структурного подразделения или ответственным должностным лицом) действий лиц, входящих в состав указанных органов управления юридического лица (действий указанных работников и подчиненных им работников (при наличии), на предмет соответствия требованиям в области противодействия НИИИМР и документам юридического лица.</w:t>
      </w:r>
    </w:p>
    <w:p w:rsidR="00876005" w:rsidRDefault="00876005">
      <w:pPr>
        <w:pStyle w:val="ConsPlusNormal"/>
        <w:spacing w:before="220"/>
        <w:ind w:firstLine="540"/>
        <w:jc w:val="both"/>
      </w:pPr>
      <w:r>
        <w:t>1.8. Положения о порядке возложения по решению юридического лица функций руководителя ответственного структурного подразделения (ответственного должностного лица) на иного работника (иное должностное лицо), содержащие указание на невозможность возложения указанных функций на работника (должностное лицо), не являющегося (не являющееся):</w:t>
      </w:r>
    </w:p>
    <w:p w:rsidR="00876005" w:rsidRDefault="00876005">
      <w:pPr>
        <w:pStyle w:val="ConsPlusNormal"/>
        <w:spacing w:before="220"/>
        <w:ind w:firstLine="540"/>
        <w:jc w:val="both"/>
      </w:pPr>
      <w:r>
        <w:t>контролером (руководителем службы внутреннего контроля) юридического лица (при наличии);</w:t>
      </w:r>
    </w:p>
    <w:p w:rsidR="00876005" w:rsidRDefault="00876005">
      <w:pPr>
        <w:pStyle w:val="ConsPlusNormal"/>
        <w:spacing w:before="220"/>
        <w:ind w:firstLine="540"/>
        <w:jc w:val="both"/>
      </w:pPr>
      <w:r>
        <w:t>руководителем службы управления рисками юридического лица (для юридических лиц, являющихся банками с базовой лицензией, в случае если функции руководителя службы внутреннего контроля юридического лица осуществляет руководитель службы управления рисками).</w:t>
      </w:r>
    </w:p>
    <w:p w:rsidR="00876005" w:rsidRDefault="00876005">
      <w:pPr>
        <w:pStyle w:val="ConsPlusNormal"/>
        <w:spacing w:before="220"/>
        <w:ind w:firstLine="540"/>
        <w:jc w:val="both"/>
      </w:pPr>
      <w:r>
        <w:t>1.9. Положения о порядке передачи по решению юридического лица третьим лицам отдельных функций по осуществлению контроля за соблюдением юридическим лицом требований в области противодействия НИИИМР и положений документов юридического лица, содержащие указание на невозможность передачи указанных функций третьим лицам, не являющимся:</w:t>
      </w:r>
    </w:p>
    <w:p w:rsidR="00876005" w:rsidRDefault="00876005">
      <w:pPr>
        <w:pStyle w:val="ConsPlusNormal"/>
        <w:spacing w:before="220"/>
        <w:ind w:firstLine="540"/>
        <w:jc w:val="both"/>
      </w:pPr>
      <w:bookmarkStart w:id="6" w:name="P71"/>
      <w:bookmarkEnd w:id="6"/>
      <w:r>
        <w:t>кредитной организацией, входящей с юридическим лицом в банковскую группу (для юридических лиц, являющихся кредитными организациями);</w:t>
      </w:r>
    </w:p>
    <w:p w:rsidR="00876005" w:rsidRDefault="00876005">
      <w:pPr>
        <w:pStyle w:val="ConsPlusNormal"/>
        <w:spacing w:before="220"/>
        <w:ind w:firstLine="540"/>
        <w:jc w:val="both"/>
      </w:pPr>
      <w:bookmarkStart w:id="7" w:name="P72"/>
      <w:bookmarkEnd w:id="7"/>
      <w:r>
        <w:t xml:space="preserve">кредитной и (или) </w:t>
      </w:r>
      <w:proofErr w:type="spellStart"/>
      <w:r>
        <w:t>некредитной</w:t>
      </w:r>
      <w:proofErr w:type="spellEnd"/>
      <w:r>
        <w:t xml:space="preserve"> финансовой организацией, входящей с юридическим лицом в банковскую группу (банковский холдинг) или осуществляющей контроль либо оказывающей значительное влияние в отношении юридического лица, при условии обеспечения отсутствия конфликта интересов (для юридических лиц, не являющихся кредитными организациями).</w:t>
      </w:r>
    </w:p>
    <w:p w:rsidR="00876005" w:rsidRDefault="00876005">
      <w:pPr>
        <w:pStyle w:val="ConsPlusNormal"/>
        <w:spacing w:before="220"/>
        <w:ind w:firstLine="540"/>
        <w:jc w:val="both"/>
      </w:pPr>
      <w:r>
        <w:t xml:space="preserve">1.10. Перечень мероприятий, направленных на обеспечение соблюдения требований в области противодействия НИИИМР и положений документов юридического лица лицами, указанными в </w:t>
      </w:r>
      <w:hyperlink w:anchor="P71">
        <w:r>
          <w:rPr>
            <w:color w:val="0000FF"/>
          </w:rPr>
          <w:t>абзацах втором</w:t>
        </w:r>
      </w:hyperlink>
      <w:r>
        <w:t xml:space="preserve"> или </w:t>
      </w:r>
      <w:hyperlink w:anchor="P72">
        <w:r>
          <w:rPr>
            <w:color w:val="0000FF"/>
          </w:rPr>
          <w:t>третьем подпункта 1.9</w:t>
        </w:r>
      </w:hyperlink>
      <w:r>
        <w:t xml:space="preserve"> настоящего пункта, при осуществлении </w:t>
      </w:r>
      <w:r>
        <w:lastRenderedPageBreak/>
        <w:t>ими отдельных функций по контролю за соблюдением юридическим лицом требований в области противодействия НИИИМР и положений документов юридического лица.</w:t>
      </w:r>
    </w:p>
    <w:p w:rsidR="00876005" w:rsidRDefault="00876005">
      <w:pPr>
        <w:pStyle w:val="ConsPlusNormal"/>
        <w:spacing w:before="220"/>
        <w:ind w:firstLine="540"/>
        <w:jc w:val="both"/>
      </w:pPr>
      <w:r>
        <w:t>1.11. Перечень проводимых юридическим лицом мероприятий, направленных на обеспечение условий для беспрепятственного и эффективного осуществления ответственным структурным подразделением (ответственным должностным лицом) своих функций.</w:t>
      </w:r>
    </w:p>
    <w:p w:rsidR="00876005" w:rsidRDefault="00876005">
      <w:pPr>
        <w:pStyle w:val="ConsPlusNormal"/>
        <w:spacing w:before="220"/>
        <w:ind w:firstLine="540"/>
        <w:jc w:val="both"/>
      </w:pPr>
      <w:r>
        <w:t>1.12. Перечень проводимых юридическим лицом мероприятий, направленных на обеспечение независимости ответственного структурного подразделения (ответственного должностного лица) от иных структурных подразделений (должностных лиц) юридического лица, в том числе посредством установления системы оплаты труда и структуры вознаграждения работников ответственного структурного подразделения (ответственного должностного лица).</w:t>
      </w:r>
    </w:p>
    <w:p w:rsidR="00876005" w:rsidRDefault="00876005">
      <w:pPr>
        <w:pStyle w:val="ConsPlusNormal"/>
        <w:spacing w:before="220"/>
        <w:ind w:firstLine="540"/>
        <w:jc w:val="both"/>
      </w:pPr>
      <w:r>
        <w:t>1.13. Перечень проводимых юридическим лицом мероприятий, направленных на обеспечение непрерывности деятельности ответственного структурного подразделения (ответственного должностного лица), включающий назначение лица, исполняющего обязанности руководителя ответственного структурного подразделения (ответственного должностного лица), в случае временного отсутствия руководителя ответственного структурного подразделения (ответственного должностного лица).</w:t>
      </w:r>
    </w:p>
    <w:p w:rsidR="00876005" w:rsidRDefault="00876005">
      <w:pPr>
        <w:pStyle w:val="ConsPlusNormal"/>
        <w:spacing w:before="220"/>
        <w:ind w:firstLine="540"/>
        <w:jc w:val="both"/>
      </w:pPr>
      <w:r>
        <w:t>1.14. Перечень проводимых юридическим лицом мероприятий, направленных на исключение конфликта интересов у работников ответственного структурного подразделения (ответственного должностного лица), в том числе в случае принятия юридическим лицом решения о возложении функций руководителя ответственного структурного подразделения (ответственного должностного лица) на контролера (руководителя службы внутреннего контроля) юридического лица (при наличии) или руководителя службы управления рисками юридического лица (для юридических лиц, являющихся банками с базовой лицензией, в случае если функции руководителя службы внутреннего контроля юридического лица осуществляет руководитель службы управления рисками).</w:t>
      </w:r>
    </w:p>
    <w:p w:rsidR="00876005" w:rsidRDefault="00876005">
      <w:pPr>
        <w:pStyle w:val="ConsPlusNormal"/>
        <w:spacing w:before="220"/>
        <w:ind w:firstLine="540"/>
        <w:jc w:val="both"/>
      </w:pPr>
      <w:r>
        <w:t xml:space="preserve">1.15. Положения о порядке осуществления ответственным структурным подразделением (ответственным должностным лицом) контроля за совершением действий, указанных в </w:t>
      </w:r>
      <w:hyperlink w:anchor="P33">
        <w:r>
          <w:rPr>
            <w:color w:val="0000FF"/>
          </w:rPr>
          <w:t>подпунктах 1.2.4.1</w:t>
        </w:r>
      </w:hyperlink>
      <w:r>
        <w:t xml:space="preserve"> - </w:t>
      </w:r>
      <w:hyperlink w:anchor="P52">
        <w:r>
          <w:rPr>
            <w:color w:val="0000FF"/>
          </w:rPr>
          <w:t>1.2.4.12</w:t>
        </w:r>
      </w:hyperlink>
      <w:r>
        <w:t xml:space="preserve"> настоящего пункта.</w:t>
      </w:r>
    </w:p>
    <w:p w:rsidR="00876005" w:rsidRDefault="00876005">
      <w:pPr>
        <w:pStyle w:val="ConsPlusNormal"/>
        <w:spacing w:before="220"/>
        <w:ind w:firstLine="540"/>
        <w:jc w:val="both"/>
      </w:pPr>
      <w:r>
        <w:t>1.16. Положения о пересмотре правил внутреннего контроля в области противодействия НИИИМР, содержащие периодичность указанного пересмотра (не реже одного раза в год) и описание событий, наступление которых влечет необходимость внесения изменений в правила внутреннего контроля в области противодействия НИИИМР.</w:t>
      </w:r>
    </w:p>
    <w:p w:rsidR="00876005" w:rsidRDefault="00876005">
      <w:pPr>
        <w:pStyle w:val="ConsPlusNormal"/>
        <w:spacing w:before="220"/>
        <w:ind w:firstLine="540"/>
        <w:jc w:val="both"/>
      </w:pPr>
      <w:r>
        <w:t>1.17. Перечень документов, составляющих правила внутреннего контроля в области противодействия НИИИМР, в случае если указанные правила состоят из нескольких документов.</w:t>
      </w:r>
    </w:p>
    <w:p w:rsidR="00876005" w:rsidRDefault="00876005">
      <w:pPr>
        <w:pStyle w:val="ConsPlusNormal"/>
        <w:spacing w:before="220"/>
        <w:ind w:firstLine="540"/>
        <w:jc w:val="both"/>
      </w:pPr>
      <w:r>
        <w:t xml:space="preserve">2. Положения, не предусмотренные </w:t>
      </w:r>
      <w:hyperlink w:anchor="P21">
        <w:r>
          <w:rPr>
            <w:color w:val="0000FF"/>
          </w:rPr>
          <w:t>пунктом 1</w:t>
        </w:r>
      </w:hyperlink>
      <w:r>
        <w:t xml:space="preserve"> настоящего Указания, по решению юридического лица включаются в правила внутреннего контроля в области противодействия НИИИМР, если они соответствуют требованиям в области противодействия НИИИМР.</w:t>
      </w:r>
    </w:p>
    <w:p w:rsidR="00876005" w:rsidRDefault="00876005">
      <w:pPr>
        <w:pStyle w:val="ConsPlusNormal"/>
        <w:spacing w:before="220"/>
        <w:ind w:firstLine="540"/>
        <w:jc w:val="both"/>
      </w:pPr>
      <w:r>
        <w:t>3. Настоящее Указание в соответствии с решением Совета директоров Банка России (протокол заседания Совета директоров Банка России от 29 июля 2019 года N 20) вступает в силу по истечении 180 дней после дня его официального опубликования.</w:t>
      </w:r>
    </w:p>
    <w:p w:rsidR="00876005" w:rsidRDefault="00876005">
      <w:pPr>
        <w:pStyle w:val="ConsPlusNormal"/>
        <w:jc w:val="both"/>
      </w:pPr>
    </w:p>
    <w:p w:rsidR="00876005" w:rsidRDefault="00876005">
      <w:pPr>
        <w:pStyle w:val="ConsPlusNormal"/>
        <w:jc w:val="right"/>
      </w:pPr>
      <w:r>
        <w:t>Председатель Центрального банка</w:t>
      </w:r>
    </w:p>
    <w:p w:rsidR="00876005" w:rsidRDefault="00876005">
      <w:pPr>
        <w:pStyle w:val="ConsPlusNormal"/>
        <w:jc w:val="right"/>
      </w:pPr>
      <w:r>
        <w:t>Российской Федерации</w:t>
      </w:r>
    </w:p>
    <w:p w:rsidR="00876005" w:rsidRDefault="00876005">
      <w:pPr>
        <w:pStyle w:val="ConsPlusNormal"/>
        <w:jc w:val="right"/>
      </w:pPr>
      <w:r>
        <w:t>Э.С.НАБИУЛЛИНА</w:t>
      </w:r>
    </w:p>
    <w:p w:rsidR="00876005" w:rsidRDefault="00876005">
      <w:pPr>
        <w:pStyle w:val="ConsPlusNormal"/>
        <w:jc w:val="both"/>
      </w:pPr>
    </w:p>
    <w:p w:rsidR="00876005" w:rsidRDefault="00876005">
      <w:pPr>
        <w:pStyle w:val="ConsPlusNormal"/>
        <w:jc w:val="both"/>
      </w:pPr>
    </w:p>
    <w:p w:rsidR="00876005" w:rsidRDefault="00876005">
      <w:pPr>
        <w:pStyle w:val="ConsPlusNormal"/>
        <w:pBdr>
          <w:bottom w:val="single" w:sz="6" w:space="0" w:color="auto"/>
        </w:pBdr>
        <w:spacing w:before="100" w:after="100"/>
        <w:jc w:val="both"/>
        <w:rPr>
          <w:sz w:val="2"/>
          <w:szCs w:val="2"/>
        </w:rPr>
      </w:pPr>
    </w:p>
    <w:p w:rsidR="00DA6579" w:rsidRDefault="00DA6579">
      <w:bookmarkStart w:id="8" w:name="_GoBack"/>
      <w:bookmarkEnd w:id="8"/>
    </w:p>
    <w:sectPr w:rsidR="00DA6579" w:rsidSect="007E31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05"/>
    <w:rsid w:val="005B12B0"/>
    <w:rsid w:val="00876005"/>
    <w:rsid w:val="009F1EFF"/>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FE69F-5195-4F9A-8469-898B668B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76005"/>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876005"/>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876005"/>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LAW&amp;n=465596&amp;dst=100045" TargetMode="External"/><Relationship Id="rId18" Type="http://schemas.openxmlformats.org/officeDocument/2006/relationships/hyperlink" Target="https://login.consultant.ru/link/?req=doc&amp;base=LAW&amp;n=465596&amp;dst=73" TargetMode="External"/><Relationship Id="rId26" Type="http://schemas.openxmlformats.org/officeDocument/2006/relationships/hyperlink" Target="https://login.consultant.ru/link/?req=doc&amp;base=LAW&amp;n=465596&amp;dst=97" TargetMode="External"/><Relationship Id="rId39" Type="http://schemas.openxmlformats.org/officeDocument/2006/relationships/hyperlink" Target="https://login.consultant.ru/link/?req=doc&amp;base=LAW&amp;n=465596&amp;dst=98" TargetMode="External"/><Relationship Id="rId3" Type="http://schemas.openxmlformats.org/officeDocument/2006/relationships/webSettings" Target="webSettings.xml"/><Relationship Id="rId21" Type="http://schemas.openxmlformats.org/officeDocument/2006/relationships/hyperlink" Target="https://login.consultant.ru/link/?req=doc&amp;base=LAW&amp;n=465596" TargetMode="External"/><Relationship Id="rId34" Type="http://schemas.openxmlformats.org/officeDocument/2006/relationships/hyperlink" Target="https://login.consultant.ru/link/?req=doc&amp;base=LAW&amp;n=465596" TargetMode="External"/><Relationship Id="rId42" Type="http://schemas.openxmlformats.org/officeDocument/2006/relationships/hyperlink" Target="https://login.consultant.ru/link/?req=doc&amp;base=LAW&amp;n=465596&amp;dst=115" TargetMode="External"/><Relationship Id="rId47" Type="http://schemas.openxmlformats.org/officeDocument/2006/relationships/hyperlink" Target="https://login.consultant.ru/link/?req=doc&amp;base=LAW&amp;n=465596&amp;dst=126" TargetMode="External"/><Relationship Id="rId50" Type="http://schemas.openxmlformats.org/officeDocument/2006/relationships/fontTable" Target="fontTable.xml"/><Relationship Id="rId7" Type="http://schemas.openxmlformats.org/officeDocument/2006/relationships/hyperlink" Target="https://login.consultant.ru/link/?req=doc&amp;base=LAW&amp;n=465596&amp;dst=89" TargetMode="External"/><Relationship Id="rId12" Type="http://schemas.openxmlformats.org/officeDocument/2006/relationships/hyperlink" Target="https://login.consultant.ru/link/?req=doc&amp;base=LAW&amp;n=465596&amp;dst=89" TargetMode="External"/><Relationship Id="rId17" Type="http://schemas.openxmlformats.org/officeDocument/2006/relationships/hyperlink" Target="https://login.consultant.ru/link/?req=doc&amp;base=LAW&amp;n=465596" TargetMode="External"/><Relationship Id="rId25" Type="http://schemas.openxmlformats.org/officeDocument/2006/relationships/hyperlink" Target="https://login.consultant.ru/link/?req=doc&amp;base=LAW&amp;n=465596&amp;dst=100046" TargetMode="External"/><Relationship Id="rId33" Type="http://schemas.openxmlformats.org/officeDocument/2006/relationships/hyperlink" Target="https://login.consultant.ru/link/?req=doc&amp;base=LAW&amp;n=465596&amp;dst=98" TargetMode="External"/><Relationship Id="rId38" Type="http://schemas.openxmlformats.org/officeDocument/2006/relationships/hyperlink" Target="https://login.consultant.ru/link/?req=doc&amp;base=LAW&amp;n=465596&amp;dst=97" TargetMode="External"/><Relationship Id="rId46" Type="http://schemas.openxmlformats.org/officeDocument/2006/relationships/hyperlink" Target="https://login.consultant.ru/link/?req=doc&amp;base=LAW&amp;n=465596&amp;dst=99" TargetMode="External"/><Relationship Id="rId2" Type="http://schemas.openxmlformats.org/officeDocument/2006/relationships/settings" Target="settings.xml"/><Relationship Id="rId16" Type="http://schemas.openxmlformats.org/officeDocument/2006/relationships/hyperlink" Target="https://login.consultant.ru/link/?req=doc&amp;base=LAW&amp;n=465596&amp;dst=98" TargetMode="External"/><Relationship Id="rId20" Type="http://schemas.openxmlformats.org/officeDocument/2006/relationships/hyperlink" Target="https://login.consultant.ru/link/?req=doc&amp;base=LAW&amp;n=465596" TargetMode="External"/><Relationship Id="rId29" Type="http://schemas.openxmlformats.org/officeDocument/2006/relationships/hyperlink" Target="https://login.consultant.ru/link/?req=doc&amp;base=LAW&amp;n=465596&amp;dst=89" TargetMode="External"/><Relationship Id="rId41" Type="http://schemas.openxmlformats.org/officeDocument/2006/relationships/hyperlink" Target="https://login.consultant.ru/link/?req=doc&amp;base=LAW&amp;n=465596&amp;dst=117" TargetMode="External"/><Relationship Id="rId1" Type="http://schemas.openxmlformats.org/officeDocument/2006/relationships/styles" Target="styles.xml"/><Relationship Id="rId6" Type="http://schemas.openxmlformats.org/officeDocument/2006/relationships/hyperlink" Target="https://login.consultant.ru/link/?req=doc&amp;base=LAW&amp;n=465596&amp;dst=131" TargetMode="External"/><Relationship Id="rId11" Type="http://schemas.openxmlformats.org/officeDocument/2006/relationships/hyperlink" Target="https://login.consultant.ru/link/?req=doc&amp;base=LAW&amp;n=465596&amp;dst=98" TargetMode="External"/><Relationship Id="rId24" Type="http://schemas.openxmlformats.org/officeDocument/2006/relationships/hyperlink" Target="https://login.consultant.ru/link/?req=doc&amp;base=LAW&amp;n=465596&amp;dst=100045" TargetMode="External"/><Relationship Id="rId32" Type="http://schemas.openxmlformats.org/officeDocument/2006/relationships/hyperlink" Target="https://login.consultant.ru/link/?req=doc&amp;base=LAW&amp;n=465596&amp;dst=97" TargetMode="External"/><Relationship Id="rId37" Type="http://schemas.openxmlformats.org/officeDocument/2006/relationships/hyperlink" Target="https://login.consultant.ru/link/?req=doc&amp;base=LAW&amp;n=465596&amp;dst=93" TargetMode="External"/><Relationship Id="rId40" Type="http://schemas.openxmlformats.org/officeDocument/2006/relationships/hyperlink" Target="https://login.consultant.ru/link/?req=doc&amp;base=LAW&amp;n=465596&amp;dst=115" TargetMode="External"/><Relationship Id="rId45" Type="http://schemas.openxmlformats.org/officeDocument/2006/relationships/hyperlink" Target="https://login.consultant.ru/link/?req=doc&amp;base=LAW&amp;n=465596&amp;dst=93" TargetMode="External"/><Relationship Id="rId5" Type="http://schemas.openxmlformats.org/officeDocument/2006/relationships/hyperlink" Target="https://login.consultant.ru/link/?req=doc&amp;base=LAW&amp;n=465596&amp;dst=124" TargetMode="External"/><Relationship Id="rId15" Type="http://schemas.openxmlformats.org/officeDocument/2006/relationships/hyperlink" Target="https://login.consultant.ru/link/?req=doc&amp;base=LAW&amp;n=465596&amp;dst=97" TargetMode="External"/><Relationship Id="rId23" Type="http://schemas.openxmlformats.org/officeDocument/2006/relationships/hyperlink" Target="https://login.consultant.ru/link/?req=doc&amp;base=LAW&amp;n=465596&amp;dst=89" TargetMode="External"/><Relationship Id="rId28" Type="http://schemas.openxmlformats.org/officeDocument/2006/relationships/hyperlink" Target="https://login.consultant.ru/link/?req=doc&amp;base=LAW&amp;n=465596&amp;dst=106" TargetMode="External"/><Relationship Id="rId36" Type="http://schemas.openxmlformats.org/officeDocument/2006/relationships/hyperlink" Target="https://login.consultant.ru/link/?req=doc&amp;base=LAW&amp;n=465596&amp;dst=100045" TargetMode="External"/><Relationship Id="rId49" Type="http://schemas.openxmlformats.org/officeDocument/2006/relationships/hyperlink" Target="https://login.consultant.ru/link/?req=doc&amp;base=LAW&amp;n=465596&amp;dst=122" TargetMode="External"/><Relationship Id="rId10" Type="http://schemas.openxmlformats.org/officeDocument/2006/relationships/hyperlink" Target="https://login.consultant.ru/link/?req=doc&amp;base=LAW&amp;n=465596&amp;dst=97" TargetMode="External"/><Relationship Id="rId19" Type="http://schemas.openxmlformats.org/officeDocument/2006/relationships/hyperlink" Target="https://login.consultant.ru/link/?req=doc&amp;base=LAW&amp;n=465596&amp;dst=169" TargetMode="External"/><Relationship Id="rId31" Type="http://schemas.openxmlformats.org/officeDocument/2006/relationships/hyperlink" Target="https://login.consultant.ru/link/?req=doc&amp;base=LAW&amp;n=465596&amp;dst=100046" TargetMode="External"/><Relationship Id="rId44" Type="http://schemas.openxmlformats.org/officeDocument/2006/relationships/hyperlink" Target="https://login.consultant.ru/link/?req=doc&amp;base=LAW&amp;n=465596&amp;dst=100124" TargetMode="External"/><Relationship Id="rId4" Type="http://schemas.openxmlformats.org/officeDocument/2006/relationships/hyperlink" Target="https://www.consultant.ru" TargetMode="External"/><Relationship Id="rId9" Type="http://schemas.openxmlformats.org/officeDocument/2006/relationships/hyperlink" Target="https://login.consultant.ru/link/?req=doc&amp;base=LAW&amp;n=465596&amp;dst=94" TargetMode="External"/><Relationship Id="rId14" Type="http://schemas.openxmlformats.org/officeDocument/2006/relationships/hyperlink" Target="https://login.consultant.ru/link/?req=doc&amp;base=LAW&amp;n=465596&amp;dst=94" TargetMode="External"/><Relationship Id="rId22" Type="http://schemas.openxmlformats.org/officeDocument/2006/relationships/hyperlink" Target="https://login.consultant.ru/link/?req=doc&amp;base=LAW&amp;n=465596" TargetMode="External"/><Relationship Id="rId27" Type="http://schemas.openxmlformats.org/officeDocument/2006/relationships/hyperlink" Target="https://login.consultant.ru/link/?req=doc&amp;base=LAW&amp;n=465596&amp;dst=98" TargetMode="External"/><Relationship Id="rId30" Type="http://schemas.openxmlformats.org/officeDocument/2006/relationships/hyperlink" Target="https://login.consultant.ru/link/?req=doc&amp;base=LAW&amp;n=465596&amp;dst=100045" TargetMode="External"/><Relationship Id="rId35" Type="http://schemas.openxmlformats.org/officeDocument/2006/relationships/hyperlink" Target="https://login.consultant.ru/link/?req=doc&amp;base=LAW&amp;n=465596&amp;dst=89" TargetMode="External"/><Relationship Id="rId43" Type="http://schemas.openxmlformats.org/officeDocument/2006/relationships/hyperlink" Target="https://login.consultant.ru/link/?req=doc&amp;base=LAW&amp;n=465596&amp;dst=118" TargetMode="External"/><Relationship Id="rId48" Type="http://schemas.openxmlformats.org/officeDocument/2006/relationships/hyperlink" Target="https://login.consultant.ru/link/?req=doc&amp;base=LAW&amp;n=465596&amp;dst=100274" TargetMode="External"/><Relationship Id="rId8" Type="http://schemas.openxmlformats.org/officeDocument/2006/relationships/hyperlink" Target="https://login.consultant.ru/link/?req=doc&amp;base=LAW&amp;n=465596&amp;dst=100045"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3557</Words>
  <Characters>20275</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2024-04-19T08:41:00Z</dcterms:created>
  <dcterms:modified xsi:type="dcterms:W3CDTF">2024-04-19T08:41:00Z</dcterms:modified>
</cp:coreProperties>
</file>