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sub_213"/>
    <w:p w:rsidR="00B062E0" w:rsidRDefault="00B062E0" w:rsidP="00B062E0">
      <w:pPr>
        <w:pStyle w:val="a5"/>
      </w:pPr>
      <w:r>
        <w:fldChar w:fldCharType="begin"/>
      </w:r>
      <w:r>
        <w:instrText>HYPERLINK "garantF1://12025268.213"</w:instrText>
      </w:r>
      <w:r>
        <w:fldChar w:fldCharType="separate"/>
      </w:r>
      <w:r>
        <w:rPr>
          <w:rStyle w:val="a4"/>
        </w:rPr>
        <w:t>Статья 213</w:t>
      </w:r>
      <w:r>
        <w:fldChar w:fldCharType="end"/>
      </w:r>
      <w:r>
        <w:t>. Медицинские осмотры некоторых категорий работников</w:t>
      </w:r>
    </w:p>
    <w:bookmarkEnd w:id="0"/>
    <w:p w:rsidR="00B062E0" w:rsidRDefault="00B062E0" w:rsidP="00B062E0">
      <w:r>
        <w:t xml:space="preserve">1. Комментируемая </w:t>
      </w:r>
      <w:hyperlink r:id="rId5" w:history="1">
        <w:r>
          <w:rPr>
            <w:rStyle w:val="a4"/>
          </w:rPr>
          <w:t>статья</w:t>
        </w:r>
      </w:hyperlink>
      <w:r>
        <w:t xml:space="preserve"> определяет порядок проведения обязательных медицинских осмотров, определяя основания и цели их проведения, порядок оплаты. Данная статья является отправной при рассмотрении обязанностей работодателя по проведению обязательных медицинских осмотров.</w:t>
      </w:r>
    </w:p>
    <w:p w:rsidR="00B062E0" w:rsidRDefault="00B062E0" w:rsidP="00B062E0">
      <w:r>
        <w:t xml:space="preserve">В число лиц, в отношении которых установлено обязательное прохождение медицинских осмотров, согласно </w:t>
      </w:r>
      <w:hyperlink r:id="rId6" w:history="1">
        <w:r>
          <w:rPr>
            <w:rStyle w:val="a4"/>
          </w:rPr>
          <w:t>ч. 1</w:t>
        </w:r>
      </w:hyperlink>
      <w:r>
        <w:t xml:space="preserve"> комментируемой статьи входят работники, занятые во вредных и (или) опасных условиях труда, т.е. те, на чьих местах по результатам специальной оценки условий труда установлен 3 или 4 класс условий труда. На практике же медицинские осмотры проходят и те работники, в отношении рабочих мест которых по результатам специальной оценки установлен 2 класс условий труда. Данная ситуация сложилась в связи с нечеткими формулировками оснований проведения медицинских осмотров, содержащимися в </w:t>
      </w:r>
      <w:hyperlink r:id="rId7" w:history="1">
        <w:r>
          <w:rPr>
            <w:rStyle w:val="a4"/>
          </w:rPr>
          <w:t>Порядке</w:t>
        </w:r>
      </w:hyperlink>
      <w:r>
        <w:t xml:space="preserve"> проведения обязательных предварительных и периодических медицинских осмотров (обследований) работников, занятых на тяжелых работах и на работах с вредными и (или) опасными условиями труда, утв. </w:t>
      </w:r>
      <w:hyperlink r:id="rId8" w:history="1">
        <w:r>
          <w:rPr>
            <w:rStyle w:val="a4"/>
          </w:rPr>
          <w:t>приказом</w:t>
        </w:r>
      </w:hyperlink>
      <w:r>
        <w:t xml:space="preserve"> </w:t>
      </w:r>
      <w:proofErr w:type="spellStart"/>
      <w:r>
        <w:t>Минздравсоцразвития</w:t>
      </w:r>
      <w:proofErr w:type="spellEnd"/>
      <w:r>
        <w:t xml:space="preserve"> РФ от 12 апреля 2011 г. N 302н. Согласно данному документу для установления необходимости проведения медицинского осмотра и включения работника в контингенты работников, подлежащих периодическим и (или) предварительным осмотрам, достаточно контакта работника с вредным фактором. В результате данных противоречий на медицинские осмотры зачастую направляются работники, на рабочих местах которых уровни и концентрации вредных факторов не превышают допустимых значений, что становится причиной необоснованного установления наличия у них противопоказаний к работе.</w:t>
      </w:r>
    </w:p>
    <w:p w:rsidR="00B062E0" w:rsidRDefault="00B062E0" w:rsidP="00B062E0"/>
    <w:p w:rsidR="00B062E0" w:rsidRDefault="00B062E0" w:rsidP="00B062E0">
      <w:r>
        <w:rPr>
          <w:rStyle w:val="a3"/>
        </w:rPr>
        <w:t>Пример:</w:t>
      </w:r>
      <w:r>
        <w:t xml:space="preserve"> так, при проведении очередного медосмотра в ОАО ЕВРАЗ КГОК 6 человек обратились в профсоюзную организацию за защитой своих прав в связи с тем, что на медицинском осмотре в их отношении было установлено наличие противопоказаний к работе в связи с наличием на теле родимых пятен. Среди работавших были водители, машинисты тепловозов. По результатам медицинского осмотра работодатель издал приказ об отстранении работников от работы с перспективой дальнейшего увольнения. Профсоюзная организация обратилась в Минздрав РФ, который перенаправил обращение главному внештатному специалисту </w:t>
      </w:r>
      <w:proofErr w:type="spellStart"/>
      <w:r>
        <w:t>профпатологу</w:t>
      </w:r>
      <w:proofErr w:type="spellEnd"/>
      <w:r>
        <w:t xml:space="preserve"> ФМБА России и Минздрава РФ. На обращение был подготовлен ответ, из которого следует один вывод - предварительные и периодические медицинские осмотры в отношении производственного фактора организуются работодателем только в тех случаях, когда данный производственный фактор характеризуется вредными или опасными условиями труда (класс условий труда 3.1 и выше). </w:t>
      </w:r>
      <w:proofErr w:type="gramStart"/>
      <w:r>
        <w:t>Таким образом, в случае необоснованного внесения работодателем в направление на предварительный (периодический) медицинский осмотр производственных факторов, характеризующихся классом условий труда 1 или 2, данное направление подлежит переоформлению с исключением указанных производственных факторов и последующим изменением заключения медицинской организации по результатам пройденного медицинского осмотра (см. письмо ФГБУ ГНЦ ФМБЦ им. А.И. </w:t>
      </w:r>
      <w:proofErr w:type="spellStart"/>
      <w:r>
        <w:t>Бурназяна</w:t>
      </w:r>
      <w:proofErr w:type="spellEnd"/>
      <w:r>
        <w:t xml:space="preserve"> ФМБА России от 19 декабря 2014 г. N</w:t>
      </w:r>
      <w:proofErr w:type="gramEnd"/>
      <w:r>
        <w:t> </w:t>
      </w:r>
      <w:proofErr w:type="gramStart"/>
      <w:r>
        <w:t>1-08/2385).</w:t>
      </w:r>
      <w:proofErr w:type="gramEnd"/>
    </w:p>
    <w:p w:rsidR="00B062E0" w:rsidRDefault="00B062E0" w:rsidP="00B062E0">
      <w:proofErr w:type="gramStart"/>
      <w:r>
        <w:t xml:space="preserve">Указанное подтверждается и судебной практикой: к примеру, ФАС Центрального округа было вынесено решение, в котором отмечалось, что при ликвидации рабочих мест с вредными и (или) опасными условиями труда, подпадающих под перечень работ, при проведении которых проводятся медицинские осмотры, предприятие не обязано осуществлять медицинские </w:t>
      </w:r>
      <w:r>
        <w:lastRenderedPageBreak/>
        <w:t xml:space="preserve">осмотры работников, предусмотренные комментируемой </w:t>
      </w:r>
      <w:hyperlink r:id="rId9" w:history="1">
        <w:r>
          <w:rPr>
            <w:rStyle w:val="a4"/>
          </w:rPr>
          <w:t>статьей</w:t>
        </w:r>
      </w:hyperlink>
      <w:r>
        <w:t xml:space="preserve"> (см. </w:t>
      </w:r>
      <w:hyperlink r:id="rId10" w:history="1">
        <w:r>
          <w:rPr>
            <w:rStyle w:val="a4"/>
          </w:rPr>
          <w:t>постановлении</w:t>
        </w:r>
      </w:hyperlink>
      <w:r>
        <w:t xml:space="preserve"> ФАС Центрального округа от 17 августа 2011 г. по делу</w:t>
      </w:r>
      <w:proofErr w:type="gramEnd"/>
      <w:r>
        <w:t xml:space="preserve"> </w:t>
      </w:r>
      <w:proofErr w:type="gramStart"/>
      <w:r>
        <w:t>N А68-9273/10).</w:t>
      </w:r>
      <w:proofErr w:type="gramEnd"/>
    </w:p>
    <w:p w:rsidR="00B062E0" w:rsidRDefault="00B062E0" w:rsidP="00B062E0"/>
    <w:p w:rsidR="00B062E0" w:rsidRDefault="00B062E0" w:rsidP="00B062E0">
      <w:r>
        <w:t xml:space="preserve">Второй категорией работников, прохождение которыми медицинских осмотров обязательно, в соответствии с </w:t>
      </w:r>
      <w:hyperlink r:id="rId11" w:history="1">
        <w:r>
          <w:rPr>
            <w:rStyle w:val="a4"/>
          </w:rPr>
          <w:t>ч. 1</w:t>
        </w:r>
      </w:hyperlink>
      <w:r>
        <w:t xml:space="preserve"> комментируемой статьи являются работники, занятые на подземных работах. Для установления обязательности прохождения медицинских осмотров в отношении данных работников не требуется информации, полученной по результатам специальной оценки условий труда, так как основанием для их проведения служит сам факт осуществления работ под землей. Помимо нормы комментируемой статьи на работников, занятых на подземных работах, распространяется норма </w:t>
      </w:r>
      <w:hyperlink r:id="rId12" w:history="1">
        <w:r>
          <w:rPr>
            <w:rStyle w:val="a4"/>
          </w:rPr>
          <w:t>ст. 330.3</w:t>
        </w:r>
      </w:hyperlink>
      <w:r>
        <w:t xml:space="preserve"> ТК РФ, которая определяет, что данная категория работников должна проходить медицинские осмотры (обследования) в начале рабочего дня (смены), а также в течение и (или) в конце рабочего дня (смены), организуемые работодателем.</w:t>
      </w:r>
    </w:p>
    <w:p w:rsidR="00B062E0" w:rsidRDefault="00B062E0" w:rsidP="00B062E0">
      <w:r>
        <w:t xml:space="preserve">Третьей категорией работников, упоминаемой в </w:t>
      </w:r>
      <w:hyperlink r:id="rId13" w:history="1">
        <w:r>
          <w:rPr>
            <w:rStyle w:val="a4"/>
          </w:rPr>
          <w:t>ч. 1</w:t>
        </w:r>
      </w:hyperlink>
      <w:r>
        <w:t xml:space="preserve"> комментируемой статьи, являются работники, выполняющие работы, связанные с движением транспорта. Следует обратить внимание на используемую законодателем формулировку: не "управляющие транспортом", а "связанные с движением транспорта", т.е. в число работников, прохождение которыми медицинских осмотров является обязательным, помимо водителей и машинистов должны входить работники, связанные с диспетчеризацией, линейным обслуживанием, выпуском транспорта в рейс, и другие категории работников.</w:t>
      </w:r>
    </w:p>
    <w:p w:rsidR="00B062E0" w:rsidRDefault="00B062E0" w:rsidP="00B062E0">
      <w:r>
        <w:t xml:space="preserve">Помимо этого, согласно </w:t>
      </w:r>
      <w:hyperlink r:id="rId14" w:history="1">
        <w:r>
          <w:rPr>
            <w:rStyle w:val="a4"/>
          </w:rPr>
          <w:t>ч. 5</w:t>
        </w:r>
      </w:hyperlink>
      <w:r>
        <w:t xml:space="preserve"> комментируемой статьи в случае необходимости по решению органов местного самоуправления у отдельных работодателей могут вводиться дополнительные условия и показания к проведению обязательных медицинских осмотров.</w:t>
      </w:r>
    </w:p>
    <w:p w:rsidR="00B062E0" w:rsidRDefault="00B062E0" w:rsidP="00B062E0">
      <w:hyperlink r:id="rId15" w:history="1">
        <w:r>
          <w:rPr>
            <w:rStyle w:val="a4"/>
          </w:rPr>
          <w:t>Частью 1</w:t>
        </w:r>
      </w:hyperlink>
      <w:r>
        <w:t xml:space="preserve"> комментируемой статьи также определяются виды и цели медицинских осмотров.</w:t>
      </w:r>
    </w:p>
    <w:p w:rsidR="00B062E0" w:rsidRDefault="00B062E0" w:rsidP="00B062E0">
      <w:r>
        <w:t xml:space="preserve">Целью медицинских осмотров, проводимых в отношении вышеуказанных работников, является </w:t>
      </w:r>
      <w:proofErr w:type="spellStart"/>
      <w:r>
        <w:t>непричинение</w:t>
      </w:r>
      <w:proofErr w:type="spellEnd"/>
      <w:r>
        <w:t xml:space="preserve"> вреда их здоровью и предупреждение профессиональных заболеваний. При этом стоит отметить, что к категории работников, связанных с движением транспорта, больше применима вторая цель, предусмотренная комментируемой </w:t>
      </w:r>
      <w:hyperlink r:id="rId16" w:history="1">
        <w:r>
          <w:rPr>
            <w:rStyle w:val="a4"/>
          </w:rPr>
          <w:t>статьей</w:t>
        </w:r>
      </w:hyperlink>
      <w:r>
        <w:t xml:space="preserve">, - </w:t>
      </w:r>
      <w:proofErr w:type="spellStart"/>
      <w:r>
        <w:t>непричинение</w:t>
      </w:r>
      <w:proofErr w:type="spellEnd"/>
      <w:r>
        <w:t xml:space="preserve"> вреда окружающим.</w:t>
      </w:r>
    </w:p>
    <w:p w:rsidR="00B062E0" w:rsidRDefault="00B062E0" w:rsidP="00B062E0">
      <w:r>
        <w:t xml:space="preserve">Говоря о медицинских осмотрах водителей, следует отметить необходимость проведения оптимизации действующего законодательства путем совмещения в отношении трудоустроенных водителей медицинских освидетельствований, проводимых в соответствии с требованиями </w:t>
      </w:r>
      <w:hyperlink r:id="rId17" w:history="1">
        <w:r>
          <w:rPr>
            <w:rStyle w:val="a4"/>
          </w:rPr>
          <w:t>ст. 23</w:t>
        </w:r>
      </w:hyperlink>
      <w:r>
        <w:t xml:space="preserve"> Федерального закона от 10 декабря 1995 г. N 196-ФЗ "О безопасности дорожного движения", и обязательных медицинских осмотров в соответствии с требованиями комментируемой статьи. Проведение данных медицинских осмотров, практически одинаковых по объему, вынуждает производить двойные затраты - медицинские освидетельствования оплачиваются водителем, медосмотры в соответствии с </w:t>
      </w:r>
      <w:hyperlink r:id="rId18" w:history="1">
        <w:r>
          <w:rPr>
            <w:rStyle w:val="a4"/>
          </w:rPr>
          <w:t>ч. 2 ст. 213</w:t>
        </w:r>
      </w:hyperlink>
      <w:r>
        <w:t xml:space="preserve"> ТК РФ - работодателем. Помимо этого, прохождение медицинских осмотров требует и немалых временных затрат вследствие загруженности медицинских работников и организаций.</w:t>
      </w:r>
    </w:p>
    <w:p w:rsidR="00B062E0" w:rsidRDefault="00B062E0" w:rsidP="00B062E0">
      <w:r>
        <w:t xml:space="preserve">К видам медицинских осмотров в отношении вышеуказанных категорий работников относятся предварительные (при поступлении на работу) и периодические (в процессе работы) медицинские осмотры. В соответствии с целью охраны здоровья молодежи комментируемой </w:t>
      </w:r>
      <w:hyperlink r:id="rId19" w:history="1">
        <w:r>
          <w:rPr>
            <w:rStyle w:val="a4"/>
          </w:rPr>
          <w:t>статьей</w:t>
        </w:r>
      </w:hyperlink>
      <w:r>
        <w:t xml:space="preserve"> введена норма по ежегодному проведению медицинских осмотров лиц в возрасте до 21 года, занятых на вышеуказанных работах. При этом лица в возрасте до 18 лет </w:t>
      </w:r>
      <w:r>
        <w:lastRenderedPageBreak/>
        <w:t xml:space="preserve">независимо от занятости на таких работах также ежегодно проходят медицинские осмотры в соответствии с требованиями </w:t>
      </w:r>
      <w:hyperlink r:id="rId20" w:history="1">
        <w:r>
          <w:rPr>
            <w:rStyle w:val="a4"/>
          </w:rPr>
          <w:t>ст. 226</w:t>
        </w:r>
      </w:hyperlink>
      <w:r>
        <w:t xml:space="preserve"> ТК РФ.</w:t>
      </w:r>
    </w:p>
    <w:p w:rsidR="00B062E0" w:rsidRDefault="00B062E0" w:rsidP="00B062E0">
      <w:proofErr w:type="gramStart"/>
      <w:r>
        <w:t xml:space="preserve">Характеристика видов медицинских осмотров дана в </w:t>
      </w:r>
      <w:hyperlink r:id="rId21" w:history="1">
        <w:r>
          <w:rPr>
            <w:rStyle w:val="a4"/>
          </w:rPr>
          <w:t>ст. 46</w:t>
        </w:r>
      </w:hyperlink>
      <w:r>
        <w:t xml:space="preserve"> ФЗ "Об основах охраны здоровья граждан в РФ", однако в данной статье не идет речи о внеочередных медицинских осмотрах, указанных в комментируемой </w:t>
      </w:r>
      <w:hyperlink r:id="rId22" w:history="1">
        <w:r>
          <w:rPr>
            <w:rStyle w:val="a4"/>
          </w:rPr>
          <w:t>статье</w:t>
        </w:r>
      </w:hyperlink>
      <w:r>
        <w:t xml:space="preserve">. Основание проведения внеочередных медицинских осмотров содержится в </w:t>
      </w:r>
      <w:hyperlink r:id="rId23" w:history="1">
        <w:r>
          <w:rPr>
            <w:rStyle w:val="a4"/>
          </w:rPr>
          <w:t>п. 18</w:t>
        </w:r>
      </w:hyperlink>
      <w:r>
        <w:t xml:space="preserve"> Порядка проведения обязательных предварительных и периодических медицинских осмотров (обследований) работников, занятых на тяжелых работах и на работах с вредными и</w:t>
      </w:r>
      <w:proofErr w:type="gramEnd"/>
      <w:r>
        <w:t xml:space="preserve"> (или) опасными условиями труда, утв. </w:t>
      </w:r>
      <w:hyperlink r:id="rId24" w:history="1">
        <w:r>
          <w:rPr>
            <w:rStyle w:val="a4"/>
          </w:rPr>
          <w:t>приказом</w:t>
        </w:r>
      </w:hyperlink>
      <w:r>
        <w:t xml:space="preserve"> </w:t>
      </w:r>
      <w:proofErr w:type="spellStart"/>
      <w:r>
        <w:t>Минздравсоцразвития</w:t>
      </w:r>
      <w:proofErr w:type="spellEnd"/>
      <w:r>
        <w:t xml:space="preserve"> РФ от 12 апреля 2011 г. N 302н, - в соответствии с выводами, указанными в </w:t>
      </w:r>
      <w:hyperlink r:id="rId25" w:history="1">
        <w:r>
          <w:rPr>
            <w:rStyle w:val="a4"/>
          </w:rPr>
          <w:t>заключительном акте</w:t>
        </w:r>
      </w:hyperlink>
      <w:r>
        <w:t xml:space="preserve"> по результатам периодического медицинского осмотра.</w:t>
      </w:r>
    </w:p>
    <w:p w:rsidR="00B062E0" w:rsidRDefault="00B062E0" w:rsidP="00B062E0">
      <w:r>
        <w:t xml:space="preserve">2. В </w:t>
      </w:r>
      <w:hyperlink r:id="rId26" w:history="1">
        <w:r>
          <w:rPr>
            <w:rStyle w:val="a4"/>
          </w:rPr>
          <w:t>ч. 2</w:t>
        </w:r>
      </w:hyperlink>
      <w:r>
        <w:t xml:space="preserve"> комментируемой статьи отдельно выделена категория работников социальной сферы, в которую входят работники организаций общественного питания, пищевой промышленности, торговли, водоснабжения, медицинских организаций, детских учреждений и др., в результате заболевания которых может возникнуть угроза возникновения и распространения заболеваний. Нередко в сетях общественного питания и детских учреждениях фиксируются вспышки массовых отравлений, причиной которых становятся работники данных организаций, являющиеся носителями инфекционных заболеваний. Данная категория работников на практике носит название "декретированная категория работников". Ранее определялся особый порядок проведения медицинских осмотров для данной категории, сейчас их проведение регулируется тем же порядком, что и для работников, занятых во вредных условиях труда, т.е. </w:t>
      </w:r>
      <w:hyperlink r:id="rId27" w:history="1">
        <w:r>
          <w:rPr>
            <w:rStyle w:val="a4"/>
          </w:rPr>
          <w:t>приложением N 3</w:t>
        </w:r>
      </w:hyperlink>
      <w:r>
        <w:t xml:space="preserve"> к приказу </w:t>
      </w:r>
      <w:proofErr w:type="spellStart"/>
      <w:r>
        <w:t>Минздравсоцразвития</w:t>
      </w:r>
      <w:proofErr w:type="spellEnd"/>
      <w:r>
        <w:t xml:space="preserve"> РФ от 12 апреля 2011 г. N 302н.</w:t>
      </w:r>
    </w:p>
    <w:p w:rsidR="00B062E0" w:rsidRDefault="00B062E0" w:rsidP="00B062E0">
      <w:r>
        <w:t xml:space="preserve">Дополнительно требования о необходимости прохождения медицинских осмотров работниками, занятыми обработкой и обращением с пищевыми продуктами, устанавливаются в </w:t>
      </w:r>
      <w:hyperlink r:id="rId28" w:history="1">
        <w:r>
          <w:rPr>
            <w:rStyle w:val="a4"/>
          </w:rPr>
          <w:t>ст. 23</w:t>
        </w:r>
      </w:hyperlink>
      <w:r>
        <w:t xml:space="preserve"> Федерального закона от 2 января 2000 г. N 29-ФЗ "О качестве и безопасности пищевых продуктов".</w:t>
      </w:r>
    </w:p>
    <w:p w:rsidR="00B062E0" w:rsidRDefault="00B062E0" w:rsidP="00B062E0">
      <w:r>
        <w:t>Заблуждением со стороны многих работников и работодателей, занятых в рассматриваемых видах деятельности, является мнение, что основой для допуска работника к работе служит медицинская книжка, хотя с точки зрения трудового законодательства основанием для допуска работника служит заключение или заключительный акт по результатам предварительного или периодического медицинского осмотра.</w:t>
      </w:r>
    </w:p>
    <w:p w:rsidR="00B062E0" w:rsidRDefault="00B062E0" w:rsidP="00B062E0">
      <w:proofErr w:type="gramStart"/>
      <w:r>
        <w:t xml:space="preserve">Необходимость наличия медицинской книжки и порядок ее ведения регламентированы санитарно-эпидемиологическим законодательством - </w:t>
      </w:r>
      <w:hyperlink r:id="rId29" w:history="1">
        <w:r>
          <w:rPr>
            <w:rStyle w:val="a4"/>
          </w:rPr>
          <w:t>ст. 34</w:t>
        </w:r>
      </w:hyperlink>
      <w:r>
        <w:t xml:space="preserve"> ФЗ "О санитарно-эпидемиологическом благополучии населения", </w:t>
      </w:r>
      <w:hyperlink r:id="rId30" w:history="1">
        <w:r>
          <w:rPr>
            <w:rStyle w:val="a4"/>
          </w:rPr>
          <w:t>приказом</w:t>
        </w:r>
      </w:hyperlink>
      <w:r>
        <w:t xml:space="preserve"> Минздрава РФ от 29 июня 2000 г. N 229 "О профессиональной гигиенической подготовке и аттестации должностных лиц и работников организаций", </w:t>
      </w:r>
      <w:hyperlink r:id="rId31" w:history="1">
        <w:r>
          <w:rPr>
            <w:rStyle w:val="a4"/>
          </w:rPr>
          <w:t>приказом</w:t>
        </w:r>
      </w:hyperlink>
      <w:r>
        <w:t xml:space="preserve"> </w:t>
      </w:r>
      <w:proofErr w:type="spellStart"/>
      <w:r>
        <w:t>Роспотребнадзора</w:t>
      </w:r>
      <w:proofErr w:type="spellEnd"/>
      <w:r>
        <w:t xml:space="preserve"> от 20 мая 2005 г. N 402 "О личной медицинской книжке и санитарном паспорте".</w:t>
      </w:r>
      <w:proofErr w:type="gramEnd"/>
    </w:p>
    <w:p w:rsidR="00B062E0" w:rsidRDefault="00B062E0" w:rsidP="00B062E0">
      <w:r>
        <w:t xml:space="preserve">В связи с этим получается, что на декретированных работников распространяются требования как трудового, так и санитарного законодательства, следовательно, они должны пройти медицинский осмотр с включением исследований и обследований, необходимых с точки зрения санитарного законодательства, а также в соответствии с </w:t>
      </w:r>
      <w:hyperlink r:id="rId32" w:history="1">
        <w:r>
          <w:rPr>
            <w:rStyle w:val="a4"/>
          </w:rPr>
          <w:t>ч. 1</w:t>
        </w:r>
      </w:hyperlink>
      <w:r>
        <w:t xml:space="preserve"> комментируемой статьи - при наличии вредных условий труда.</w:t>
      </w:r>
    </w:p>
    <w:p w:rsidR="00B062E0" w:rsidRDefault="00B062E0" w:rsidP="00B062E0">
      <w:r>
        <w:t xml:space="preserve">Отсутствие у работника медицинской книжки или ее ненадлежащее оформление дает основание для привлечения работодателя к административной ответственности по </w:t>
      </w:r>
      <w:hyperlink r:id="rId33" w:history="1">
        <w:r>
          <w:rPr>
            <w:rStyle w:val="a4"/>
          </w:rPr>
          <w:t>ст. 6.3</w:t>
        </w:r>
      </w:hyperlink>
      <w:r>
        <w:t xml:space="preserve"> КоАП РФ, которая предусматривает следующие административные наказания:</w:t>
      </w:r>
    </w:p>
    <w:p w:rsidR="00B062E0" w:rsidRDefault="00B062E0" w:rsidP="00B062E0">
      <w:r>
        <w:lastRenderedPageBreak/>
        <w:t>для граждан - предупреждение или наложение административного штрафа в размере от 100 до 500 руб.;</w:t>
      </w:r>
    </w:p>
    <w:p w:rsidR="00B062E0" w:rsidRDefault="00B062E0" w:rsidP="00B062E0">
      <w:r>
        <w:t>для должностных лиц - штраф от 500 до 1 000 руб.;</w:t>
      </w:r>
    </w:p>
    <w:p w:rsidR="00B062E0" w:rsidRDefault="00B062E0" w:rsidP="00B062E0">
      <w:r>
        <w:t>для лиц, осуществляющих предпринимательскую деятельность без образования юридического лица, - штраф от 500 до 1 000 руб. или административное приостановление деятельности на срок до девяноста суток;</w:t>
      </w:r>
    </w:p>
    <w:p w:rsidR="00B062E0" w:rsidRDefault="00B062E0" w:rsidP="00B062E0">
      <w:r>
        <w:t>для юридических лиц - штраф от 10 000 до 20 000 руб. или административное приостановление деятельности на срок до девяноста суток.</w:t>
      </w:r>
    </w:p>
    <w:p w:rsidR="00B062E0" w:rsidRDefault="00B062E0" w:rsidP="00B062E0">
      <w:proofErr w:type="gramStart"/>
      <w:r>
        <w:t xml:space="preserve">В то же время допуск вышеуказанных работников к работе без проведения обязательных медицинских осмотров или при наличии противопоказаний влечет привлечение работодателя к административной ответственности по </w:t>
      </w:r>
      <w:hyperlink r:id="rId34" w:history="1">
        <w:r>
          <w:rPr>
            <w:rStyle w:val="a4"/>
          </w:rPr>
          <w:t>ч. 3 ст. 5.27.1</w:t>
        </w:r>
      </w:hyperlink>
      <w:r>
        <w:t xml:space="preserve"> КоАП РФ в виде наложения административного штрафа на должностных лиц в размере от 15 000 до 25 000 руб.; на юридических лиц - от 110 000 до 130 000 руб. за каждого</w:t>
      </w:r>
      <w:proofErr w:type="gramEnd"/>
      <w:r>
        <w:t xml:space="preserve"> допущенного работника.</w:t>
      </w:r>
    </w:p>
    <w:p w:rsidR="00B062E0" w:rsidRDefault="00B062E0" w:rsidP="00B062E0">
      <w:proofErr w:type="gramStart"/>
      <w:r>
        <w:t>Для методической помощи при организации медицинских осмотров декретированных работников Департаментом госсанэпиднадзора Минздрава РФ подготовлен примерный перечень профессий должностных лиц и работников организаций, деятельность которых связана с производством, хранением, транспортировкой и реализацией пищевых продуктов и питьевой воды, воспитанием и обучением детей, коммунальным и бытовым обслуживанием населения, обязанных проходить при поступлении на работу и в дальнейшем - периодическую профессиональную гигиеническую подготовку и аттестацию</w:t>
      </w:r>
      <w:proofErr w:type="gramEnd"/>
      <w:r>
        <w:t xml:space="preserve"> (</w:t>
      </w:r>
      <w:hyperlink r:id="rId35" w:history="1">
        <w:r>
          <w:rPr>
            <w:rStyle w:val="a4"/>
          </w:rPr>
          <w:t>письмо</w:t>
        </w:r>
      </w:hyperlink>
      <w:r>
        <w:t xml:space="preserve"> Минздрава РФ от 07 августа 2000 г. N 1100/2196-0-117 "О направлении перечня профессий").</w:t>
      </w:r>
    </w:p>
    <w:p w:rsidR="00C73352" w:rsidRDefault="00C73352">
      <w:bookmarkStart w:id="1" w:name="_GoBack"/>
      <w:bookmarkEnd w:id="1"/>
    </w:p>
    <w:sectPr w:rsidR="00C733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E0"/>
    <w:rsid w:val="00B062E0"/>
    <w:rsid w:val="00C73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2E0"/>
    <w:pPr>
      <w:widowControl w:val="0"/>
      <w:autoSpaceDE w:val="0"/>
      <w:autoSpaceDN w:val="0"/>
      <w:adjustRightInd w:val="0"/>
      <w:spacing w:after="0" w:line="240" w:lineRule="auto"/>
      <w:ind w:firstLine="720"/>
      <w:jc w:val="both"/>
    </w:pPr>
    <w:rPr>
      <w:rFonts w:ascii="Arial" w:eastAsiaTheme="minorEastAsia" w:hAnsi="Arial" w:cs="Arial"/>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sid w:val="00B062E0"/>
    <w:rPr>
      <w:b/>
      <w:bCs/>
      <w:color w:val="26282F"/>
    </w:rPr>
  </w:style>
  <w:style w:type="character" w:customStyle="1" w:styleId="a4">
    <w:name w:val="Гипертекстовая ссылка"/>
    <w:basedOn w:val="a3"/>
    <w:uiPriority w:val="99"/>
    <w:rsid w:val="00B062E0"/>
    <w:rPr>
      <w:color w:val="106BBE"/>
    </w:rPr>
  </w:style>
  <w:style w:type="paragraph" w:customStyle="1" w:styleId="a5">
    <w:name w:val="Заголовок статьи"/>
    <w:basedOn w:val="a"/>
    <w:next w:val="a"/>
    <w:uiPriority w:val="99"/>
    <w:rsid w:val="00B062E0"/>
    <w:pPr>
      <w:ind w:left="1612" w:hanging="892"/>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2E0"/>
    <w:pPr>
      <w:widowControl w:val="0"/>
      <w:autoSpaceDE w:val="0"/>
      <w:autoSpaceDN w:val="0"/>
      <w:adjustRightInd w:val="0"/>
      <w:spacing w:after="0" w:line="240" w:lineRule="auto"/>
      <w:ind w:firstLine="720"/>
      <w:jc w:val="both"/>
    </w:pPr>
    <w:rPr>
      <w:rFonts w:ascii="Arial" w:eastAsiaTheme="minorEastAsia" w:hAnsi="Arial" w:cs="Arial"/>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sid w:val="00B062E0"/>
    <w:rPr>
      <w:b/>
      <w:bCs/>
      <w:color w:val="26282F"/>
    </w:rPr>
  </w:style>
  <w:style w:type="character" w:customStyle="1" w:styleId="a4">
    <w:name w:val="Гипертекстовая ссылка"/>
    <w:basedOn w:val="a3"/>
    <w:uiPriority w:val="99"/>
    <w:rsid w:val="00B062E0"/>
    <w:rPr>
      <w:color w:val="106BBE"/>
    </w:rPr>
  </w:style>
  <w:style w:type="paragraph" w:customStyle="1" w:styleId="a5">
    <w:name w:val="Заголовок статьи"/>
    <w:basedOn w:val="a"/>
    <w:next w:val="a"/>
    <w:uiPriority w:val="99"/>
    <w:rsid w:val="00B062E0"/>
    <w:pPr>
      <w:ind w:left="1612" w:hanging="8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arantF1://12091202.0" TargetMode="External"/><Relationship Id="rId13" Type="http://schemas.openxmlformats.org/officeDocument/2006/relationships/hyperlink" Target="garantF1://12025268.21301" TargetMode="External"/><Relationship Id="rId18" Type="http://schemas.openxmlformats.org/officeDocument/2006/relationships/hyperlink" Target="garantF1://12025268.2132" TargetMode="External"/><Relationship Id="rId26" Type="http://schemas.openxmlformats.org/officeDocument/2006/relationships/hyperlink" Target="garantF1://12025268.2132" TargetMode="External"/><Relationship Id="rId3" Type="http://schemas.openxmlformats.org/officeDocument/2006/relationships/settings" Target="settings.xml"/><Relationship Id="rId21" Type="http://schemas.openxmlformats.org/officeDocument/2006/relationships/hyperlink" Target="garantF1://12091967.46" TargetMode="External"/><Relationship Id="rId34" Type="http://schemas.openxmlformats.org/officeDocument/2006/relationships/hyperlink" Target="garantF1://12025267.52713" TargetMode="External"/><Relationship Id="rId7" Type="http://schemas.openxmlformats.org/officeDocument/2006/relationships/hyperlink" Target="garantF1://12091202.3000" TargetMode="External"/><Relationship Id="rId12" Type="http://schemas.openxmlformats.org/officeDocument/2006/relationships/hyperlink" Target="garantF1://12025268.330003" TargetMode="External"/><Relationship Id="rId17" Type="http://schemas.openxmlformats.org/officeDocument/2006/relationships/hyperlink" Target="garantF1://10005643.23" TargetMode="External"/><Relationship Id="rId25" Type="http://schemas.openxmlformats.org/officeDocument/2006/relationships/hyperlink" Target="garantF1://12091202.90000" TargetMode="External"/><Relationship Id="rId33" Type="http://schemas.openxmlformats.org/officeDocument/2006/relationships/hyperlink" Target="garantF1://12025267.63" TargetMode="External"/><Relationship Id="rId2" Type="http://schemas.microsoft.com/office/2007/relationships/stylesWithEffects" Target="stylesWithEffects.xml"/><Relationship Id="rId16" Type="http://schemas.openxmlformats.org/officeDocument/2006/relationships/hyperlink" Target="garantF1://12025268.213" TargetMode="External"/><Relationship Id="rId20" Type="http://schemas.openxmlformats.org/officeDocument/2006/relationships/hyperlink" Target="garantF1://12025268.226" TargetMode="External"/><Relationship Id="rId29" Type="http://schemas.openxmlformats.org/officeDocument/2006/relationships/hyperlink" Target="garantF1://12015118.34" TargetMode="External"/><Relationship Id="rId1" Type="http://schemas.openxmlformats.org/officeDocument/2006/relationships/styles" Target="styles.xml"/><Relationship Id="rId6" Type="http://schemas.openxmlformats.org/officeDocument/2006/relationships/hyperlink" Target="garantF1://12025268.21301" TargetMode="External"/><Relationship Id="rId11" Type="http://schemas.openxmlformats.org/officeDocument/2006/relationships/hyperlink" Target="garantF1://12025268.21301" TargetMode="External"/><Relationship Id="rId24" Type="http://schemas.openxmlformats.org/officeDocument/2006/relationships/hyperlink" Target="garantF1://12091202.0" TargetMode="External"/><Relationship Id="rId32" Type="http://schemas.openxmlformats.org/officeDocument/2006/relationships/hyperlink" Target="garantF1://12025268.21301" TargetMode="External"/><Relationship Id="rId37" Type="http://schemas.openxmlformats.org/officeDocument/2006/relationships/theme" Target="theme/theme1.xml"/><Relationship Id="rId5" Type="http://schemas.openxmlformats.org/officeDocument/2006/relationships/hyperlink" Target="garantF1://12025268.213" TargetMode="External"/><Relationship Id="rId15" Type="http://schemas.openxmlformats.org/officeDocument/2006/relationships/hyperlink" Target="garantF1://12025268.21301" TargetMode="External"/><Relationship Id="rId23" Type="http://schemas.openxmlformats.org/officeDocument/2006/relationships/hyperlink" Target="garantF1://12091202.3018" TargetMode="External"/><Relationship Id="rId28" Type="http://schemas.openxmlformats.org/officeDocument/2006/relationships/hyperlink" Target="garantF1://12017866.23" TargetMode="External"/><Relationship Id="rId36" Type="http://schemas.openxmlformats.org/officeDocument/2006/relationships/fontTable" Target="fontTable.xml"/><Relationship Id="rId10" Type="http://schemas.openxmlformats.org/officeDocument/2006/relationships/hyperlink" Target="garantF1://40009724.0" TargetMode="External"/><Relationship Id="rId19" Type="http://schemas.openxmlformats.org/officeDocument/2006/relationships/hyperlink" Target="garantF1://12025268.21301" TargetMode="External"/><Relationship Id="rId31" Type="http://schemas.openxmlformats.org/officeDocument/2006/relationships/hyperlink" Target="garantF1://12040390.0" TargetMode="External"/><Relationship Id="rId4" Type="http://schemas.openxmlformats.org/officeDocument/2006/relationships/webSettings" Target="webSettings.xml"/><Relationship Id="rId9" Type="http://schemas.openxmlformats.org/officeDocument/2006/relationships/hyperlink" Target="garantF1://12025268.213" TargetMode="External"/><Relationship Id="rId14" Type="http://schemas.openxmlformats.org/officeDocument/2006/relationships/hyperlink" Target="garantF1://12025268.2134" TargetMode="External"/><Relationship Id="rId22" Type="http://schemas.openxmlformats.org/officeDocument/2006/relationships/hyperlink" Target="garantF1://12025268.213" TargetMode="External"/><Relationship Id="rId27" Type="http://schemas.openxmlformats.org/officeDocument/2006/relationships/hyperlink" Target="garantF1://12091202.3000" TargetMode="External"/><Relationship Id="rId30" Type="http://schemas.openxmlformats.org/officeDocument/2006/relationships/hyperlink" Target="garantF1://82352.0" TargetMode="External"/><Relationship Id="rId35" Type="http://schemas.openxmlformats.org/officeDocument/2006/relationships/hyperlink" Target="garantF1://120204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1960</Words>
  <Characters>11172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2016-06-22T08:36:00Z</dcterms:created>
  <dcterms:modified xsi:type="dcterms:W3CDTF">2016-06-22T08:36:00Z</dcterms:modified>
</cp:coreProperties>
</file>