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Ցուցահանդեսներ</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Ցանկացած արվեստագետի գործունեության կարևոր տարրերից մեկն է ցուցադրությունը։ Անհատական թէ խմբակային, յուրաքանչյուր ցուցահանդես կարեւոր պահ է ստեղծագործողի համար. ամիսների, մի գուցե` տարիների աշխատանքի արդյունքի ներկայացում, ամփոփում։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 Expositions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Dans la vie d'un artiste, une exposition est un moment très particulier. Exposition personnelle ou exposition de groupe, une exposition représente une étape importante pour chaque artiste, pour son activité. Ce moment de découverte par le public du résultat des mois, et peut-être, des années de recherche et de travail.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