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Ցուցասրահ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Արվեստանոցի կարևոր մաս է կազմում անհատական ցուցասրահը, ուր ցուցադրվում են հին և նոր ստեղծագործություններս, ուր հյուրընկալվում են հաճախորդներն ու արվեստասեր բարեկամները։ Այստեղ են կազմակերպվում նաև բաց դռների օրերը։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Արտագնա ցուցահանդեսների ռիթմը անընդհատ փոփոխություններ է պարտադրում այս հիմնական ցուցադրությունը և ժամանակ առ ժամանակ արվեստանոց այցելողը երբեք չի տեսնում նույն հավաքածուն։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Ցուցասրահը կարելի է այցելել հանդիպում ամրագրելով, իսկ ամառային ամիսներին` նաև հանպատրաստիս։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Galerie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 galerie individuelle représente une partie importante de mon atelier. Ici on découvre mes œuvres plus ou moins récentes, on accueille le public et les amis.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C'est aussi le lieu où se déroulent généralement mes portes-ouvertes.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Au rythme de les exposition en déplacement, la collection exposée change en permanence, les œuvres partent, les autres reviennent, et les visiteurs qui reviennent à nouveau ne retrouvent jamais la même selection.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Pour visiter la galerie suffit de prendre un rendez-vous, mais durant la saison estivale les visiteurs peuvent passer spontanément.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