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1235" w:rsidRPr="00800B1A" w:rsidRDefault="0028618D">
      <w:pPr>
        <w:rPr>
          <w:b/>
        </w:rPr>
      </w:pPr>
      <w:proofErr w:type="spellStart"/>
      <w:r w:rsidRPr="00800B1A">
        <w:rPr>
          <w:rFonts w:ascii="Tahoma" w:eastAsia="Tahoma" w:hAnsi="Tahoma" w:cs="Tahoma"/>
          <w:b/>
        </w:rPr>
        <w:t>Կարմիր</w:t>
      </w:r>
      <w:proofErr w:type="spellEnd"/>
      <w:r w:rsidRPr="00800B1A">
        <w:rPr>
          <w:rFonts w:ascii="Tahoma" w:eastAsia="Tahoma" w:hAnsi="Tahoma" w:cs="Tahoma"/>
          <w:b/>
        </w:rPr>
        <w:t xml:space="preserve"> </w:t>
      </w:r>
      <w:proofErr w:type="spellStart"/>
      <w:r w:rsidRPr="00800B1A">
        <w:rPr>
          <w:rFonts w:ascii="Tahoma" w:eastAsia="Tahoma" w:hAnsi="Tahoma" w:cs="Tahoma"/>
          <w:b/>
        </w:rPr>
        <w:t>ցուլը</w:t>
      </w:r>
      <w:proofErr w:type="spellEnd"/>
    </w:p>
    <w:p w14:paraId="00000002" w14:textId="77777777" w:rsidR="00961235" w:rsidRDefault="00961235"/>
    <w:p w14:paraId="00000003" w14:textId="77777777" w:rsidR="00961235" w:rsidRDefault="0028618D">
      <w:proofErr w:type="spellStart"/>
      <w:r>
        <w:rPr>
          <w:rFonts w:ascii="Tahoma" w:eastAsia="Tahoma" w:hAnsi="Tahoma" w:cs="Tahoma"/>
        </w:rPr>
        <w:t>Հարձակման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պատրաստվող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հզոր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կատարված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ֆրանսիական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կարմիր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մարմարով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Ոճավորված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ծանրաբեռնված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չէ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մանրամասներով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Մակերեսների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մշակման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եղանակը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բացահայտում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կարմիր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հարստությունը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961235" w:rsidRDefault="0028618D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Ստեղծագործությունը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ցուցադրվել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բազմաթիվ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առիթներով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վաճառվել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Լիոնի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հայկական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դպրոցին</w:t>
      </w:r>
      <w:proofErr w:type="spellEnd"/>
      <w:r>
        <w:rPr>
          <w:rFonts w:ascii="Tahoma" w:eastAsia="Tahoma" w:hAnsi="Tahoma" w:cs="Tahoma"/>
        </w:rPr>
        <w:t xml:space="preserve"> ի </w:t>
      </w:r>
      <w:proofErr w:type="spellStart"/>
      <w:r>
        <w:rPr>
          <w:rFonts w:ascii="Tahoma" w:eastAsia="Tahoma" w:hAnsi="Tahoma" w:cs="Tahoma"/>
        </w:rPr>
        <w:t>նպաստ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բարեգործական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միջոցառման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ընթացքում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Լիոնի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Ռիկար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կենտրոնում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2C5C0908" w14:textId="77777777" w:rsidR="00800B1A" w:rsidRDefault="00800B1A">
      <w:pPr>
        <w:rPr>
          <w:rFonts w:ascii="Tahoma" w:eastAsia="Tahoma" w:hAnsi="Tahoma" w:cs="Tahoma"/>
        </w:rPr>
      </w:pPr>
    </w:p>
    <w:p w14:paraId="61D34CE0" w14:textId="77777777" w:rsidR="00800B1A" w:rsidRDefault="00800B1A">
      <w:pPr>
        <w:rPr>
          <w:rFonts w:ascii="Tahoma" w:eastAsia="Tahoma" w:hAnsi="Tahoma" w:cs="Tahoma"/>
        </w:rPr>
      </w:pPr>
    </w:p>
    <w:p w14:paraId="6270F7EE" w14:textId="77777777" w:rsidR="00800B1A" w:rsidRPr="00800B1A" w:rsidRDefault="00800B1A" w:rsidP="00800B1A">
      <w:pPr>
        <w:rPr>
          <w:b/>
          <w:sz w:val="24"/>
          <w:szCs w:val="24"/>
        </w:rPr>
      </w:pPr>
      <w:r w:rsidRPr="00800B1A">
        <w:rPr>
          <w:b/>
          <w:sz w:val="24"/>
          <w:szCs w:val="24"/>
        </w:rPr>
        <w:t>Le taureau rouge</w:t>
      </w:r>
    </w:p>
    <w:p w14:paraId="22E44CF0" w14:textId="77777777" w:rsidR="00800B1A" w:rsidRDefault="00800B1A" w:rsidP="00800B1A"/>
    <w:p w14:paraId="2B68671C" w14:textId="77777777" w:rsidR="00800B1A" w:rsidRDefault="00800B1A" w:rsidP="00800B1A">
      <w:r>
        <w:t>Réalisée dans un petit bloc de marbre rouge de Caunes Minervois et complétée avec des cornes en marbre noir, cette sculpture est posée sur un cube de marbre gris. Grace à multitude de points d’observation avantageuses elle s’inscrit facilement dans l’espace et s’impose malgré ses dimensions modérées. Le polissage et le traitement avancé des surfaces</w:t>
      </w:r>
    </w:p>
    <w:p w14:paraId="5F48616E" w14:textId="77777777" w:rsidR="00800B1A" w:rsidRDefault="00800B1A" w:rsidP="00800B1A">
      <w:proofErr w:type="gramStart"/>
      <w:r>
        <w:t>soulignent</w:t>
      </w:r>
      <w:proofErr w:type="gramEnd"/>
      <w:r>
        <w:t xml:space="preserve"> la richesse de couleur du support. </w:t>
      </w:r>
    </w:p>
    <w:p w14:paraId="76CEA501" w14:textId="77777777" w:rsidR="00800B1A" w:rsidRDefault="00800B1A" w:rsidP="00800B1A">
      <w:r>
        <w:t xml:space="preserve">La sculpture a été exposée à la I Biennale de sculpture du SNSP en 2015, à mon exposition personnelle à Châtel Montagne et à d’autres manifestations. </w:t>
      </w:r>
    </w:p>
    <w:p w14:paraId="709D14B7" w14:textId="77777777" w:rsidR="00800B1A" w:rsidRDefault="00800B1A" w:rsidP="00800B1A">
      <w:r>
        <w:t xml:space="preserve">Exposée à l’Espace Ricard, à Lyon, à l’occasion d’exposition caritative en faveur de l’école arménienne de Lyon, elle a trouvé son acquéreur et fait actuellement partie de sa collection privée. </w:t>
      </w:r>
    </w:p>
    <w:p w14:paraId="02390678" w14:textId="77777777" w:rsidR="00800B1A" w:rsidRDefault="00800B1A"/>
    <w:p w14:paraId="00000005" w14:textId="77777777" w:rsidR="00961235" w:rsidRDefault="00961235">
      <w:bookmarkStart w:id="0" w:name="_GoBack"/>
      <w:bookmarkEnd w:id="0"/>
    </w:p>
    <w:sectPr w:rsidR="00961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35"/>
    <w:rsid w:val="0028618D"/>
    <w:rsid w:val="00800B1A"/>
    <w:rsid w:val="0096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24BE0-14A7-46F0-ADB7-A280F85A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2023-08-25T22:17:00Z</dcterms:created>
  <dcterms:modified xsi:type="dcterms:W3CDTF">2023-08-26T11:49:00Z</dcterms:modified>
</cp:coreProperties>
</file>