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Аналитическая записка</w:t>
      </w:r>
      <w:r>
        <w:rPr>
          <w:b/>
          <w:bCs/>
        </w:rPr>
      </w:r>
    </w:p>
    <w:p>
      <w:r>
        <w:rPr>
          <w:b/>
          <w:bCs/>
        </w:rPr>
        <w:t xml:space="preserve">Цель проекта:</w:t>
      </w:r>
      <w:r>
        <w:t xml:space="preserve"> проанализировать ключевые метрики сервиса доставки еды «</w:t>
      </w:r>
      <w:r>
        <w:t xml:space="preserve">Всё.из.кафе</w:t>
      </w:r>
      <w:r>
        <w:t xml:space="preserve">» в Саранске за период с 1 мая по 30 июня 2021 года.</w:t>
      </w:r>
      <w:r/>
    </w:p>
    <w:p>
      <w:r>
        <w:rPr>
          <w:b/>
          <w:bCs/>
        </w:rPr>
        <w:t xml:space="preserve">Автор:</w:t>
      </w:r>
      <w:r>
        <w:t xml:space="preserve"> </w:t>
      </w:r>
      <w:r>
        <w:t xml:space="preserve">Багликов</w:t>
      </w:r>
      <w:r>
        <w:t xml:space="preserve"> Артур </w:t>
      </w:r>
      <w:r/>
    </w:p>
    <w:p>
      <w:r>
        <w:rPr>
          <w:b/>
          <w:bCs/>
        </w:rPr>
        <w:t xml:space="preserve">Дата:</w:t>
      </w:r>
      <w:r>
        <w:t xml:space="preserve"> </w:t>
      </w:r>
      <w:r>
        <w:t xml:space="preserve">15.04.2025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_x0000_i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  <w:t xml:space="preserve">Результаты анализа ключевых метрик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1. DAU (Daily Active </w:t>
      </w:r>
      <w:r>
        <w:rPr>
          <w:b/>
          <w:bCs/>
        </w:rPr>
        <w:t xml:space="preserve">Users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r>
        <w:t xml:space="preserve">В течение мая и июня наблюдаются значительные колебан</w:t>
      </w:r>
      <w:r>
        <w:t xml:space="preserve">ия числа активных пользователей. Пиковые значения приходятся на 4 мая (85 пользователей), 31 мая и 12–13 июня. В то же время к концу июня активность снижается до ~26–33 пользователей в день. Общий тренд — нестабильный, с признаками падения к концу периода.</w:t>
      </w:r>
      <w:r/>
    </w:p>
    <w:p>
      <w:r>
        <w:rPr>
          <w:b/>
          <w:bCs/>
        </w:rPr>
        <w:t xml:space="preserve">Вывод:</w:t>
      </w:r>
      <w:r>
        <w:t xml:space="preserve"> вероятное влияние оказали внешние факторы (праздники, акции, реклама). Снижение к концу июня может указывать на сезонный спад или проблемы с вовлечением.</w:t>
      </w:r>
      <w:r/>
    </w:p>
    <w:p>
      <w:r>
        <w:rPr>
          <w:b/>
          <w:bCs/>
        </w:rPr>
        <w:t xml:space="preserve">Рекомендации:</w:t>
      </w:r>
      <w:r>
        <w:t xml:space="preserve"> попробовать активизировать коммуникации с текущими пользователями (например, пуши или </w:t>
      </w:r>
      <w:r>
        <w:t xml:space="preserve">email</w:t>
      </w:r>
      <w:r>
        <w:t xml:space="preserve">-цепочки), а также обратить внимание на пользовательский путь для выявления возможных точек оттока.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_x0000_i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 xml:space="preserve">Conversion</w:t>
      </w:r>
      <w:r>
        <w:rPr>
          <w:b/>
          <w:bCs/>
        </w:rPr>
        <w:t xml:space="preserve"> Rate (CR)</w:t>
      </w:r>
      <w:r>
        <w:rPr>
          <w:b/>
          <w:bCs/>
        </w:rPr>
      </w:r>
    </w:p>
    <w:p>
      <w:r>
        <w:t xml:space="preserve">Конверсия колеблется в диапазоне от 0.18 до 0.43. Наблюдаются периоды как стабильности (0.30–0.33), так и резких просадок (0.18, 0.19). Пиковые значения достигали 0.43 в начале мая и 0.38 в середине июня.</w:t>
      </w:r>
      <w:r/>
    </w:p>
    <w:p>
      <w:r>
        <w:rPr>
          <w:b/>
          <w:bCs/>
        </w:rPr>
        <w:t xml:space="preserve">Вывод:</w:t>
      </w:r>
      <w:r>
        <w:t xml:space="preserve"> нестабильный уровень конверсии может быть связан с качеством трафика, сложностью оформления заказа или отсутствием релевантных предложений.</w:t>
      </w:r>
      <w:r/>
    </w:p>
    <w:p>
      <w:r>
        <w:rPr>
          <w:b/>
          <w:bCs/>
        </w:rPr>
        <w:t xml:space="preserve">Рекомендации:</w:t>
      </w:r>
      <w:r>
        <w:t xml:space="preserve"> провести анализ этапов воронки, особенно экрана оформления заказа. Протестировать различные механики рекомендаций.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_x0000_i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  <w:t xml:space="preserve">3. Средний чек</w:t>
      </w:r>
      <w:r>
        <w:rPr>
          <w:b/>
          <w:bCs/>
        </w:rPr>
      </w:r>
    </w:p>
    <w:p>
      <w:r>
        <w:t xml:space="preserve">Средний чек в мае составил </w:t>
      </w:r>
      <w:r>
        <w:rPr>
          <w:b/>
          <w:bCs/>
        </w:rPr>
        <w:t xml:space="preserve">135.88 ₽</w:t>
      </w:r>
      <w:r>
        <w:t xml:space="preserve">, в июне увеличился до </w:t>
      </w:r>
      <w:r>
        <w:rPr>
          <w:b/>
          <w:bCs/>
        </w:rPr>
        <w:t xml:space="preserve">147.66 ₽</w:t>
      </w:r>
      <w:r>
        <w:t xml:space="preserve">. Рост может быть связан с акциями или изменением продуктовой корзины пользователей.</w:t>
      </w:r>
      <w:r/>
    </w:p>
    <w:p>
      <w:r>
        <w:rPr>
          <w:b/>
          <w:bCs/>
        </w:rPr>
        <w:t xml:space="preserve">Вывод:</w:t>
      </w:r>
      <w:r>
        <w:t xml:space="preserve"> рост среднего чека — положительная динамика. Пользователи стали делать более дорогие заказы, что компенсирует падение удержания.</w:t>
      </w:r>
      <w:r/>
    </w:p>
    <w:p>
      <w:r>
        <w:rPr>
          <w:b/>
          <w:bCs/>
        </w:rPr>
        <w:t xml:space="preserve">Рекомендации:</w:t>
      </w:r>
      <w:r>
        <w:t xml:space="preserve"> продолжить продвижение комбо-предложений, стимулировать заказ более дорогих блюд через </w:t>
      </w:r>
      <w:r>
        <w:t xml:space="preserve">апсейл</w:t>
      </w:r>
      <w:r>
        <w:t xml:space="preserve">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_x0000_i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 xml:space="preserve">Retention</w:t>
      </w:r>
      <w:r>
        <w:rPr>
          <w:b/>
          <w:bCs/>
        </w:rPr>
        <w:t xml:space="preserve"> Rate</w:t>
      </w:r>
      <w:r>
        <w:rPr>
          <w:b/>
          <w:bCs/>
        </w:rPr>
      </w:r>
    </w:p>
    <w:p>
      <w:pPr>
        <w:numPr>
          <w:ilvl w:val="0"/>
          <w:numId w:val="1"/>
        </w:numPr>
      </w:pPr>
      <w:r>
        <w:rPr>
          <w:b/>
          <w:bCs/>
        </w:rPr>
        <w:t xml:space="preserve">1-й день:</w:t>
      </w:r>
      <w:r>
        <w:t xml:space="preserve"> 14%</w:t>
      </w:r>
      <w:r/>
    </w:p>
    <w:p>
      <w:pPr>
        <w:numPr>
          <w:ilvl w:val="0"/>
          <w:numId w:val="1"/>
        </w:numPr>
      </w:pPr>
      <w:r>
        <w:rPr>
          <w:b/>
          <w:bCs/>
        </w:rPr>
        <w:t xml:space="preserve">3-й день:</w:t>
      </w:r>
      <w:r>
        <w:t xml:space="preserve"> 5%</w:t>
      </w:r>
      <w:r/>
    </w:p>
    <w:p>
      <w:pPr>
        <w:numPr>
          <w:ilvl w:val="0"/>
          <w:numId w:val="1"/>
        </w:numPr>
      </w:pPr>
      <w:r>
        <w:rPr>
          <w:b/>
          <w:bCs/>
        </w:rPr>
        <w:t xml:space="preserve">7-й день:</w:t>
      </w:r>
      <w:r>
        <w:t xml:space="preserve"> 4%</w:t>
      </w:r>
      <w:r/>
    </w:p>
    <w:p>
      <w:r>
        <w:t xml:space="preserve">Retention</w:t>
      </w:r>
      <w:r>
        <w:t xml:space="preserve"> по когортам показывает:</w:t>
      </w:r>
      <w:r/>
    </w:p>
    <w:p>
      <w:pPr>
        <w:numPr>
          <w:ilvl w:val="0"/>
          <w:numId w:val="2"/>
        </w:numPr>
      </w:pPr>
      <w:r>
        <w:t xml:space="preserve">майские пользователи удерживаются лучше, чем июньские;</w:t>
      </w:r>
      <w:r/>
    </w:p>
    <w:p>
      <w:pPr>
        <w:numPr>
          <w:ilvl w:val="0"/>
          <w:numId w:val="2"/>
        </w:numPr>
      </w:pPr>
      <w:r>
        <w:t xml:space="preserve">большая часть пользователей отваливается в первые два дня.</w:t>
      </w:r>
      <w:r/>
    </w:p>
    <w:p>
      <w:r>
        <w:rPr>
          <w:b/>
          <w:bCs/>
        </w:rPr>
        <w:t xml:space="preserve">Вывод:</w:t>
      </w:r>
      <w:r>
        <w:t xml:space="preserve"> продукт не удерживает новых пользователей после первого использования.</w:t>
      </w:r>
      <w:r/>
    </w:p>
    <w:p>
      <w:r>
        <w:rPr>
          <w:b/>
          <w:bCs/>
        </w:rPr>
        <w:t xml:space="preserve">Рекомендации:</w:t>
      </w:r>
      <w:r>
        <w:t xml:space="preserve"> протестировать </w:t>
      </w:r>
      <w:r>
        <w:t xml:space="preserve">welcome</w:t>
      </w:r>
      <w:r>
        <w:t xml:space="preserve">-механику (скидки, </w:t>
      </w:r>
      <w:r>
        <w:t xml:space="preserve">onboarding</w:t>
      </w:r>
      <w:r>
        <w:t xml:space="preserve">, подборки), а также персонализированные напоминания, а также пересмотреть первую сессию пользователя.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_x0000_i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  <w:t xml:space="preserve">5. Топ-3 ресторана по LTV</w:t>
      </w:r>
      <w:r>
        <w:rPr>
          <w:b/>
          <w:bCs/>
        </w:rPr>
      </w:r>
    </w:p>
    <w:tbl>
      <w:tblPr>
        <w:tblW w:w="0" w:type="auto"/>
        <w:tblCellSpacing w:w="15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38"/>
        <w:gridCol w:w="1404"/>
      </w:tblGrid>
      <w:tr>
        <w:tblPrEx/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Ресторан</w:t>
            </w:r>
            <w:r>
              <w:rPr>
                <w:b/>
                <w:bCs/>
              </w:rPr>
            </w:r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Сумма LTV (₽)</w:t>
            </w:r>
            <w:r>
              <w:rPr>
                <w:b/>
                <w:bCs/>
              </w:rPr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r>
              <w:t xml:space="preserve">Гурманское Наслаждение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r>
              <w:t xml:space="preserve">170 479.19</w:t>
            </w:r>
            <w:r/>
          </w:p>
        </w:tc>
      </w:tr>
      <w:tr>
        <w:tblPrEx/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r>
              <w:t xml:space="preserve">Гастрономический Шторм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r>
              <w:t xml:space="preserve">164 508.16</w:t>
            </w:r>
            <w:r/>
          </w:p>
        </w:tc>
      </w:tr>
      <w:tr>
        <w:tblPrEx/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r>
              <w:t xml:space="preserve">Шоколадный Рай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r>
              <w:t xml:space="preserve">61 199.76</w:t>
            </w:r>
            <w:r/>
          </w:p>
        </w:tc>
      </w:tr>
    </w:tbl>
    <w:p>
      <w:r>
        <w:t xml:space="preserve">Блюда с наибольшим вкладом в LTV:</w:t>
      </w:r>
      <w:r/>
    </w:p>
    <w:p>
      <w:pPr>
        <w:numPr>
          <w:ilvl w:val="0"/>
          <w:numId w:val="3"/>
        </w:numPr>
      </w:pPr>
      <w:r>
        <w:t xml:space="preserve">Все топ-5 блюд — мясные, часть — с рыбой, ни одно — острое.</w:t>
      </w:r>
      <w:r/>
    </w:p>
    <w:p>
      <w:r>
        <w:rPr>
          <w:b/>
          <w:bCs/>
        </w:rPr>
        <w:t xml:space="preserve">Вывод:</w:t>
      </w:r>
      <w:r>
        <w:t xml:space="preserve"> эти два ресторана приносят более 60% комиссии. Пользователи отдают предпочтение сытным, мясным блюдам.</w:t>
      </w:r>
      <w:r/>
    </w:p>
    <w:p>
      <w:r>
        <w:rPr>
          <w:b/>
          <w:bCs/>
        </w:rPr>
        <w:t xml:space="preserve">Рекомендации:</w:t>
      </w:r>
      <w:r>
        <w:t xml:space="preserve"> уделить внимание ресторанам с высоким LTV и рассмотреть возможность продвижения аналогичных блюд в рекомендательной системе.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_x0000_i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  <w:t xml:space="preserve">Общие рекомендации</w:t>
      </w:r>
      <w:r>
        <w:rPr>
          <w:b/>
          <w:bCs/>
        </w:rPr>
      </w:r>
    </w:p>
    <w:p>
      <w:pPr>
        <w:numPr>
          <w:ilvl w:val="0"/>
          <w:numId w:val="4"/>
        </w:numPr>
      </w:pPr>
      <w:r>
        <w:t xml:space="preserve">Повысить удержание за счёт </w:t>
      </w:r>
      <w:r>
        <w:t xml:space="preserve">welcome</w:t>
      </w:r>
      <w:r>
        <w:t xml:space="preserve">-механик и персонализированных акций.</w:t>
      </w:r>
      <w:r/>
    </w:p>
    <w:p>
      <w:pPr>
        <w:numPr>
          <w:ilvl w:val="0"/>
          <w:numId w:val="4"/>
        </w:numPr>
      </w:pPr>
      <w:r>
        <w:t xml:space="preserve">Упростить UX оформления заказа для повышения конверсии.</w:t>
      </w:r>
      <w:r/>
    </w:p>
    <w:p>
      <w:pPr>
        <w:numPr>
          <w:ilvl w:val="0"/>
          <w:numId w:val="4"/>
        </w:numPr>
      </w:pPr>
      <w:r>
        <w:t xml:space="preserve">Продолжить стимулировать рост среднего чека за счёт акций и комбо-наборов.</w:t>
      </w:r>
      <w:r/>
    </w:p>
    <w:p>
      <w:pPr>
        <w:numPr>
          <w:ilvl w:val="0"/>
          <w:numId w:val="4"/>
        </w:numPr>
      </w:pPr>
      <w:r>
        <w:t xml:space="preserve">Сделать акцент на продвижении ключевых ресторанов с высоким LTV.</w:t>
      </w:r>
      <w:r/>
    </w:p>
    <w:p>
      <w:pPr>
        <w:numPr>
          <w:ilvl w:val="0"/>
          <w:numId w:val="4"/>
        </w:numPr>
      </w:pPr>
      <w:r>
        <w:t xml:space="preserve">Мониторить падение DAU и CR к концу июня — возможен сигнал о технических или продуктовых проблемах.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7" name="_x0000_i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r>
        <w:rPr>
          <w:b/>
          <w:bCs/>
        </w:rPr>
        <w:t xml:space="preserve">Итог:</w:t>
      </w:r>
      <w:r>
        <w:t xml:space="preserve"> несмотря на нестабильность в удержании и активности, сервис показывает рост среднего чека и выручки. Есть сильные партнёрские точки роста, на которых стоит сфокусироваться в дальнейшей стратегии развития продукта.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68625"/>
                <wp:effectExtent l="0" t="0" r="3175" b="3175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969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96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33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7180"/>
                <wp:effectExtent l="0" t="0" r="3175" b="127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4394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83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23.4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1930"/>
                <wp:effectExtent l="0" t="0" r="3175" b="3810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374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471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115.9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5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5"/>
    <w:link w:val="62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5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5"/>
    <w:link w:val="62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5"/>
    <w:link w:val="63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5"/>
    <w:link w:val="63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5"/>
    <w:link w:val="6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5"/>
    <w:link w:val="63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5"/>
    <w:link w:val="634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5"/>
    <w:link w:val="647"/>
    <w:uiPriority w:val="10"/>
    <w:rPr>
      <w:sz w:val="48"/>
      <w:szCs w:val="48"/>
    </w:rPr>
  </w:style>
  <w:style w:type="character" w:styleId="37">
    <w:name w:val="Subtitle Char"/>
    <w:basedOn w:val="635"/>
    <w:link w:val="649"/>
    <w:uiPriority w:val="11"/>
    <w:rPr>
      <w:sz w:val="24"/>
      <w:szCs w:val="24"/>
    </w:rPr>
  </w:style>
  <w:style w:type="character" w:styleId="39">
    <w:name w:val="Quote Char"/>
    <w:link w:val="651"/>
    <w:uiPriority w:val="29"/>
    <w:rPr>
      <w:i/>
    </w:rPr>
  </w:style>
  <w:style w:type="character" w:styleId="41">
    <w:name w:val="Intense Quote Char"/>
    <w:link w:val="655"/>
    <w:uiPriority w:val="30"/>
    <w:rPr>
      <w:i/>
    </w:rPr>
  </w:style>
  <w:style w:type="paragraph" w:styleId="42">
    <w:name w:val="Header"/>
    <w:basedOn w:val="62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5"/>
    <w:link w:val="42"/>
    <w:uiPriority w:val="99"/>
  </w:style>
  <w:style w:type="paragraph" w:styleId="44">
    <w:name w:val="Footer"/>
    <w:basedOn w:val="62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5"/>
    <w:link w:val="44"/>
    <w:uiPriority w:val="99"/>
  </w:style>
  <w:style w:type="paragraph" w:styleId="46">
    <w:name w:val="Caption"/>
    <w:basedOn w:val="625"/>
    <w:next w:val="6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5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5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qFormat/>
  </w:style>
  <w:style w:type="paragraph" w:styleId="626">
    <w:name w:val="Heading 1"/>
    <w:basedOn w:val="625"/>
    <w:next w:val="625"/>
    <w:link w:val="638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27">
    <w:name w:val="Heading 2"/>
    <w:basedOn w:val="625"/>
    <w:next w:val="625"/>
    <w:link w:val="639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8">
    <w:name w:val="Heading 3"/>
    <w:basedOn w:val="625"/>
    <w:next w:val="625"/>
    <w:link w:val="640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29">
    <w:name w:val="Heading 4"/>
    <w:basedOn w:val="625"/>
    <w:next w:val="625"/>
    <w:link w:val="641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30">
    <w:name w:val="Heading 5"/>
    <w:basedOn w:val="625"/>
    <w:next w:val="625"/>
    <w:link w:val="642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31">
    <w:name w:val="Heading 6"/>
    <w:basedOn w:val="625"/>
    <w:next w:val="625"/>
    <w:link w:val="643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32">
    <w:name w:val="Heading 7"/>
    <w:basedOn w:val="625"/>
    <w:next w:val="625"/>
    <w:link w:val="644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33">
    <w:name w:val="Heading 8"/>
    <w:basedOn w:val="625"/>
    <w:next w:val="625"/>
    <w:link w:val="645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4">
    <w:name w:val="Heading 9"/>
    <w:basedOn w:val="625"/>
    <w:next w:val="625"/>
    <w:link w:val="646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35" w:default="1">
    <w:name w:val="Default Paragraph Font"/>
    <w:uiPriority w:val="1"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character" w:styleId="638" w:customStyle="1">
    <w:name w:val="Заголовок 1 Знак"/>
    <w:basedOn w:val="635"/>
    <w:link w:val="626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39" w:customStyle="1">
    <w:name w:val="Заголовок 2 Знак"/>
    <w:basedOn w:val="635"/>
    <w:link w:val="627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40" w:customStyle="1">
    <w:name w:val="Заголовок 3 Знак"/>
    <w:basedOn w:val="635"/>
    <w:link w:val="628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641" w:customStyle="1">
    <w:name w:val="Заголовок 4 Знак"/>
    <w:basedOn w:val="635"/>
    <w:link w:val="629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642" w:customStyle="1">
    <w:name w:val="Заголовок 5 Знак"/>
    <w:basedOn w:val="635"/>
    <w:link w:val="630"/>
    <w:uiPriority w:val="9"/>
    <w:semiHidden/>
    <w:rPr>
      <w:rFonts w:eastAsiaTheme="majorEastAsia" w:cstheme="majorBidi"/>
      <w:color w:val="2f5496" w:themeColor="accent1" w:themeShade="BF"/>
    </w:rPr>
  </w:style>
  <w:style w:type="character" w:styleId="643" w:customStyle="1">
    <w:name w:val="Заголовок 6 Знак"/>
    <w:basedOn w:val="635"/>
    <w:link w:val="631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44" w:customStyle="1">
    <w:name w:val="Заголовок 7 Знак"/>
    <w:basedOn w:val="635"/>
    <w:link w:val="632"/>
    <w:uiPriority w:val="9"/>
    <w:semiHidden/>
    <w:rPr>
      <w:rFonts w:eastAsiaTheme="majorEastAsia" w:cstheme="majorBidi"/>
      <w:color w:val="595959" w:themeColor="text1" w:themeTint="A6"/>
    </w:rPr>
  </w:style>
  <w:style w:type="character" w:styleId="645" w:customStyle="1">
    <w:name w:val="Заголовок 8 Знак"/>
    <w:basedOn w:val="635"/>
    <w:link w:val="633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46" w:customStyle="1">
    <w:name w:val="Заголовок 9 Знак"/>
    <w:basedOn w:val="635"/>
    <w:link w:val="634"/>
    <w:uiPriority w:val="9"/>
    <w:semiHidden/>
    <w:rPr>
      <w:rFonts w:eastAsiaTheme="majorEastAsia" w:cstheme="majorBidi"/>
      <w:color w:val="272727" w:themeColor="text1" w:themeTint="D8"/>
    </w:rPr>
  </w:style>
  <w:style w:type="paragraph" w:styleId="647">
    <w:name w:val="Title"/>
    <w:basedOn w:val="625"/>
    <w:next w:val="625"/>
    <w:link w:val="648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8" w:customStyle="1">
    <w:name w:val="Заголовок Знак"/>
    <w:basedOn w:val="635"/>
    <w:link w:val="647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9">
    <w:name w:val="Subtitle"/>
    <w:basedOn w:val="625"/>
    <w:next w:val="625"/>
    <w:link w:val="65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0" w:customStyle="1">
    <w:name w:val="Подзаголовок Знак"/>
    <w:basedOn w:val="635"/>
    <w:link w:val="649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1">
    <w:name w:val="Quote"/>
    <w:basedOn w:val="625"/>
    <w:next w:val="625"/>
    <w:link w:val="652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52" w:customStyle="1">
    <w:name w:val="Цитата 2 Знак"/>
    <w:basedOn w:val="635"/>
    <w:link w:val="651"/>
    <w:uiPriority w:val="29"/>
    <w:rPr>
      <w:i/>
      <w:iCs/>
      <w:color w:val="404040" w:themeColor="text1" w:themeTint="BF"/>
    </w:rPr>
  </w:style>
  <w:style w:type="paragraph" w:styleId="653">
    <w:name w:val="List Paragraph"/>
    <w:basedOn w:val="625"/>
    <w:uiPriority w:val="34"/>
    <w:qFormat/>
    <w:pPr>
      <w:contextualSpacing/>
      <w:ind w:left="720"/>
    </w:pPr>
  </w:style>
  <w:style w:type="character" w:styleId="654">
    <w:name w:val="Intense Emphasis"/>
    <w:basedOn w:val="635"/>
    <w:uiPriority w:val="21"/>
    <w:qFormat/>
    <w:rPr>
      <w:i/>
      <w:iCs/>
      <w:color w:val="2f5496" w:themeColor="accent1" w:themeShade="BF"/>
    </w:rPr>
  </w:style>
  <w:style w:type="paragraph" w:styleId="655">
    <w:name w:val="Intense Quote"/>
    <w:basedOn w:val="625"/>
    <w:next w:val="625"/>
    <w:link w:val="656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656" w:customStyle="1">
    <w:name w:val="Выделенная цитата Знак"/>
    <w:basedOn w:val="635"/>
    <w:link w:val="655"/>
    <w:uiPriority w:val="30"/>
    <w:rPr>
      <w:i/>
      <w:iCs/>
      <w:color w:val="2f5496" w:themeColor="accent1" w:themeShade="BF"/>
    </w:rPr>
  </w:style>
  <w:style w:type="character" w:styleId="657">
    <w:name w:val="Intense Reference"/>
    <w:basedOn w:val="635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Baglikov</dc:creator>
  <cp:keywords/>
  <dc:description/>
  <cp:lastModifiedBy>Now Name</cp:lastModifiedBy>
  <cp:revision>3</cp:revision>
  <dcterms:created xsi:type="dcterms:W3CDTF">2025-04-15T20:28:00Z</dcterms:created>
  <dcterms:modified xsi:type="dcterms:W3CDTF">2025-04-15T20:44:08Z</dcterms:modified>
</cp:coreProperties>
</file>