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A44"/>
          <w:sz w:val="54"/>
          <w:szCs w:val="54"/>
        </w:rPr>
        <w:t xml:space="preserve">CARPAL.KG</w:t>
      </w:r>
    </w:p>
    <w:p>
      <w:pPr>
        <w:spacing w:after="40"/>
      </w:pPr>
      <w:r>
        <w:rPr>
          <w:b/>
          <w:bCs/>
          <w:color w:val="2E6FB0"/>
          <w:sz w:val="25"/>
          <w:szCs w:val="25"/>
        </w:rPr>
        <w:t xml:space="preserve">Локальный каршеринг Кыргызстана — модель, рынок, первый транш</w:t>
      </w:r>
    </w:p>
    <w:p>
      <w:pPr>
        <w:spacing w:after="30"/>
      </w:pPr>
      <w:r>
        <w:rPr>
          <w:i/>
          <w:iCs/>
          <w:color w:val="555555"/>
          <w:sz w:val="20"/>
          <w:szCs w:val="20"/>
        </w:rPr>
        <w:t xml:space="preserve">Managed marketplace проверенной аренды авто · локальный спрос + туристический сегмент</w:t>
      </w:r>
    </w:p>
    <w:p>
      <w:pPr>
        <w:pBdr>
          <w:bottom w:val="single" w:color="2E6FB0" w:sz="8" w:space="2"/>
        </w:pBdr>
        <w:spacing w:after="200"/>
      </w:pPr>
      <w:r>
        <w:rPr>
          <w:color w:val="777777"/>
          <w:sz w:val="18"/>
          <w:szCs w:val="18"/>
        </w:rPr>
        <w:t xml:space="preserve">Для инвестора · июнь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427 000</w:t>
            </w:r>
          </w:p>
          <w:p>
            <w:pPr>
              <w:spacing w:before="40"/>
              <w:jc w:val="center"/>
            </w:pPr>
            <w:r>
              <w:rPr>
                <w:color w:val="C9D6E5"/>
                <w:sz w:val="15"/>
                <w:szCs w:val="15"/>
              </w:rPr>
              <w:t xml:space="preserve">частных авто в Бишкеке</w:t>
            </w:r>
          </w:p>
        </w:tc>
        <w:tc>
          <w:tcPr>
            <w:tcW w:type="dxa" w:w="234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+61%</w:t>
            </w:r>
          </w:p>
          <w:p>
            <w:pPr>
              <w:spacing w:before="40"/>
              <w:jc w:val="center"/>
            </w:pPr>
            <w:r>
              <w:rPr>
                <w:color w:val="C9D6E5"/>
                <w:sz w:val="15"/>
                <w:szCs w:val="15"/>
              </w:rPr>
              <w:t xml:space="preserve">доход владельца vs Лалафо</w:t>
            </w:r>
          </w:p>
        </w:tc>
        <w:tc>
          <w:tcPr>
            <w:tcW w:type="dxa" w:w="234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$18.9M</w:t>
            </w:r>
          </w:p>
          <w:p>
            <w:pPr>
              <w:spacing w:before="40"/>
              <w:jc w:val="center"/>
            </w:pPr>
            <w:r>
              <w:rPr>
                <w:color w:val="C9D6E5"/>
                <w:sz w:val="15"/>
                <w:szCs w:val="15"/>
              </w:rPr>
              <w:t xml:space="preserve">GMV локального ядра/год</w:t>
            </w:r>
          </w:p>
        </w:tc>
        <w:tc>
          <w:tcPr>
            <w:tcW w:type="dxa" w:w="234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$31 400</w:t>
            </w:r>
          </w:p>
          <w:p>
            <w:pPr>
              <w:spacing w:before="40"/>
              <w:jc w:val="center"/>
            </w:pPr>
            <w:r>
              <w:rPr>
                <w:color w:val="C9D6E5"/>
                <w:sz w:val="15"/>
                <w:szCs w:val="15"/>
              </w:rPr>
              <w:t xml:space="preserve">первый транш</w:t>
            </w:r>
          </w:p>
        </w:tc>
      </w:tr>
    </w:tbl>
    <w:p>
      <w:pPr>
        <w:spacing w:after="60" w:before="0"/>
      </w:pPr>
      <w:r>
        <w:rPr>
          <w:color w:val="1A1A1A"/>
          <w:sz w:val="21"/>
          <w:szCs w:val="21"/>
        </w:rPr>
        <w:t xml:space="preserve"/>
      </w:r>
    </w:p>
    <w:p>
      <w:pPr>
        <w:pStyle w:val="Heading1"/>
      </w:pPr>
      <w:r>
        <w:t xml:space="preserve">1. Что это и почему сейчас</w:t>
      </w:r>
    </w:p>
    <w:p>
      <w:pPr>
        <w:spacing w:after="130" w:before="0"/>
      </w:pPr>
      <w:r>
        <w:rPr>
          <w:b/>
          <w:bCs/>
          <w:color w:val="1A1A1A"/>
          <w:sz w:val="21"/>
          <w:szCs w:val="21"/>
        </w:rPr>
        <w:t xml:space="preserve">Carpal — локальный каршеринг и аренда авто, где продукт — это доверие. </w:t>
      </w:r>
      <w:r>
        <w:rPr>
          <w:color w:val="1A1A1A"/>
          <w:sz w:val="21"/>
          <w:szCs w:val="21"/>
        </w:rPr>
        <w:t xml:space="preserve">Сегодня сделка идёт через WhatsApp и Лалафо по схеме «брат, скинь паспорт и депозит» — незнакомцу, без фиксации состояния машины, без арбитража при споре, с реальным риском «а не возьмут ли на меня кредит». Конкуренты вроде Silk Way до сих пор просят паспорт и права прямо в WhatsApp. Это рынок, который ждёт цивилизованного решения.</w:t>
      </w:r>
    </w:p>
    <w:p>
      <w:pPr>
        <w:spacing w:after="130" w:before="0"/>
      </w:pPr>
      <w:r>
        <w:rPr>
          <w:b/>
          <w:bCs/>
          <w:color w:val="1A1A1A"/>
          <w:sz w:val="21"/>
          <w:szCs w:val="21"/>
        </w:rPr>
        <w:t xml:space="preserve">Carpal закрывает это сделкой, которой нельзя манипулировать: </w:t>
      </w:r>
      <w:r>
        <w:rPr>
          <w:color w:val="1A1A1A"/>
          <w:sz w:val="21"/>
          <w:szCs w:val="21"/>
        </w:rPr>
        <w:t xml:space="preserve">KYC обеих сторон (через Didit, права 100+ стран), юридически значимое подписание через Түндүк, фотофиксация состояния до/после, депозит на счёте банка — не у частного лица, — и поддержка с арбитражем.</w:t>
      </w:r>
    </w:p>
    <w:p>
      <w:pPr>
        <w:spacing w:after="130" w:before="0"/>
      </w:pPr>
      <w:r>
        <w:rPr>
          <w:b/>
          <w:bCs/>
          <w:color w:val="1A1A1A"/>
          <w:sz w:val="21"/>
          <w:szCs w:val="21"/>
        </w:rPr>
        <w:t xml:space="preserve">Внешняя валидация уже есть: </w:t>
      </w:r>
      <w:r>
        <w:rPr>
          <w:color w:val="1A1A1A"/>
          <w:sz w:val="21"/>
          <w:szCs w:val="21"/>
        </w:rPr>
        <w:t xml:space="preserve">победа в номинации «Лучшая бизнес-модель» на Tourism Revenue Hackathon (Бишкек, апрель 2026), запущенный сайт carpal.kg, готовое продуктовое ядро и подтверждённый опросом спрос. Транш нужен не на разработку — на первые реальные аренды, ликвидность и доказанную экономику.</w:t>
      </w:r>
    </w:p>
    <w:p>
      <w:pPr>
        <w:pStyle w:val="Heading1"/>
      </w:pPr>
      <w:r>
        <w:t xml:space="preserve">2. Рынок: локальный спрос — ядро, а не приложение к туризму</w:t>
      </w:r>
    </w:p>
    <w:p>
      <w:pPr>
        <w:spacing w:after="130" w:before="0"/>
      </w:pPr>
      <w:r>
        <w:rPr>
          <w:b/>
          <w:bCs/>
          <w:color w:val="1A1A1A"/>
          <w:sz w:val="21"/>
          <w:szCs w:val="21"/>
        </w:rPr>
        <w:t xml:space="preserve">Бишкек — один из самых автомобилизированных городов региона. </w:t>
      </w:r>
      <w:r>
        <w:rPr>
          <w:color w:val="1A1A1A"/>
          <w:sz w:val="21"/>
          <w:szCs w:val="21"/>
        </w:rPr>
        <w:t xml:space="preserve">249 авто на 1000 жителей, 427 тыс. частных машин в городе, а с заезжими по улицам ездит более 700 тыс. Парк страны — почти 2 млн и растёт ~6% в год. Supply-база, которая в обозримом будущем не закончится: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Метрика локального рынка (Бишкек)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</w:tr>
      <w:tr>
        <w:tc>
          <w:tcPr>
            <w:tcW w:type="dxa" w:w="5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Частных легковых авто в Бишкеке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427 000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факт</w:t>
            </w:r>
          </w:p>
        </w:tc>
      </w:tr>
      <w:tr>
        <w:tc>
          <w:tcPr>
            <w:tcW w:type="dxa" w:w="5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Потенц. supply при 1% готовности сдавать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4 270 авто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расчёт</w:t>
            </w:r>
          </w:p>
        </w:tc>
      </w:tr>
      <w:tr>
        <w:tc>
          <w:tcPr>
            <w:tcW w:type="dxa" w:w="5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Потенц. supply при 3% готовности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12 810 авто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расчёт</w:t>
            </w:r>
          </w:p>
        </w:tc>
      </w:tr>
      <w:tr>
        <w:tc>
          <w:tcPr>
            <w:tcW w:type="dxa" w:w="5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Активное ядро арендаторов в год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~50 000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оценка</w:t>
            </w:r>
          </w:p>
        </w:tc>
      </w:tr>
      <w:tr>
        <w:tc>
          <w:tcPr>
            <w:tcW w:type="dxa" w:w="5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Аренд в год (2 аренды/чел)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~100 000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расчёт</w:t>
            </w:r>
          </w:p>
        </w:tc>
      </w:tr>
      <w:tr>
        <w:tc>
          <w:tcPr>
            <w:tcW w:type="dxa" w:w="5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Средний чек (K5, 3 дня)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$189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рынок</w:t>
            </w:r>
          </w:p>
        </w:tc>
      </w:tr>
      <w:tr>
        <w:tc>
          <w:tcPr>
            <w:tcW w:type="dxa" w:w="5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GMV локального ядра в год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$18.9 млн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расчёт</w:t>
            </w:r>
          </w:p>
        </w:tc>
      </w:tr>
      <w:tr>
        <w:tc>
          <w:tcPr>
            <w:tcW w:type="dxa" w:w="5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Take при 18% (весь объём ядра)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$3.4 млн/год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расчёт</w:t>
            </w:r>
          </w:p>
        </w:tc>
      </w:tr>
    </w:tbl>
    <w:p>
      <w:pPr>
        <w:spacing w:after="130" w:before="110"/>
      </w:pPr>
      <w:r>
        <w:rPr>
          <w:b/>
          <w:bCs/>
          <w:color w:val="1A1A1A"/>
          <w:sz w:val="21"/>
          <w:szCs w:val="21"/>
        </w:rPr>
        <w:t xml:space="preserve">Достижимая доля — реальный таргет, не весь рынок: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1"/>
          <w:szCs w:val="21"/>
        </w:rPr>
        <w:t xml:space="preserve">2% локального ядра </w:t>
      </w:r>
      <w:r>
        <w:rPr>
          <w:color w:val="1A1A1A"/>
          <w:sz w:val="21"/>
          <w:szCs w:val="21"/>
        </w:rPr>
        <w:t xml:space="preserve">= $68 тыс. take/год ($5,7 тыс./мес) — ранняя стадия.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1"/>
          <w:szCs w:val="21"/>
        </w:rPr>
        <w:t xml:space="preserve">5% </w:t>
      </w:r>
      <w:r>
        <w:rPr>
          <w:color w:val="1A1A1A"/>
          <w:sz w:val="21"/>
          <w:szCs w:val="21"/>
        </w:rPr>
        <w:t xml:space="preserve">= $170 тыс. take/год ($14,2 тыс./мес).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  <w:sz w:val="21"/>
          <w:szCs w:val="21"/>
        </w:rPr>
        <w:t xml:space="preserve">10% </w:t>
      </w:r>
      <w:r>
        <w:rPr>
          <w:color w:val="1A1A1A"/>
          <w:sz w:val="21"/>
          <w:szCs w:val="21"/>
        </w:rPr>
        <w:t xml:space="preserve">= $340 тыс. take/год ($28,4 тыс./мес) — и это только Бишкек, только локальное ядро, без туристов и регионов.</w:t>
      </w:r>
    </w:p>
    <w:p>
      <w:pPr>
        <w:spacing w:after="130" w:before="0"/>
      </w:pPr>
      <w:r>
        <w:rPr>
          <w:b/>
          <w:bCs/>
          <w:color w:val="1A1A1A"/>
          <w:sz w:val="21"/>
          <w:szCs w:val="21"/>
        </w:rPr>
        <w:t xml:space="preserve">Туристический сегмент — премиальный слой сверху, </w:t>
      </w:r>
      <w:r>
        <w:rPr>
          <w:color w:val="1A1A1A"/>
          <w:sz w:val="21"/>
          <w:szCs w:val="21"/>
        </w:rPr>
        <w:t xml:space="preserve">а не фундамент. Турист платит за доверие охотнее и по более высокой ставке (willingness-to-pay выше: он никого в стране не знает и боится отдавать документы незнакомцу). Туристы дают маржу и репутацию; локальный рынок — объём, частоту и retention. Два двигателя, а не один.</w:t>
      </w:r>
    </w:p>
    <w:p>
      <w:pPr>
        <w:pStyle w:val="Heading1"/>
      </w:pPr>
      <w:r>
        <w:t xml:space="preserve">3. Почему владельцы придут: +61% к доходу</w:t>
      </w:r>
    </w:p>
    <w:p>
      <w:pPr>
        <w:spacing w:after="130" w:before="0"/>
      </w:pPr>
      <w:r>
        <w:rPr>
          <w:b/>
          <w:bCs/>
          <w:color w:val="1A1A1A"/>
          <w:sz w:val="21"/>
          <w:szCs w:val="21"/>
        </w:rPr>
        <w:t xml:space="preserve">Carpal не отнимает доход комиссией — он его увеличивает. </w:t>
      </w:r>
      <w:r>
        <w:rPr>
          <w:color w:val="1A1A1A"/>
          <w:sz w:val="21"/>
          <w:szCs w:val="21"/>
        </w:rPr>
        <w:t xml:space="preserve">Комиссия берётся из прироста, который мы создаём: рост загрузки (главный рычаг) и небольшая премия за доверие. KIA K5, в месяц на одно авто: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 месяц, 1 авто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Лалафо (сам)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Carpal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W w:type="dxa" w:w="3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Суточная ставка, KGS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5 000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5 500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+10%</w:t>
            </w:r>
          </w:p>
        </w:tc>
      </w:tr>
      <w:tr>
        <w:tc>
          <w:tcPr>
            <w:tcW w:type="dxa" w:w="3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Загрузка, дней/мес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+5</w:t>
            </w:r>
          </w:p>
        </w:tc>
      </w:tr>
      <w:tr>
        <w:tc>
          <w:tcPr>
            <w:tcW w:type="dxa" w:w="3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Валовая выручка, KGS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40 000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71 500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+31 500</w:t>
            </w:r>
          </w:p>
        </w:tc>
      </w:tr>
      <w:tr>
        <w:tc>
          <w:tcPr>
            <w:tcW w:type="dxa" w:w="3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Комиссия Carpal (10% с владельца)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(7 150)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Расходы на сделки, KGS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(800)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(1 300)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ЧИСТЫЙ доход, KGS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39 200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63 050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+61%</w:t>
            </w:r>
          </w:p>
        </w:tc>
      </w:tr>
      <w:tr>
        <w:tc>
          <w:tcPr>
            <w:tcW w:type="dxa" w:w="3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в USD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$448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$720</w:t>
            </w:r>
          </w:p>
        </w:tc>
        <w:tc>
          <w:tcPr>
            <w:tcW w:type="dxa" w:w="1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3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+$272</w:t>
            </w:r>
          </w:p>
        </w:tc>
      </w:tr>
    </w:tbl>
    <w:p>
      <w:pPr>
        <w:spacing w:after="130" w:before="110"/>
      </w:pPr>
      <w:r>
        <w:rPr>
          <w:b/>
          <w:bCs/>
          <w:color w:val="1F2A44"/>
          <w:sz w:val="22"/>
          <w:szCs w:val="22"/>
        </w:rPr>
        <w:t xml:space="preserve">Владелец, отдающий нам 10%, зарабатывает на 61% больше, чем сдавая сам. Рычаг — загрузка, не цена.</w:t>
      </w:r>
    </w:p>
    <w:p>
      <w:pPr>
        <w:spacing w:after="130" w:before="0"/>
      </w:pPr>
      <w:r>
        <w:rPr>
          <w:color w:val="1A1A1A"/>
          <w:sz w:val="21"/>
          <w:szCs w:val="21"/>
        </w:rPr>
        <w:t xml:space="preserve">Мы продаём владельцу не площадку, а заполненный календарь. Это снимает главное возражение supply и делает 427 тыс. бишкекских машин достижимой, а не теоретической базой.</w:t>
      </w:r>
    </w:p>
    <w:p>
      <w:pPr>
        <w:pStyle w:val="Heading1"/>
      </w:pPr>
      <w:r>
        <w:t xml:space="preserve">4. Модель комиссий (для CFO)</w:t>
      </w:r>
    </w:p>
    <w:p>
      <w:pPr>
        <w:spacing w:after="130" w:before="0"/>
      </w:pPr>
      <w:r>
        <w:rPr>
          <w:b/>
          <w:bCs/>
          <w:color w:val="1A1A1A"/>
          <w:sz w:val="21"/>
          <w:szCs w:val="21"/>
        </w:rPr>
        <w:t xml:space="preserve">10% с владельца + 8% сервисный сбор с арендатора = эффективные 18%. </w:t>
      </w:r>
      <w:r>
        <w:rPr>
          <w:color w:val="1A1A1A"/>
          <w:sz w:val="21"/>
          <w:szCs w:val="21"/>
        </w:rPr>
        <w:t xml:space="preserve">Справедливо для обеих сторон, копирует механику Booking и Airbnb. Владелец видит «всего 10%»; арендатор платит 8% за гарантию — проверенную машину, депозит в банке, арбитраж.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680"/>
        <w:gridCol w:w="1000"/>
        <w:gridCol w:w="1000"/>
      </w:tblGrid>
      <w:tr>
        <w:trPr>
          <w:tblHeader/>
        </w:trPr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Компонент (K5, 3 дня)</w:t>
            </w:r>
          </w:p>
        </w:tc>
        <w:tc>
          <w:tcPr>
            <w:tcW w:type="dxa" w:w="2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Расчёт</w:t>
            </w:r>
          </w:p>
        </w:tc>
        <w:tc>
          <w:tcPr>
            <w:tcW w:type="dxa" w:w="1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KGS</w:t>
            </w:r>
          </w:p>
        </w:tc>
        <w:tc>
          <w:tcPr>
            <w:tcW w:type="dxa" w:w="1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USD</w:t>
            </w:r>
          </w:p>
        </w:tc>
      </w:tr>
      <w:tr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Стоимость аренды</w:t>
            </w:r>
          </w:p>
        </w:tc>
        <w:tc>
          <w:tcPr>
            <w:tcW w:type="dxa" w:w="2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5 500 × 3</w:t>
            </w:r>
          </w:p>
        </w:tc>
        <w:tc>
          <w:tcPr>
            <w:tcW w:type="dxa" w:w="1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16 500</w:t>
            </w:r>
          </w:p>
        </w:tc>
        <w:tc>
          <w:tcPr>
            <w:tcW w:type="dxa" w:w="1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$189</w:t>
            </w:r>
          </w:p>
        </w:tc>
      </w:tr>
      <w:tr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Комиссия владельца (10%)</w:t>
            </w:r>
          </w:p>
        </w:tc>
        <w:tc>
          <w:tcPr>
            <w:tcW w:type="dxa" w:w="2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16 500 × 10%</w:t>
            </w:r>
          </w:p>
        </w:tc>
        <w:tc>
          <w:tcPr>
            <w:tcW w:type="dxa" w:w="1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1 650</w:t>
            </w:r>
          </w:p>
        </w:tc>
        <w:tc>
          <w:tcPr>
            <w:tcW w:type="dxa" w:w="1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$19</w:t>
            </w:r>
          </w:p>
        </w:tc>
      </w:tr>
      <w:tr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Сервисный сбор (8%)</w:t>
            </w:r>
          </w:p>
        </w:tc>
        <w:tc>
          <w:tcPr>
            <w:tcW w:type="dxa" w:w="2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16 500 × 8%</w:t>
            </w:r>
          </w:p>
        </w:tc>
        <w:tc>
          <w:tcPr>
            <w:tcW w:type="dxa" w:w="1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1 320</w:t>
            </w:r>
          </w:p>
        </w:tc>
        <w:tc>
          <w:tcPr>
            <w:tcW w:type="dxa" w:w="1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$15</w:t>
            </w:r>
          </w:p>
        </w:tc>
      </w:tr>
      <w:tr>
        <w:tc>
          <w:tcPr>
            <w:tcW w:type="dxa" w:w="4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TAKE ПЛАТФОРМЫ с аренды</w:t>
            </w:r>
          </w:p>
        </w:tc>
        <w:tc>
          <w:tcPr>
            <w:tcW w:type="dxa" w:w="268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2 970</w:t>
            </w:r>
          </w:p>
        </w:tc>
        <w:tc>
          <w:tcPr>
            <w:tcW w:type="dxa" w:w="1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$34</w:t>
            </w:r>
          </w:p>
        </w:tc>
      </w:tr>
    </w:tbl>
    <w:p>
      <w:pPr>
        <w:pStyle w:val="Heading1"/>
      </w:pPr>
      <w:r>
        <w:t xml:space="preserve">5. Траектория дохода платформы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Аренд/мес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Take/мес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GMV/мес</w:t>
            </w:r>
          </w:p>
        </w:tc>
      </w:tr>
      <w:tr>
        <w:tc>
          <w:tcPr>
            <w:tcW w:type="dxa" w:w="3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Месяц 1 — closed beta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$340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$1 890</w:t>
            </w:r>
          </w:p>
        </w:tc>
      </w:tr>
      <w:tr>
        <w:tc>
          <w:tcPr>
            <w:tcW w:type="dxa" w:w="3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Месяц 3 — milestone 2-го транша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$1 020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$5 670</w:t>
            </w:r>
          </w:p>
        </w:tc>
      </w:tr>
      <w:tr>
        <w:tc>
          <w:tcPr>
            <w:tcW w:type="dxa" w:w="3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Месяц 6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80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$2 715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$15 120</w:t>
            </w:r>
          </w:p>
        </w:tc>
      </w:tr>
      <w:tr>
        <w:tc>
          <w:tcPr>
            <w:tcW w:type="dxa" w:w="3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Месяц 12 — цель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250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$8 486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$47 250</w:t>
            </w:r>
          </w:p>
        </w:tc>
      </w:tr>
    </w:tbl>
    <w:p>
      <w:pPr>
        <w:spacing w:after="130" w:before="110"/>
      </w:pPr>
      <w:r>
        <w:rPr>
          <w:b/>
          <w:bCs/>
          <w:color w:val="1A1A1A"/>
          <w:sz w:val="21"/>
          <w:szCs w:val="21"/>
        </w:rPr>
        <w:t xml:space="preserve">250 аренд/мес — это всего ~0,25% годового локального ядра. </w:t>
      </w:r>
      <w:r>
        <w:rPr>
          <w:color w:val="1A1A1A"/>
          <w:sz w:val="21"/>
          <w:szCs w:val="21"/>
        </w:rPr>
        <w:t xml:space="preserve">Потолок несравнимо выше: 10% рынка = $28 тыс. take/мес. Take — валовая выручка, не прибыль (минус операционка, поддержка, эквайринг).</w:t>
      </w:r>
    </w:p>
    <w:p>
      <w:pPr>
        <w:pStyle w:val="Heading1"/>
      </w:pPr>
      <w:r>
        <w:t xml:space="preserve">6. Двигатель роста: трафик и загрузка</w:t>
      </w:r>
    </w:p>
    <w:p>
      <w:pPr>
        <w:spacing w:after="130" w:before="0"/>
      </w:pPr>
      <w:r>
        <w:rPr>
          <w:b/>
          <w:bCs/>
          <w:color w:val="1A1A1A"/>
          <w:sz w:val="21"/>
          <w:szCs w:val="21"/>
        </w:rPr>
        <w:t xml:space="preserve">Вся модель держится на загрузке, а загрузка — на трафике. </w:t>
      </w:r>
      <w:r>
        <w:rPr>
          <w:color w:val="1A1A1A"/>
          <w:sz w:val="21"/>
          <w:szCs w:val="21"/>
        </w:rPr>
        <w:t xml:space="preserve">Поэтому маркетинг — не статья «на потом», а ядро операционной модели, и в этом транше он профинансирован явно: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3600"/>
        <w:gridCol w:w="2000"/>
      </w:tblGrid>
      <w:tr>
        <w:trPr>
          <w:tblHeader/>
        </w:trPr>
        <w:tc>
          <w:tcPr>
            <w:tcW w:type="dxa" w:w="3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Канал</w:t>
            </w:r>
          </w:p>
        </w:tc>
        <w:tc>
          <w:tcPr>
            <w:tcW w:type="dxa" w:w="36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$ в транше</w:t>
            </w:r>
          </w:p>
        </w:tc>
      </w:tr>
      <w:tr>
        <w:tc>
          <w:tcPr>
            <w:tcW w:type="dxa" w:w="3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SEO-веб (страницы авто/маршрутов)</w:t>
            </w:r>
          </w:p>
        </w:tc>
        <w:tc>
          <w:tcPr>
            <w:tcW w:type="dxa" w:w="36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1A"/>
                <w:sz w:val="18"/>
                <w:szCs w:val="18"/>
              </w:rPr>
              <w:t xml:space="preserve">Органический трафик, индексируется поисковиками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1 800</w:t>
            </w:r>
          </w:p>
        </w:tc>
      </w:tr>
      <w:tr>
        <w:tc>
          <w:tcPr>
            <w:tcW w:type="dxa" w:w="3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Performance + соцсети (локал)</w:t>
            </w:r>
          </w:p>
        </w:tc>
        <w:tc>
          <w:tcPr>
            <w:tcW w:type="dxa" w:w="36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1A"/>
                <w:sz w:val="18"/>
                <w:szCs w:val="18"/>
              </w:rPr>
              <w:t xml:space="preserve">Быстрый букинг, наполнение календаря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1 600</w:t>
            </w:r>
          </w:p>
        </w:tc>
      </w:tr>
      <w:tr>
        <w:tc>
          <w:tcPr>
            <w:tcW w:type="dxa" w:w="3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Supply-маркетинг (владельцы)</w:t>
            </w:r>
          </w:p>
        </w:tc>
        <w:tc>
          <w:tcPr>
            <w:tcW w:type="dxa" w:w="36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1A"/>
                <w:sz w:val="18"/>
                <w:szCs w:val="18"/>
              </w:rPr>
              <w:t xml:space="preserve">Набор машин: бонусы, 0% первым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800</w:t>
            </w:r>
          </w:p>
        </w:tc>
      </w:tr>
      <w:tr>
        <w:tc>
          <w:tcPr>
            <w:tcW w:type="dxa" w:w="3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Итого маркетинг + трафик</w:t>
            </w:r>
          </w:p>
        </w:tc>
        <w:tc>
          <w:tcPr>
            <w:tcW w:type="dxa" w:w="36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1A"/>
                <w:sz w:val="18"/>
                <w:szCs w:val="18"/>
              </w:rPr>
              <w:t xml:space="preserve">≈ 13% транша — проверка CAC на реальных лидах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4 200</w:t>
            </w:r>
          </w:p>
        </w:tc>
      </w:tr>
    </w:tbl>
    <w:p>
      <w:pPr>
        <w:spacing w:after="130" w:before="110"/>
      </w:pPr>
      <w:r>
        <w:rPr>
          <w:b/>
          <w:bCs/>
          <w:color w:val="1A1A1A"/>
          <w:sz w:val="21"/>
          <w:szCs w:val="21"/>
        </w:rPr>
        <w:t xml:space="preserve">Цель этапа — не объём трафика, а цифра CAC. </w:t>
      </w:r>
      <w:r>
        <w:rPr>
          <w:color w:val="1A1A1A"/>
          <w:sz w:val="21"/>
          <w:szCs w:val="21"/>
        </w:rPr>
        <w:t xml:space="preserve">Первый транш отвечает на вопрос «сколько стоит привести одну аренду» на реальных деньгах. Эта цифра определяет маркетинг-бюджет второго транша — превращает рост из гадания в управляемый рычаг.</w:t>
      </w:r>
    </w:p>
    <w:p>
      <w:pPr>
        <w:pStyle w:val="Heading1"/>
      </w:pPr>
      <w:r>
        <w:t xml:space="preserve">7. Запрос: первый транш $31,400</w:t>
      </w:r>
    </w:p>
    <w:p>
      <w:pPr>
        <w:spacing w:after="130" w:before="0"/>
      </w:pPr>
      <w:r>
        <w:rPr>
          <w:color w:val="1A1A1A"/>
          <w:sz w:val="21"/>
          <w:szCs w:val="21"/>
        </w:rPr>
        <w:t xml:space="preserve">Из общего объёма до $50,000 — первый транш </w:t>
      </w:r>
      <w:r>
        <w:rPr>
          <w:b/>
          <w:bCs/>
          <w:color w:val="1A1A1A"/>
          <w:sz w:val="21"/>
          <w:szCs w:val="21"/>
        </w:rPr>
        <w:t xml:space="preserve">$31,400</w:t>
      </w:r>
      <w:r>
        <w:rPr>
          <w:color w:val="1A1A1A"/>
          <w:sz w:val="21"/>
          <w:szCs w:val="21"/>
        </w:rPr>
        <w:t xml:space="preserve">, посчитан снизу вверх, покрывает 90 дней до 30+ реальных аренд и доказанной экономики. Второй транш привязан к milestones — контроль риска в пользу инвестора.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3000"/>
        <w:gridCol w:w="2000"/>
      </w:tblGrid>
      <w:tr>
        <w:trPr>
          <w:tblHeader/>
        </w:trPr>
        <w:tc>
          <w:tcPr>
            <w:tcW w:type="dxa" w:w="4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Направление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4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Команда (2 фаундера, 30 дней)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1A"/>
                <w:sz w:val="18"/>
                <w:szCs w:val="18"/>
              </w:rPr>
              <w:t xml:space="preserve">Продукт до first-rental + supply/ops + первые аренды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9 800</w:t>
            </w:r>
          </w:p>
        </w:tc>
      </w:tr>
      <w:tr>
        <w:tc>
          <w:tcPr>
            <w:tcW w:type="dxa" w:w="4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Маркетинг + трафик (SEO, performance, supply)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1A"/>
                <w:sz w:val="18"/>
                <w:szCs w:val="18"/>
              </w:rPr>
              <w:t xml:space="preserve">Загрузка и проверка CAC — двигатель модели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4 200</w:t>
            </w:r>
          </w:p>
        </w:tc>
      </w:tr>
      <w:tr>
        <w:tc>
          <w:tcPr>
            <w:tcW w:type="dxa" w:w="4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Юр. оформление + интеграции (Түндүк, банк. депозит)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1A"/>
                <w:sz w:val="18"/>
                <w:szCs w:val="18"/>
              </w:rPr>
              <w:t xml:space="preserve">Легальная и защищённая сделка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5 400</w:t>
            </w:r>
          </w:p>
        </w:tc>
      </w:tr>
      <w:tr>
        <w:tc>
          <w:tcPr>
            <w:tcW w:type="dxa" w:w="4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Supply / ops помощник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1A"/>
                <w:sz w:val="18"/>
                <w:szCs w:val="18"/>
              </w:rPr>
              <w:t xml:space="preserve">Онбординг 15–20 авто в каталог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2 100</w:t>
            </w:r>
          </w:p>
        </w:tc>
      </w:tr>
      <w:tr>
        <w:tc>
          <w:tcPr>
            <w:tcW w:type="dxa" w:w="4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KYC (Didit) + платёжный приём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1A"/>
                <w:sz w:val="18"/>
                <w:szCs w:val="18"/>
              </w:rPr>
              <w:t xml:space="preserve">Проверка сторон, приём оплаты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1 800</w:t>
            </w:r>
          </w:p>
        </w:tc>
      </w:tr>
      <w:tr>
        <w:tc>
          <w:tcPr>
            <w:tcW w:type="dxa" w:w="4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GPS-пилот + инфраструктура + бухгалтерия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1A"/>
                <w:sz w:val="18"/>
                <w:szCs w:val="18"/>
              </w:rPr>
              <w:t xml:space="preserve">5 авто, хостинг, учёт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2 250</w:t>
            </w:r>
          </w:p>
        </w:tc>
      </w:tr>
      <w:tr>
        <w:tc>
          <w:tcPr>
            <w:tcW w:type="dxa" w:w="4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Операционный резерв + contingency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1A"/>
                <w:sz w:val="18"/>
                <w:szCs w:val="18"/>
              </w:rPr>
              <w:t xml:space="preserve">Подушка на инциденты и отклонения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5 850</w:t>
            </w:r>
          </w:p>
        </w:tc>
      </w:tr>
      <w:tr>
        <w:tc>
          <w:tcPr>
            <w:tcW w:type="dxa" w:w="4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ИТОГО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A1A1A"/>
                <w:sz w:val="18"/>
                <w:szCs w:val="18"/>
              </w:rPr>
              <w:t xml:space="preserve">90 дней до доказанной экономики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31 400</w:t>
            </w:r>
          </w:p>
        </w:tc>
      </w:tr>
    </w:tbl>
    <w:p>
      <w:pPr>
        <w:spacing w:after="130" w:before="120"/>
      </w:pPr>
      <w:r>
        <w:rPr>
          <w:b/>
          <w:bCs/>
          <w:color w:val="1A1A1A"/>
          <w:sz w:val="21"/>
          <w:szCs w:val="21"/>
        </w:rPr>
        <w:t xml:space="preserve">Почему не $5,000 и не все $50,000 сразу. </w:t>
      </w:r>
      <w:r>
        <w:rPr>
          <w:color w:val="1A1A1A"/>
          <w:sz w:val="21"/>
          <w:szCs w:val="21"/>
        </w:rPr>
        <w:t xml:space="preserve">Микротранш сжигает сезон и не даёт собрать данные. Полный объём сразу = масштабирование до доказательства модели (главный риск marketplace). Поэтапное финансирование с привязкой к результату — это контроль риска. Mobile-приложение остаётся в стратегии как канал локального retention и moat, но строится на втором транше, после первичной ликвидности.</w:t>
      </w:r>
    </w:p>
    <w:p>
      <w:pPr>
        <w:pStyle w:val="Heading1"/>
      </w:pPr>
      <w:r>
        <w:t xml:space="preserve">8. Milestones второго транша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30+ завершённых реальных аренд полного цикла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Подтверждённая unit economics: чек, take, CAC (локал и турист), % споров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Ликвидность: 20+ активных авто в каталоге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Сигнал retention: повторные аренды или повторные владельцы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Платёжная схема с депозитом на банковском счёте — в проде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GPS-пилот завершён, ценность телематики оценена</w:t>
      </w:r>
    </w:p>
    <w:p>
      <w:pPr>
        <w:pBdr>
          <w:top w:val="single" w:color="2E6FB0" w:sz="8" w:space="4"/>
        </w:pBdr>
        <w:spacing w:before="200"/>
      </w:pPr>
      <w:r>
        <w:rPr>
          <w:b/>
          <w:bCs/>
          <w:color w:val="1F2A44"/>
          <w:sz w:val="24"/>
          <w:szCs w:val="24"/>
        </w:rPr>
        <w:t xml:space="preserve">Резюме</w:t>
      </w:r>
    </w:p>
    <w:p>
      <w:pPr>
        <w:spacing w:after="130" w:before="0"/>
      </w:pPr>
      <w:r>
        <w:rPr>
          <w:b/>
          <w:bCs/>
          <w:color w:val="1A1A1A"/>
          <w:sz w:val="21"/>
          <w:szCs w:val="21"/>
        </w:rPr>
        <w:t xml:space="preserve">427 тыс. машин в одном Бишкеке, локальное ядро на $18,9 млн GMV/год, владелец +61% даже после комиссии, эффективные 18% по справедливой модели 10+8, маркетинг как профинансированный двигатель загрузки, и поэтапное финансирование с привязкой к результату. </w:t>
      </w:r>
      <w:r>
        <w:rPr>
          <w:color w:val="1A1A1A"/>
          <w:sz w:val="21"/>
          <w:szCs w:val="21"/>
        </w:rPr>
        <w:t xml:space="preserve">Первый транш $31,400 покупает доказанную модель по минимальной цене входа; масштаб, туристический слой и приложение — на втором транше.</w:t>
      </w:r>
    </w:p>
    <w:p>
      <w:pPr>
        <w:spacing w:after="130" w:before="80"/>
      </w:pPr>
      <w:r>
        <w:rPr>
          <w:color w:val="888888"/>
          <w:sz w:val="16"/>
          <w:szCs w:val="16"/>
        </w:rPr>
        <w:t xml:space="preserve">Расчётные цифры рынка (доли, ядро спроса) помечены как оценки и проверяются на первых арендах; рыночные данные — Нацстатком, АКИpress, прокатные площадки Бишкека, июнь 2026.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6F2" w:sz="4" w:space="4"/>
      </w:pBdr>
      <w:jc w:val="right"/>
    </w:pPr>
    <w:r>
      <w:rPr>
        <w:color w:val="999999"/>
        <w:sz w:val="16"/>
        <w:szCs w:val="16"/>
      </w:rPr>
      <w:t xml:space="preserve">Carpal.kg — Инвестиционная записка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CE6F2" w:sz="4" w:space="4"/>
      </w:pBdr>
      <w:spacing w:after="140" w:before="300"/>
      <w:outlineLvl w:val="0"/>
    </w:pPr>
    <w:rPr>
      <w:rFonts w:ascii="Arial" w:cs="Arial" w:eastAsia="Arial" w:hAnsi="Arial"/>
      <w:b/>
      <w:bCs/>
      <w:color w:val="1F2A44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6FB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2026-06-01T22:04:10.220Z</dcterms:created>
  <dcterms:modified xsi:type="dcterms:W3CDTF">2026-06-01T22:04:10.220Z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