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графу. У модели 6,7 млн обучаемых параметров, для обучения и прогноза хватает одного графического ускорителя. На независимой выборке из 1607 сроков за все сезоны среднеквадратическая ошибка прогноза приземной температуры на сутки равна 1,39 °C, агрегатная успешность относительно инерционного прогноза 76,0 %, аномальная корреляция 0,976. На общих узлах и сроках ошибка по приземной температуре в 1,25 раза больше, чем у глобальной модели GraphCast, у которой в 5,5 раза больше параметров. Разложение ошибки по масштабам показало, что 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 и вместе с более долгим обучением снижает ошибку относительно исходной модели на 7–9 % по давлению и на 5–6 % по температуре. При равномерном усреднении функции потерь целевые узлы и приземные каналы получают малую долю обучающего сигнала, а явные веса снижают ошибку приземной температуры на 10,2 %. Ошибка одношагового прогноза на проверочной выборке плохо подходит для отбора модели многошагового прогноза.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9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graph neural network model for regional weather forecasting over the south of Krasnoyarsk Krai is presented. A global mesh of 0.703° and a regional insert of 0.25° form a single graph of 133,279 nodes, so no lateral boundary conditions are needed: message passing reconciles the resolutions at the interface. The model has 6.7 million trainable parameters and runs on a single GPU. On 1607 independent initial times the 2-m temperature error is 1.39 °C at the 24-h lead time, the aggregate skill score 76.0 % against persistence and the anomaly correlation 0.976. On shared nodes and initial times it trails the global GraphCast by a factor of 1.25 with 5.5 times fewer parameters. A scale decomposition of the error showed that an encoder and decoder built on graph convolutions imprint the mesh triangles on the forecast; message passing with edge features removes the imprint and, together with longer training, cuts the pressure error by 7–9 % and the temperature error by 5–6 %. Explicit loss weighting of the target nodes and channels cuts the 2-m temperature error by 10.2 %.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модели крупнейших прогностических центров, а считают во много раз быстрее. GraphCast [8] на сроках от трёх до десяти суток превзошла оперативную систему Европейского центра по большинству переменных, сопоставимых результатов достигли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которая вносит собственные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Вклад работы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6,7 млн параметров, у моделей [3, 8, 9] от десятков до сотен миллионов. Для обучения и выпуска прогноза хватает одного графического ускорителя, и схему можно воспроизвести в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сетку. Отдельный методический результат касается отбора модели. Ошибка одношагового прогноза на проверочной выборке ненадёжна как критерий отбора, если модель должна строить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pPr>
        <w:numPr>
          <w:ilvl w:val="0"/>
          <w:numId w:val="1001"/>
        </w:numPr>
      </w:pPr>
      <w:r>
        <w:t xml:space="preserve">Сравнение с GraphCast по масштабам показало, где модель теряет точность. Кодировщик и декодировщик на свёрточных слоях графа не учитывают положение узла сетки относительно вершин графа, и в прогнозе проступают границы треугольников. Передача сообщений с признаками рёбер, как в GraphCast, убирает этот отпечаток. Вместе с более долгим обучением это снижает ошибку давления на 7–9 %.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их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единицах, геопотенциал ERA5 поделён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 по среднему и разбросу за 2010–2020 гг., включая проверочную и тестовую части; влияние этих двух чисел на канал пренебрежимо мало.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Область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Основная модель использует 33-канальную конфигурацию. К 19 полям в ней добавлены по пять полей на уровнях 250 и 1000 гПа (температура, обе составляющие ветра, геопотенциал, удельная влажность) и четыре канала временного форсинга: синусы и косинусы часа суток и дня года. При развёртке форсинг и статические поля заменяются известными значениями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по времени, без перемешивания: обучающая часть предшествует проверочной, а та тестовой. Окно примера включает 2 входных среза и 4 прогностических шага, и из 16 072 сроков получается 16 067 примеров. Примеры разделили в долях 80, 10 и 10 %: 12 853 для обучения, 1607 для подбора гиперпараметров и отбора состояния модели, 1607 для тестов. Все публикуемые числа получены на тестовой выборке, она охватывает полный годовой цикл.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Глобальную модель обучили на тех же 19 полях на широтно-долготной сетке 512 × 256 узлов с шагом около 0,703°. Устроена она так же, как региональная (п. 3.2), но без слоёв с признаками рёбер в кодировщике и декодировщике. Меш объединяет уровни детализации 4 и 6. У глобальной модели 6,0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оказались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модели, лучшего по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Эти значения посчитаны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sSubSup>
                                          <m:e>
                                            <m:acc>
                                              <m:accPr>
                                                <m:chr m:val="̂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sSubSup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(1)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которое принимается за истинное.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отношение крайних весов равно 1,29.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(2)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на горизонтах +6…+24 ч равна 4,99; 6,88; 5,88 и 4,42 °C: к суткам поле возвращается к тому же часу местного времени. Успешность относительно него немонотонна (76,4; 80,2; 76,2 и 67,0 %) и говорит об эталоне не меньше, чем о модели.</w:t>
      </w:r>
    </w:p>
    <w:p>
      <w:pPr>
        <w:pStyle w:val="BodyText"/>
      </w:pPr>
      <w:r>
        <w:t xml:space="preserve">У климатического эталона такого недостатка нет. Климатологию построили по обучающей части выборки разложением по гармоникам (три годовые и суточный ход), тестовые сроки в подгонку не входили. Ошибка климатического эталона почти не зависит от горизонта: 6,25 °C по приземной температуре на всех сроках, 5,42 °C по температуре на 850 гПа, 9,19 гПа по давлению на уровне моря, 2,05 и 1,74 м/с по составляющим ветра. На суточном сроке успешность итоговой модели относительно климатологии равна 77,7 % по приземной температуре, 84,2 % по T850, 89,4 % по давлению, 67,1 и 62,0 % по ветру.</w:t>
      </w:r>
    </w:p>
    <w:p>
      <w:pPr>
        <w:pStyle w:val="BodyText"/>
      </w:pPr>
      <w:r>
        <w:t xml:space="preserve">Сводную оценку даёт агрегатный показатель. Единицы у каналов разные, и агрегат считается в стандартизованных переменных: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 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t>H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c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∑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τ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sSup>
                                          <m:e>
                                            <m:d>
                                              <m:dPr>
                                                <m:begChr m:val="("/>
                                                <m:sepChr m:val=""/>
                                                <m:endChr m:val=")"/>
                                                <m:grow/>
                                              </m:dPr>
                                              <m:e>
                                                <m:f>
                                                  <m:fPr>
                                                    <m:type m:val="bar"/>
                                                  </m:fPr>
                                                  <m:num>
                                                    <m:sSubSup>
                                                      <m:e>
                                                        <m:acc>
                                                          <m:accPr>
                                                            <m:chr m:val="̂"/>
                                                          </m:accPr>
                                                          <m:e>
                                                            <m:r>
                                                              <m:t>x</m:t>
                                                            </m:r>
                                                          </m:e>
                                                        </m:acc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−</m:t>
                                                    </m:r>
                                                    <m:sSubSup>
                                                      <m:e>
                                                        <m:r>
                                                          <m:t>x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</m:num>
                                                  <m:den>
                                                    <m:sSub>
                                                      <m:e>
                                                        <m:r>
                                                          <m:t>σ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</m:sub>
                                                    </m:sSub>
                                                  </m:den>
                                                </m:f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m:t>2</m:t>
                                            </m:r>
                                          </m:sup>
                                        </m:sSup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bar>
                      </m:num>
                      <m:den>
                        <m:sSup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rPr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</m:e>
                            </m:bar>
                          </m:e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(3)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приводится аномальная корреляция. Эта мера показывает, насколько прогноз воспроизводит отклонение от обычного состояния: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(4)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окрестности, и чтобы модель выучила эту зависимость, окрестность должна везде быть примерно одного физического размера. На регулярной сетке это не так: при шаге 0,703° расстояние между узлами вдоль параллели равно около 78 км на экваторе, 50 км на 50° с. ш. и 14 км на 80° с. ш., а у полюсов сетка вырождается.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рекурсивно измельчают, деля каждый треугольник на четыре и проецируя новые вершины на сферу. У каждой вершины пять или шесть соседей, длины рёбер различаются мало, и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признаки узлов, которые попали в её окрестность (радиус связи 0,6 в единицах длины ребра графа). Сначала это делают свёрточные слои графа, которые смешивают узлы с весами, зависящими только от числа связей. Затем слой передачи сообщений с признаками рёбер, как в GraphCast [8], добавляет поправку, которая зависит от смещения узла относительно вершины. Скрытое представление вершины имеет размерность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e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(5)</w:t>
            </w:r>
          </w:p>
        </w:tc>
      </w:tr>
    </w:tbl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h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v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(6)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 Каждый узел сетки получает сообщения от трёх вершин треугольника графа, в который он попадает. Сообщение строится по формуле (5), где признаки ребра задают смещение узла относительно вершины, так что вклад вершины зависит от положения узла внутри треугольника. Зачем это нужно, показано в п. 4.8.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rPr>
                    <m:scr m:val="script"/>
                    <m:sty m:val="p"/>
                  </m:rP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(7)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9 тыс. параметров (0,15 %), и после округления число параметров у них одинаково. Слои с признаками рёбер в кодировщике и декодировщике добавляют 0,6 млн, всего у итоговой модели 6,7 млн параметров.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то есть внешняя граница и внешнее поле остаются необходимыми. В нашей схеме их нет.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Вставка задана прямоугольником в координатах широта–долгота и сохраняет неоднородность шага по долготе (п. 3.1). Для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более протяжённой области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разрушают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Эти блоки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считается по всем узлам расчётной сетки: потери только по области интереса портили поля за её пределами и через авторегрессию прогноз внутри неё. Рельеф и маска суши и моря в функцию потерь не входят.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относительно реанализа ERA5 с шагом 0,25° в узлах региональной вставки. Табл. 1 посчитана с широтными весами, табл. 3–5 с равными: там конфигурации сравниваются между собой, а вес меняет ошибку не больше чем на 0,02 °C,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у итоговой модели ошибка приземной температуры на суточном сроке равна 1,39 °C на 1607 сроках и 1,57 °C на 100. Табл. 2 к тому же получена на 19-канальной линии моделей (п. 4.3).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итоговой-модели"/>
    <w:p>
      <w:pPr>
        <w:pStyle w:val="Heading2"/>
      </w:pPr>
      <w:r>
        <w:t xml:space="preserve">Качество итоговой модели</w:t>
      </w:r>
    </w:p>
    <w:p>
      <w:pPr>
        <w:pStyle w:val="FirstParagraph"/>
      </w:pPr>
      <w:r>
        <w:t xml:space="preserve">На суточном сроке ошибка приземной температуры у итоговой модели равна 1,39 °C по области [1,31; 1,45] и 1,25 °C во внутренней зоне [1,15; 1,35]. По остальным полям региона на том же сроке: ветер 0,68 и 0,66 м/с, давление на уровне моря 0,97 гПа, T850 0,85 °C, Z500 8,1 гпм. Аномальная корреляция приведена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0,076; 0,121; 0,149 и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p>
      <w:pPr>
        <w:pStyle w:val="BodyText"/>
      </w:pPr>
      <w:r>
        <w:t xml:space="preserve">Итоговая модель получена из взвешенной конфигурации в три шага, показанных в табл. 1. Обучение вдвое дольше (16 эпох вместо 8) снижает ошибку приземной температуры на 1,2–1,8 %: прежнюю модель недоучили. Новые декодировщик и кодировщик (п. 3.2 и 4.8), по 8 эпох каждый, снижают её ещё на 4,2–4,5 %, давления на 5,6–7,6 %, ветра на 1,4–3,6 %. Все разности значимы на всех горизонтах.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мультимасштабной конструкции, прогноз глобальной модели с шагом 0,703° билинейно интерполировали в те же 2501 узел и оценили по той же истине. Опыт поставлен на 19-канальной линии моделей, и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поле в целом.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пространственная. Узлов региональной вставки 2501 из 133 279, то есть 1,9 %.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поканальная.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Крайние доли различаются в 1218 раз. Вклад канала определяется масштабом его изменчивости, а не значимостью.</w:t>
      </w:r>
    </w:p>
    <w:p>
      <w:pPr>
        <w:pStyle w:val="BodyText"/>
      </w:pPr>
      <w:r>
        <w:t xml:space="preserve">Обе диспропорции убирают веса.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модели: восемь эпох на полной развёртке с косинусным снижением темпа до нуля. Различаются они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У веса вставки есть внутренний максимум по агрегату. Когда доля вставки растёт с 1,7 до 34,1 %, улучшаются и агрегат, и приземная температура.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обучениям. Изменчивость по обучениям оценена в 0,03 п.п. и сравнима с разностью. По приземной температуре максимума нет, ошибка убывает монотонно (1,503 → 1,445 → 1,415 → 1,407). Внутренний максимум по агрегату мы считаем свойством этой выборки, а не метода.</w:t>
      </w:r>
    </w:p>
    <w:p>
      <w:pPr>
        <w:pStyle w:val="BodyText"/>
      </w:pPr>
      <w:r>
        <w:t xml:space="preserve">Механизм виден в последнем столбце: за выигрыш во вставке модель платит точностью на глобальной части графа,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втрое большей,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извне, и оптимум определяется балансом между областью и её окружением.</w:t>
      </w:r>
    </w:p>
    <w:p>
      <w:pPr>
        <w:pStyle w:val="BodyText"/>
      </w:pPr>
      <w:r>
        <w:t xml:space="preserve">Веса каналов работают как регулятор, а не как исправление ошибки. С ними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и для него равномерное взвешивание оптимально по построению. Механизм тот же, что у веса вставки: усиленные каналы отбирают ресурс у полей, от которых сами зависят.</w:t>
      </w:r>
    </w:p>
    <w:p>
      <w:pPr>
        <w:pStyle w:val="BodyText"/>
      </w:pPr>
      <w:r>
        <w:t xml:space="preserve">Все следующие конфигурации, включая итоговую, используют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Агрегатная успешность этой линии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лучшие контрольные точки, заморозка выигрывает до 0,14 °C на +24 ч. Но лучшие точки достигнуты на разных эпохах, 16-й и 7-й, и сравниваются не только стратегии, но и объёмы обучения. При равном бюджете разность по приземной температуре исчезает: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Тот же эффект есть у базовой 33-канальной конфигурации.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Отсюда методический вывод. Минимум одношаговой ошибки на проверочной выборке выбирает модель, лучшую ровно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Роль заморозки скромнее. По приземной температуре при равном бюджете расписание на итог не влияет: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Агрегат и поканальные значения расходятся второй раз после п. 4.4, и причина та же: вклад канала в агрегат определяется отношением его ошибки к разбросу поля, а не его значимостью. В отчёте нужно приводить и агрегат, и поканальные значения целевых полей.</w:t>
      </w:r>
    </w:p>
    <w:p>
      <w:pPr>
        <w:pStyle w:val="BodyText"/>
      </w:pPr>
      <w:r>
        <w:t xml:space="preserve">Адаптировать процессор под регион всё же необходимо: при заморозке на всё обучение ошибка на проверочной и на обучающей выборках выше на 7,5 %, модели не хватает свободы подстроить динамику.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Мы утверждаем, что жёсткая склейка узлов не требует отдельной процедуры сшивания. Чтобы проверить это напрямую, ошибку приземной температуры итоговой модели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Переходный слой есть, но слабый. У границы ошибка на 3–4 % выше, чем в полосе 100–200 км, на всех горизонтах (1,24 против 1,20 °C на +6 ч, 1,62 против 1,56 °C на +24 ч), и о полной бесшовности говорить нельзя. Превышение над глубиной области составляет 10, 8, 6 и 6 % по четырём горизонтам, то есть с горизонтом не растёт.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Глобальная часть не страдает. Сразу за границей вставки ошибка (1,64 °C на +24 ч) меньше, чем вдали от неё (1,75 и 1,76 °C).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шару, где больше половины площади занимает океан с более точным прогнозом, и с нашими напрямую несопоставимы.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В архиве GraphCast есть только инициализации 00 и 12 UTC, и сравнение идёт на 803 общих сроках тестового окна. Правильность сопоставления проверена на инерционном прогнозе: по архиву он даёт по приземной температуре 6,71; 6,90; 4,02 и 4,45 °C, нашим кодом 6,71; 6,90; 4,03 и 4,45 °C. Сравнение ограничено приземными полями: уровни лежат в архиве одним блоком.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Такое соотношение ожидаемо. У GraphCast 36,7 млн параметров против 6,7 млн, разрешение 0,25° по всему шару против грубой глобальной сетки со вставкой, 37 уровней против четырёх и обучение на многих ускорителях против одного. Отставание показывает цену перехода к вычислительной среде регионального подразделения. Предел самого подхода это сравнение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0,976 [0,971; 0,980] по области и 0,984 [0,979; 0,988] во внутренней зоне. По остальным полям области она равна 0,950 и 0,931 для составляющих ветра, 0,996 для давления, 0,991 для T850 и 0,998 для Z500.</w:t>
      </w:r>
    </w:p>
    <w:bookmarkEnd w:id="28"/>
    <w:bookmarkStart w:id="29" w:name="отпечаток-сетки-графа-в-прогнозе"/>
    <w:p>
      <w:pPr>
        <w:pStyle w:val="Heading2"/>
      </w:pPr>
      <w:r>
        <w:t xml:space="preserve">Отпечаток сетки графа в прогнозе</w:t>
      </w:r>
    </w:p>
    <w:p>
      <w:pPr>
        <w:pStyle w:val="FirstParagraph"/>
      </w:pPr>
      <w:r>
        <w:t xml:space="preserve">Чтобы найти, где модель отстаёт от GraphCast, мы разложили поле ошибки на каждом сроке по масштабам (косинусное преобразование в окне вставки). У модели со свёрточными кодировщиком и декодировщиком отставание сосредоточено на масштабах 100–500 км, а в давлении модель рисовала ложную рябь короче 100 км вдвое сильнее реанализа. Шаг графа около 110 км, такие масштабы процессор не передаёт, их строят кодировщик и декодировщик.</w:t>
      </w:r>
    </w:p>
    <w:p>
      <w:pPr>
        <w:pStyle w:val="BodyText"/>
      </w:pPr>
      <w:r>
        <w:t xml:space="preserve">Свёрточный слой смешивает вершины треугольника с весами, не зависящими от положения узла сетки, и вклад процессора скачет на сторонах треугольников. Это видно в данных: средний квадрат разности ошибок у соседних узлов по разные стороны от ребра треугольника больше, чем внутри треугольника, в 1,79 раза по приземной температуре и в 2,80 раза по давлению. У GraphCast и у самого реанализа это отношение 1,1–1,2.</w:t>
      </w:r>
    </w:p>
    <w:p>
      <w:pPr>
        <w:pStyle w:val="BodyText"/>
      </w:pPr>
      <w:r>
        <w:t xml:space="preserve">Новый декодировщик и поправка кодировщика (п. 3.2) снижают это отношение до 1,21 и 1,25. При равном объёме обучения новый декодировщик уменьшает ошибку приземной температуры на 1,8–2,0 % и давления на 3,0–4,4 %, но меридиональный ветер ухудшает на 1–2 %. Поправка кодировщика это исправляет: при равном объёме обучения она уменьшает ошибку ветра на 2,1–2,9 %, давления на 1,7–2,6 % и температуры на 0,5–0,7 %. Отставание от GraphCast по приземной температуре сократилось с 1,33 до 1,25 раза, по давлению с 1,79 до 1,64.</w:t>
      </w:r>
    </w:p>
    <w:bookmarkEnd w:id="29"/>
    <w:bookmarkStart w:id="30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Модель улучшали двумя путями. Первый не трогает архитектуру: веса функции потерь перераспределяют обучающий сигнал. Оба веса улучшают целевую часть задачи за счёт остальной. Большой вес вставки ухудшает прогноз на глобальной части графа, а от него через приток извне зависит и сама вставка. Веса каналов улучшают приземную температуру и снижают агрегат по всем каналам. Второй путь меняет перенос полей между сеткой и графом, и найти его помогло сравнение с GraphCast по масштабам.</w:t>
      </w:r>
    </w:p>
    <w:bookmarkEnd w:id="30"/>
    <w:bookmarkStart w:id="31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осмысленны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, стратегию дообучения и итоговую конфигурацию выбрали по табл. 1, 3 и 4, которые посчитаны на тестовой выборке, а не на проверочной. Величины для итоговой модели поэтому следует считать слегка оптимистичными, хотя выигрыши между шагами табл. 1 (0,2–0,9 п.п.) намного больше межзапусковой изменчивости.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Не помогли шум в авторегрессии, ансамбль дообученных состояний одной модели и развёртка в двенадцать шагов вместо четырёх.</w:t>
      </w:r>
    </w:p>
    <w:p>
      <w:pPr>
        <w:pStyle w:val="BodyText"/>
      </w:pPr>
      <w:r>
        <w:t xml:space="preserve">Истинное поле здесь даёт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сравнивались. При таком сравнении нужно учесть, что модель, обученная на реанализе, оценивается против того же реанализа и находится в выгодном положении [12]. Результаты получены для одной территории и одного тестового окна. Прямого сравнения с региональной моделью с граничным форсингом [10] в работе нет.</w:t>
      </w:r>
    </w:p>
    <w:bookmarkEnd w:id="31"/>
    <w:bookmarkStart w:id="32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Оставшееся отставание от GraphCast по-прежнему сосредоточено на масштабах 100–220 км. Процессор увидит эти масштабы, если сгустить граф над регионом до шага около 55 км. Второе направление связано с данными: модель видела 9 лет реанализа, GraphCast около 40. Можно расширить обучающую выборку или начать дообучение от опубликованной модели GraphCast с шагом 1°. Чтобы схему приняли в оперативную практику, её нужно проверить по данным сети станций и включить в цикл выпуска прогноза усвоение наблюдений.</w:t>
      </w:r>
    </w:p>
    <w:bookmarkEnd w:id="32"/>
    <w:bookmarkStart w:id="33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слабый переходный слой: у границы ошибка на 3–4 % выше, чем в 100–200 км от неё, и с ростом горизонта превышение не растёт.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отпечаток. Вместе с более долгим обучением она снижает ошибку относительно исходной модели на 5,4–6,2 % по приземной температуре, на 6,7–8,9 % по давлению и на 2,3–4,7 % по ветру.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адаптировать процессор необходимо: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Результаты верификации нужно приводить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от него через приток извне зависит и сама область.</w:t>
      </w:r>
    </w:p>
    <w:bookmarkEnd w:id="33"/>
    <w:bookmarkStart w:id="34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обучение 16 эпох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декодировщик с признаками рёбер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поправка кодировщика (итоговая)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итоговая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77,2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 19-канальная линия моделей, первые 100 сроков.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 19-channel model line, first 100 initial times.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0337" cy="488188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337" cy="488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8"/>
    <w:bookmarkEnd w:id="39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2026-09-28T09:52:48Z</dcterms:created>
  <dcterms:modified xsi:type="dcterms:W3CDTF">2026-09-28T09:52:48Z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