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УДК 551.509.313:004.032.26</w:t>
      </w:r>
    </w:p>
    <w:bookmarkStart w:id="9" w:name="X59c74492fa064dbefdfda43494c8a94351062bf"/>
    <w:p>
      <w:pPr>
        <w:pStyle w:val="Heading1"/>
      </w:pPr>
      <w:r>
        <w:t xml:space="preserve">Мультимасштабная графовая нейросетевая модель регионального прогноза погоды</w:t>
      </w:r>
    </w:p>
    <w:p>
      <w:pPr>
        <w:pStyle w:val="FirstParagraph"/>
      </w:pPr>
      <w:r>
        <w:t xml:space="preserve">А.С. Табаков</w:t>
      </w:r>
      <w:r>
        <w:rPr>
          <w:vertAlign w:val="superscript"/>
        </w:rPr>
        <w:t xml:space="preserve">1,2</w:t>
      </w:r>
      <w:r>
        <w:t xml:space="preserve">, А.В. Пененко</w:t>
      </w:r>
      <w:r>
        <w:rPr>
          <w:vertAlign w:val="superscript"/>
        </w:rPr>
        <w:t xml:space="preserve">1</w:t>
      </w:r>
      <w:r>
        <w:t xml:space="preserve">, А.Б. Колкер</w:t>
      </w:r>
      <w:r>
        <w:rPr>
          <w:vertAlign w:val="superscript"/>
        </w:rPr>
        <w:t xml:space="preserve">3,4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Институт вычислительной математики и математической геофизики СО РАН, г. Новосибирск, Россия;</w:t>
      </w:r>
      <w:r>
        <w:t xml:space="preserve"> </w:t>
      </w:r>
      <w:r>
        <w:rPr>
          <w:vertAlign w:val="superscript"/>
        </w:rPr>
        <w:t xml:space="preserve">2</w:t>
      </w:r>
      <w:r>
        <w:t xml:space="preserve">Новосибирский государственный университет, г. Новосибирск, Россия;</w:t>
      </w:r>
      <w:r>
        <w:t xml:space="preserve"> </w:t>
      </w:r>
      <w:r>
        <w:rPr>
          <w:vertAlign w:val="superscript"/>
        </w:rPr>
        <w:t xml:space="preserve">3</w:t>
      </w:r>
      <w:r>
        <w:t xml:space="preserve">Сибирский региональный научно-исследовательский гидрометеорологический институт, г. Новосибирск, Россия;</w:t>
      </w:r>
      <w:r>
        <w:t xml:space="preserve"> </w:t>
      </w:r>
      <w:r>
        <w:rPr>
          <w:vertAlign w:val="superscript"/>
        </w:rPr>
        <w:t xml:space="preserve">4</w:t>
      </w:r>
      <w:r>
        <w:t xml:space="preserve">Новосибирский государственный технический университет, г. Новосибирск, Россия</w:t>
      </w:r>
    </w:p>
    <w:p>
      <w:pPr>
        <w:pStyle w:val="BodyText"/>
      </w:pPr>
      <w:r>
        <w:t xml:space="preserve">artur.tabakov11@gmail.com</w:t>
      </w:r>
    </w:p>
    <w:p>
      <w:pPr>
        <w:pStyle w:val="BodyText"/>
      </w:pPr>
      <w:r>
        <w:t xml:space="preserve">Статья описывает графовую нейросетевую модель регионального прогноза погоды над югом Красноярского края. Глобальная сетка с шагом 0,703° и региональная вставка с шагом 0,25° образуют одну расчётную сетку из 133 279 узлов. Внешние граничные условия модели не нужны: поля на стыке двух разрешений согласует обмен сообщениями по графу. У модели 6,7 млн обучаемых параметров, для обучения и прогноза хватает одного графического ускорителя. На независимой выборке из 1607 сроков за все сезоны среднеквадратическая ошибка прогноза приземной температуры на сутки равна 1,39 °C, агрегатная успешность относительно инерционного прогноза 76,0 %, аномальная корреляция 0,976. На общих узлах и сроках ошибка по приземной температуре в 1,25 раза больше, чем у глобальной модели GraphCast, у которой в 5,5 раза больше параметров. Разложение ошибки по масштабам показало, что кодировщик и декодировщик на свёрточных слоях графа отпечатывают в прогнозе треугольники графа. Передача сообщений с признаками рёбер убирает отпечаток и вместе с более долгим обучением снижает ошибку относительно исходной модели на 7–9 % по давлению и на 5–6 % по температуре. При равномерном усреднении функции потерь целевые узлы и приземные каналы получают малую долю обучающего сигнала, а явные веса снижают ошибку приземной температуры на 10,2 %. Ошибка одношагового прогноза на проверочной выборке плохо подходит для отбора модели многошагового прогноза.</w:t>
      </w:r>
    </w:p>
    <w:p>
      <w:pPr>
        <w:pStyle w:val="BodyText"/>
      </w:pPr>
      <w:r>
        <w:t xml:space="preserve">Ключевые слова: численный прогноз погоды, графовая нейронная сеть, региональный прогноз, мультимасштабная сетка, авторегрессионный прогноз, функция потерь, машинное обучение</w:t>
      </w:r>
    </w:p>
    <w:bookmarkEnd w:id="9"/>
    <w:bookmarkStart w:id="39" w:name="X18962f304fe062523d27d89f54b7781ab791a26"/>
    <w:p>
      <w:pPr>
        <w:pStyle w:val="Heading1"/>
      </w:pPr>
      <w:r>
        <w:t xml:space="preserve">A multiscale graph neural network for regional weather forecasting</w:t>
      </w:r>
    </w:p>
    <w:p>
      <w:pPr>
        <w:pStyle w:val="FirstParagraph"/>
      </w:pPr>
      <w:r>
        <w:t xml:space="preserve">A.S. Tabakov</w:t>
      </w:r>
      <w:r>
        <w:rPr>
          <w:vertAlign w:val="superscript"/>
        </w:rPr>
        <w:t xml:space="preserve">1,2</w:t>
      </w:r>
      <w:r>
        <w:t xml:space="preserve">, A.V. Penenko</w:t>
      </w:r>
      <w:r>
        <w:rPr>
          <w:vertAlign w:val="superscript"/>
        </w:rPr>
        <w:t xml:space="preserve">1</w:t>
      </w:r>
      <w:r>
        <w:t xml:space="preserve">, A.B. Kolker</w:t>
      </w:r>
      <w:r>
        <w:rPr>
          <w:vertAlign w:val="superscript"/>
        </w:rPr>
        <w:t xml:space="preserve">3,4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Institute of Computational Mathematics and Mathematical Geophysics SB RAS, Novosibirsk, Russia;</w:t>
      </w:r>
      <w:r>
        <w:t xml:space="preserve"> </w:t>
      </w:r>
      <w:r>
        <w:rPr>
          <w:vertAlign w:val="superscript"/>
        </w:rPr>
        <w:t xml:space="preserve">2</w:t>
      </w:r>
      <w:r>
        <w:t xml:space="preserve">Novosibirsk State University, Novosibirsk, Russia;</w:t>
      </w:r>
      <w:r>
        <w:t xml:space="preserve"> </w:t>
      </w:r>
      <w:r>
        <w:rPr>
          <w:vertAlign w:val="superscript"/>
        </w:rPr>
        <w:t xml:space="preserve">3</w:t>
      </w:r>
      <w:r>
        <w:t xml:space="preserve">Siberian Regional Research Hydrometeorological Institute, Novosibirsk, Russia;</w:t>
      </w:r>
      <w:r>
        <w:t xml:space="preserve"> </w:t>
      </w:r>
      <w:r>
        <w:rPr>
          <w:vertAlign w:val="superscript"/>
        </w:rPr>
        <w:t xml:space="preserve">4</w:t>
      </w:r>
      <w:r>
        <w:t xml:space="preserve">Novosibirsk State Technical University, Novosibirsk, Russia</w:t>
      </w:r>
    </w:p>
    <w:p>
      <w:pPr>
        <w:pStyle w:val="BodyText"/>
      </w:pPr>
      <w:r>
        <w:t xml:space="preserve">artur.tabakov11@gmail.com</w:t>
      </w:r>
    </w:p>
    <w:p>
      <w:pPr>
        <w:pStyle w:val="BodyText"/>
      </w:pPr>
      <w:r>
        <w:t xml:space="preserve">A graph neural network model for regional weather forecasting over the south of Krasnoyarsk Krai is presented. A global mesh of 0.703° and a regional insert of 0.25° form a single graph of 133,279 nodes, so no lateral boundary conditions are needed: message passing reconciles the resolutions at the interface. The model has 6.7 million trainable parameters and runs on a single GPU. On 1607 independent initial times the 2-m temperature error is 1.39 °C at the 24-h lead time, the aggregate skill score 76.0 % against persistence and the anomaly correlation 0.976. On shared nodes and initial times it trails the global GraphCast by a factor of 1.25 with 5.5 times fewer parameters. A scale decomposition of the error showed that an encoder and decoder built on graph convolutions imprint the mesh triangles on the forecast; message passing with edge features removes the imprint and, together with longer training, cuts the pressure error by 7–9 % and the temperature error by 5–6 %. Explicit loss weighting of the target nodes and channels cuts the 2-m temperature error by 10.2 %. The single-step validation error proves an unreliable criterion for selecting a model for multi-step forecasting.</w:t>
      </w:r>
    </w:p>
    <w:p>
      <w:pPr>
        <w:pStyle w:val="BodyText"/>
      </w:pPr>
      <w:r>
        <w:t xml:space="preserve">Keywords: numerical weather prediction, graph neural network, regional forecasting, multiscale mesh, autoregressive forecast, loss function, machine learning</w:t>
      </w:r>
    </w:p>
    <w:bookmarkStart w:id="10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Численный прогноз погоды интегрирует уравнения гидротермодинамики атмосферы на сетке высокого разрешения. В России такой прогноз оперативно выпускают по полулагранжевой модели ПЛАВ [1]. Подход точен, но один глобальный прогноз на средние сроки занимает часы работы суперкомпьютера. Это ограничивает частоту обновления прогноза и размер ансамбля.</w:t>
      </w:r>
    </w:p>
    <w:p>
      <w:pPr>
        <w:pStyle w:val="BodyText"/>
      </w:pPr>
      <w:r>
        <w:t xml:space="preserve">В 2022–2023 годах нейросетевые модели, обученные на архиве реанализа, догнали по точности оперативные модели крупнейших прогностических центров, а считают во много раз быстрее. GraphCast [8] на сроках от трёх до десяти суток превзошла оперативную систему Европейского центра по большинству переменных, сопоставимых результатов достигли Pangu-Weather [3] и FourCastNet [11]. В основе GraphCast лежит граф, узлы которого почти равномерно покрывают сферу (п. 3.1).</w:t>
      </w:r>
    </w:p>
    <w:p>
      <w:pPr>
        <w:pStyle w:val="BodyText"/>
      </w:pPr>
      <w:r>
        <w:t xml:space="preserve">Большинство таких систем решает глобальную задачу, а на практике часто нужен более детальный прогноз над ограниченной территорией. Главная трудность такого перехода связана с граничными условиями: у краевых узлов вырезанной области нет корректного окружения. В классическом прогнозе поле в буферной зоне релаксируют к внешнему полю [4]. Для этого нужна отдельная процедура, которая вносит собственные погрешности.</w:t>
      </w:r>
    </w:p>
    <w:p>
      <w:pPr>
        <w:pStyle w:val="BodyText"/>
      </w:pPr>
      <w:r>
        <w:t xml:space="preserve">Для нейросетевых региональных моделей предложено несколько способов обойти проблему границ. Архитектура Neural-LAM [10] получает граничный форсинг от глобальной модели. В [9] разрешение плавно меняется на растянутой сетке. В [5] вложенные сетки обмениваются информацией между уровнями. Подходы с растянутой сеткой и с ограниченной областью сравнивали в [13].</w:t>
      </w:r>
    </w:p>
    <w:p>
      <w:pPr>
        <w:pStyle w:val="BodyText"/>
      </w:pPr>
      <w:r>
        <w:t xml:space="preserve">Наша работа посвящена региональной модели прогноза над югом Красноярского края. Вклад работы состоит в следующем.</w:t>
      </w:r>
    </w:p>
    <w:p>
      <w:pPr>
        <w:numPr>
          <w:ilvl w:val="0"/>
          <w:numId w:val="1001"/>
        </w:numPr>
      </w:pPr>
      <w:r>
        <w:t xml:space="preserve">Мы построили единую мультимасштабную сетку. Глобальная сетка с шагом 0,703° и региональная вставка с шагом 0,25° соединены в один граф без внешних границ. Разрешения согласует обмен сообщениями, отдельная процедура сшивания не нужна. Сама идея мультимасштабного представления известна [5, 9]. Наш вариант отличается способом построения: узлы глобальной решётки внутри области заменены узлами вставки, и связность для всех узлов строится одинаково. Такая конструкция точнее интерполяции прогноза глобальной модели в те же узлы.</w:t>
      </w:r>
    </w:p>
    <w:p>
      <w:pPr>
        <w:numPr>
          <w:ilvl w:val="0"/>
          <w:numId w:val="1001"/>
        </w:numPr>
      </w:pPr>
      <w:r>
        <w:t xml:space="preserve">Модель намеренно сделана лёгкой: у неё 6,7 млн параметров, у моделей [3, 8, 9] от десятков до сотен миллионов. Для обучения и выпуска прогноза хватает одного графического ускорителя, и схема по силам вычислительной среде регионального управления гидрометслужбы.</w:t>
      </w:r>
    </w:p>
    <w:p>
      <w:pPr>
        <w:numPr>
          <w:ilvl w:val="0"/>
          <w:numId w:val="1001"/>
        </w:numPr>
      </w:pPr>
      <w:r>
        <w:t xml:space="preserve">Мы исследовали стратегию дообучения глобальной модели под региональную сетку. Отдельный методический результат касается отбора модели. Ошибка одношагового прогноза на проверочной выборке ненадёжна как критерий отбора, если модель строит многошаговый прогноз.</w:t>
      </w:r>
    </w:p>
    <w:p>
      <w:pPr>
        <w:numPr>
          <w:ilvl w:val="0"/>
          <w:numId w:val="1001"/>
        </w:numPr>
      </w:pPr>
      <w:r>
        <w:t xml:space="preserve">При равномерном усреднении функции потерь обучающий сигнал распределяется не так, как требует задача: узлы целевой области получают 1,7 % сигнала, приземная температура 0,46 %. Явные веса по узлам и каналам снижают ошибку приземной температуры на 10,2 %, архитектура и объём обучения остаются прежними.</w:t>
      </w:r>
    </w:p>
    <w:p>
      <w:pPr>
        <w:numPr>
          <w:ilvl w:val="0"/>
          <w:numId w:val="1001"/>
        </w:numPr>
      </w:pPr>
      <w:r>
        <w:t xml:space="preserve">Сравнение с GraphCast по масштабам показало, где модель теряет точность. Кодировщик и декодировщик на свёрточных слоях графа не учитывают положение узла сетки относительно вершин графа, и в прогнозе проступают границы треугольников. Передача сообщений с признаками рёбер, как в GraphCast, убирает этот отпечаток. Вместе с более долгим обучением это снижает ошибку давления на 7–9 %.</w:t>
      </w:r>
    </w:p>
    <w:p>
      <w:r>
        <w:pict>
          <v:rect style="width:0;height:1.5pt" o:hralign="center" o:hrstd="t" o:hr="t"/>
        </w:pict>
      </w:r>
    </w:p>
    <w:bookmarkEnd w:id="10"/>
    <w:bookmarkStart w:id="11" w:name="данные-базовая-модель-и-метрики-качества"/>
    <w:p>
      <w:pPr>
        <w:pStyle w:val="Heading2"/>
      </w:pPr>
      <w:r>
        <w:t xml:space="preserve">Данные, базовая модель и метрики качества</w:t>
      </w:r>
    </w:p>
    <w:bookmarkEnd w:id="11"/>
    <w:bookmarkStart w:id="12" w:name="исходные-данные"/>
    <w:p>
      <w:pPr>
        <w:pStyle w:val="Heading2"/>
      </w:pPr>
      <w:r>
        <w:t xml:space="preserve">Исходные данные</w:t>
      </w:r>
    </w:p>
    <w:p>
      <w:pPr>
        <w:pStyle w:val="FirstParagraph"/>
      </w:pPr>
      <w:r>
        <w:t xml:space="preserve">Модель обучали и оценивали на реанализе ERA5 Европейского центра среднесрочных прогнозов погоды [6] за 2010–2020 гг. с шагом 6 ч. Это 16 072 последовательных срока.</w:t>
      </w:r>
    </w:p>
    <w:p>
      <w:pPr>
        <w:pStyle w:val="BodyText"/>
      </w:pPr>
      <w:r>
        <w:t xml:space="preserve">Состояние атмосферы описывают 19 полей. Семь из них приземные: температура воздуха на высоте 2 м, зональная и меридиональная составляющие ветра на высоте 10 м, давление на уровне моря, приземное давление, суммарные осадки за 6 ч и общее содержание водяного пара в столбе атмосферы. Два поля статические: геопотенциал поверхности и маска суши и моря. Модель получает статические поля на вход, но не прогнозирует, и в оценках они не участвуют. На уровнях 850 и 500 гПа заданы по пять полей: температура, две составляющие ветра, геопотенциал и удельная влажность. Вертикальную структуру описывает набор признаков узла, отдельных узлов по высоте нет.</w:t>
      </w:r>
    </w:p>
    <w:p>
      <w:pPr>
        <w:pStyle w:val="BodyText"/>
      </w:pPr>
      <w:r>
        <w:t xml:space="preserve">Поля хранятся в физических единицах, геопотенциал ERA5 поделён на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80665</m:t>
        </m:r>
      </m:oMath>
      <w:r>
        <w:t xml:space="preserve"> </w:t>
      </w:r>
      <w:r>
        <w:t xml:space="preserve">м/с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Перед подачей в сеть каждый канал стандартизуется по среднему и разбросу за 2010–2020 гг., включая проверочную и тестовую части; влияние этих двух чисел на канал пренебрежимо мало.</w:t>
      </w:r>
    </w:p>
    <w:p>
      <w:pPr>
        <w:pStyle w:val="BodyText"/>
      </w:pPr>
      <w:r>
        <w:t xml:space="preserve">На вход модель получает два последовательных срока (12 ч). Прогноз строится авторегрессионно с шагом 6 ч, оценки приводятся для горизонтов +6, +12, +18 и +24 ч.</w:t>
      </w:r>
    </w:p>
    <w:p>
      <w:pPr>
        <w:pStyle w:val="BodyText"/>
      </w:pPr>
      <w:r>
        <w:t xml:space="preserve">Целевая область (регион) ограничена координатами 50–60° с. ш., 83–98° в. д. Область покрывает решётка с шагом 0,25° размером 61 × 41 = 2501 узел. Внутри региона выделена зона 55,5–56,5° с. ш., 92–94° в. д. (45 узлов) с Красноярском и окрестностями. Метрики считаются относительно полей ERA5 с шагом 0,25° в этих узлах, без интерполяции с более грубой сетки.</w:t>
      </w:r>
    </w:p>
    <w:p>
      <w:pPr>
        <w:pStyle w:val="BodyText"/>
      </w:pPr>
      <w:r>
        <w:t xml:space="preserve">Основная модель использует 33-канальную конфигурацию. К 19 полям в ней добавлены по пять полей на уровнях 250 и 1000 гПа (температура, обе составляющие ветра, геопотенциал, удельная влажность) и четыре канала временного форсинга: синусы и косинусы часа суток и дня года. При развёртке форсинг и статические поля заменяются известными значениями и в число прогностических каналов не входят.</w:t>
      </w:r>
    </w:p>
    <w:bookmarkEnd w:id="12"/>
    <w:bookmarkStart w:id="13" w:name="хронологическое-разбиение-выборки"/>
    <w:p>
      <w:pPr>
        <w:pStyle w:val="Heading2"/>
      </w:pPr>
      <w:r>
        <w:t xml:space="preserve">Хронологическое разбиение выборки</w:t>
      </w:r>
    </w:p>
    <w:p>
      <w:pPr>
        <w:pStyle w:val="FirstParagraph"/>
      </w:pPr>
      <w:r>
        <w:t xml:space="preserve">Выборку разбили по времени, без перемешивания: обучающая часть предшествует проверочной, а та тестовой. Окно примера включает 2 входных среза и 4 прогностических шага, и из 16 072 сроков получается 16 067 примеров. Примеры разделили в долях 80, 10 и 10 %: 12 853 для обучения, 1607 для подбора гиперпараметров и отбора состояния модели, 1607 для тестов. Все публикуемые числа получены на тестовой выборке, которая охватывает полный годовой цикл. Сроки начала прогноза в обучающей выборке идут с 01.01.2010 06 UTC по 19.10.2018 06 UTC, в проверочной с 19.10.2018 12 UTC по 25.11.2019 00 UTC, в тестовой с 25.11.2019 06 UTC по 30.12.2020 18 UTC.</w:t>
      </w:r>
    </w:p>
    <w:bookmarkEnd w:id="13"/>
    <w:bookmarkStart w:id="14" w:name="базовая-глобальная-модель"/>
    <w:p>
      <w:pPr>
        <w:pStyle w:val="Heading2"/>
      </w:pPr>
      <w:r>
        <w:t xml:space="preserve">Базовая глобальная модель</w:t>
      </w:r>
    </w:p>
    <w:p>
      <w:pPr>
        <w:pStyle w:val="FirstParagraph"/>
      </w:pPr>
      <w:r>
        <w:t xml:space="preserve">Региональное дообучение начинается с глобальной модели. Глобальную модель обучили на тех же 19 полях на широтно-долготной сетке 512 × 256 узлов с шагом около 0,703°. Устроена она так же, как региональная (п. 3.2), но без слоёв с признаками рёбер в кодировщике и декодировщике. Меш объединяет уровни детализации 4 и 6. У глобальной модели 6,0 млн обучаемых параметров, в шесть раз меньше, чем у GraphCast [8], и для обучения и оперативного выпуска прогноза хватает одного графического ускорителя.</w:t>
      </w:r>
    </w:p>
    <w:p>
      <w:pPr>
        <w:pStyle w:val="BodyText"/>
      </w:pPr>
      <w:r>
        <w:t xml:space="preserve">Функция потерь равна среднеквадратической ошибке в стандартизованных переменных, осреднённой по узлам, каналам и горизонтам. Длина авторегрессионной развёртки при обучении растёт поэтапно. При подготовке работы мы нашли особенность реализации. При глобальном предобучении широтные веса узлов оказались почти равномерными, а при региональном дообучении (п. 3.4) применялись веса</w:t>
      </w:r>
      <w:r>
        <w:t xml:space="preserve"> </w:t>
      </w:r>
      <m:oMath>
        <m:r>
          <m:rPr>
            <m:sty m:val="p"/>
          </m:rPr>
          <m:t>cos</m:t>
        </m:r>
        <m:r>
          <m:t>φ</m:t>
        </m:r>
      </m:oMath>
      <w:r>
        <w:t xml:space="preserve">, где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обозначает широту узла. Региональное дообучение стартовало с промежуточного состояния глобальной модели, лучшего по проверочной выборке (эпоха 30 из 36 пройденных). На собственной сетке базовая модель даёт агрегатную успешность 65,4 % и ошибку приземной температуры 1,07 °C в среднем по горизонтам +6…+24 ч (200 сроков). С региональными числами работы эти значения сравнивать нельзя. Эти значения посчитаны по всему шару на грубой сетке 0,703°, где истинное поле сглажено, и на другой подвыборке сроков.</w:t>
      </w:r>
    </w:p>
    <w:bookmarkEnd w:id="14"/>
    <w:bookmarkStart w:id="15" w:name="метрики-качества"/>
    <w:p>
      <w:pPr>
        <w:pStyle w:val="Heading2"/>
      </w:pPr>
      <w:r>
        <w:t xml:space="preserve">Метрики качества</w:t>
      </w:r>
    </w:p>
    <w:p>
      <w:pPr>
        <w:pStyle w:val="FirstParagraph"/>
      </w:pPr>
      <w:r>
        <w:t xml:space="preserve">Для канала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горизонта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среднеквадратическая ошибка считается в физических единицах канала: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789"/>
        <w:gridCol w:w="850"/>
      </w:tblGrid>
      <w:tr>
        <w:tc>
          <w:tcPr>
            <w:tcW w:w="8789" w:type="dxa"/>
            <w:vAlign w:val="center"/>
          </w:tcPr>
          <w:p>
            <w:pPr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N</m:t>
                            </m:r>
                            <m:r>
                              <m:t> 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G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g</m:t>
                                </m:r>
                                <m:r>
                                  <m:rPr>
                                    <m:sty m:val="p"/>
                                  </m:rPr>
                                  <m:t>∈</m:t>
                                </m:r>
                                <m:r>
                                  <m:rPr>
                                    <m:scr m:val="script"/>
                                    <m:sty m:val="p"/>
                                  </m:rPr>
                                  <m:t>G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p>
                                  <m:e>
                                    <m:d>
                                      <m:dPr>
                                        <m:begChr m:val="("/>
                                        <m:sepChr m:val=""/>
                                        <m:endChr m:val=")"/>
                                        <m:grow/>
                                      </m:dPr>
                                      <m:e>
                                        <m:sSubSup>
                                          <m:e>
                                            <m:acc>
                                              <m:accPr>
                                                <m:chr m:val="̂"/>
                                              </m:accPr>
                                              <m:e>
                                                <m:r>
                                                  <m:t>x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m:t>c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,</m:t>
                                            </m:r>
                                            <m:r>
                                              <m:t>g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m:t>(</m:t>
                                            </m:r>
                                            <m: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)</m:t>
                                            </m: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m:t>(</m:t>
                                        </m:r>
                                        <m:r>
                                          <m:t>τ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)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sSubSup>
                                          <m:e>
                                            <m: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m:t>c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,</m:t>
                                            </m:r>
                                            <m:r>
                                              <m:t>g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m:t>(</m:t>
                                            </m:r>
                                            <m: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)</m:t>
                                            </m: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m:t>(</m:t>
                                        </m:r>
                                        <m:r>
                                          <m:t>τ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)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nary>
                          </m:e>
                        </m:nary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>
            <w:pPr>
              <w:ind w:firstLine="0"/>
              <w:jc w:val="right"/>
            </w:pPr>
            <w:r>
              <w:t>(1)</w:t>
            </w:r>
          </w:p>
        </w:tc>
      </w:tr>
    </w:tbl>
    <w:p>
      <w:pPr>
        <w:pStyle w:val="FirstParagraph"/>
      </w:pPr>
      <w:r>
        <w:t xml:space="preserve">где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число сроков (</w:t>
      </w:r>
      <m:oMath>
        <m:r>
          <m:t>N</m:t>
        </m:r>
        <m:r>
          <m:rPr>
            <m:sty m:val="p"/>
          </m:rPr>
          <m:t>=</m:t>
        </m:r>
        <m:r>
          <m:t>1607</m:t>
        </m:r>
      </m:oMath>
      <w:r>
        <w:t xml:space="preserve"> </w:t>
      </w:r>
      <w:r>
        <w:t xml:space="preserve">для тестовой выборки);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t xml:space="preserve">— множество оцениваемых узлов (2501 для региона, 45 для внутренней зоны);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— прогноз,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значение реанализа, то есть истинное поле. Ошибка приводится в единицах переменной: °C, м/с, гПа, гпм. Узлы входят в сумму с весами</w:t>
      </w:r>
      <w:r>
        <w:t xml:space="preserve"> </w:t>
      </w:r>
      <m:oMath>
        <m:r>
          <m:rPr>
            <m:sty m:val="p"/>
          </m:rPr>
          <m:t>cos</m:t>
        </m:r>
        <m:r>
          <m:t>φ</m:t>
        </m:r>
      </m:oMath>
      <w:r>
        <w:t xml:space="preserve">, нормированными на единичное среднее, как принято в протоколе верификации нейросетевых моделей прогноза [12]. Ячейка широтно-долготной сетки на 60° с. ш. вдвое у́же экваториальной, и при равных весах высокие широты получили бы завышенный вклад. Для полосы 50–60° с. ш. наибольший вес больше наименьшего в 1,29 раза.</w:t>
      </w:r>
    </w:p>
    <w:p>
      <w:pPr>
        <w:pStyle w:val="BodyText"/>
      </w:pPr>
      <w:r>
        <w:t xml:space="preserve">Прогноз сравнивается с двумя эталонами. Инерционный эталон переносит поля последнего входного среза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на все горизонты без изменений, климатический описан ниже. Успешность относительно эталона вычисляется так: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789"/>
        <w:gridCol w:w="850"/>
      </w:tblGrid>
      <w:tr>
        <w:tc>
          <w:tcPr>
            <w:tcW w:w="8789" w:type="dxa"/>
            <w:vAlign w:val="center"/>
          </w:tcPr>
          <w:p>
            <w:pPr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rPr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M</m:t>
                            </m:r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Sup>
                          <m:e>
                            <m:r>
                              <m:rPr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M</m:t>
                            </m:r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  <m:sup>
                            <m:r>
                              <m:rPr>
                                <m:nor/>
                                <m:sty m:val="p"/>
                              </m:rPr>
                              <m:t>эт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⋅</m:t>
                </m:r>
                <m:r>
                  <m:t>100</m:t>
                </m:r>
                <m:r>
                  <m:t> 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>
            <w:pPr>
              <w:ind w:firstLine="0"/>
              <w:jc w:val="right"/>
            </w:pPr>
            <w:r>
              <w:t>(2)</w:t>
            </w:r>
          </w:p>
        </w:tc>
      </w:tr>
    </w:tbl>
    <w:p>
      <w:pPr>
        <w:pStyle w:val="FirstParagraph"/>
      </w:pPr>
      <w:r>
        <w:t xml:space="preserve">где</w:t>
      </w:r>
      <w:r>
        <w:t xml:space="preserve"> </w:t>
      </w:r>
      <m:oMath>
        <m:s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p>
            <m:r>
              <m:rPr>
                <m:nor/>
                <m:sty m:val="p"/>
              </m:rPr>
              <m:t>эт</m:t>
            </m:r>
          </m:sup>
        </m:sSup>
      </m:oMath>
      <w:r>
        <w:t xml:space="preserve"> </w:t>
      </w:r>
      <w:r>
        <w:t xml:space="preserve">— ошибка (1) для эталона на том же окне и той же маске узлов.</w:t>
      </w:r>
    </w:p>
    <w:p>
      <w:pPr>
        <w:pStyle w:val="BodyText"/>
      </w:pPr>
      <w:r>
        <w:t xml:space="preserve">Инерционный эталон подходит не для всех полей. По приземной температуре его ошибка на горизонтах +6…+24 ч равна 4,99; 6,88; 5,88 и 4,42 °C: к суткам поле возвращается к тому же часу местного времени. Успешность относительно него немонотонна (76,4; 80,2; 76,2 и 67,0 %) и говорит об эталоне не меньше, чем о модели.</w:t>
      </w:r>
    </w:p>
    <w:p>
      <w:pPr>
        <w:pStyle w:val="BodyText"/>
      </w:pPr>
      <w:r>
        <w:t xml:space="preserve">У климатического эталона такого недостатка нет. Климатологию построили по обучающей части выборки разложением по гармоникам (три годовые и суточный ход), тестовые сроки в подгонку не входили. Ошибка климатического эталона почти не зависит от горизонта: 6,25 °C по приземной температуре на всех сроках, 5,42 °C по температуре на 850 гПа, 9,19 гПа по давлению на уровне моря, 2,05 и 1,74 м/с по составляющим ветра. На суточном сроке успешность итоговой модели относительно климатологии равна 77,7 % по приземной температуре, 84,2 % по T850, 89,4 % по давлению, 67,1 и 62,0 % по ветру.</w:t>
      </w:r>
    </w:p>
    <w:p>
      <w:pPr>
        <w:pStyle w:val="BodyText"/>
      </w:pPr>
      <w:r>
        <w:t xml:space="preserve">Сводную оценку даёт агрегатный показатель. Единицы у каналов разные, и агрегат считается в стандартизованных переменных: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789"/>
        <w:gridCol w:w="850"/>
      </w:tblGrid>
      <w:tr>
        <w:tc>
          <w:tcPr>
            <w:tcW w:w="8789" w:type="dxa"/>
            <w:vAlign w:val="center"/>
          </w:tcPr>
          <w:p>
            <w:pPr>
              <w:ind w:firstLine="0"/>
              <w:jc w:val="center"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</m:e>
                </m:ba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N</m:t>
                            </m:r>
                            <m:r>
                              <m:t> 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G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 </m:t>
                            </m:r>
                            <m:r>
                              <m:t>C</m:t>
                            </m:r>
                            <m:r>
                              <m:t> </m:t>
                            </m:r>
                            <m:r>
                              <m:t>H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g</m:t>
                                </m:r>
                                <m:r>
                                  <m:rPr>
                                    <m:sty m:val="p"/>
                                  </m:rPr>
                                  <m:t>∈</m:t>
                                </m:r>
                                <m:r>
                                  <m:rPr>
                                    <m:scr m:val="script"/>
                                    <m:sty m:val="p"/>
                                  </m:rPr>
                                  <m:t>G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subHide m:val="off"/>
                                    <m:supHide m:val="off"/>
                                  </m:naryPr>
                                  <m:sub>
                                    <m:r>
                                      <m:t>c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t>1</m:t>
                                    </m:r>
                                  </m:sub>
                                  <m:sup>
                                    <m:r>
                                      <m:t>C</m:t>
                                    </m:r>
                                  </m:sup>
                                  <m:e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off"/>
                                        <m:supHide m:val="on"/>
                                      </m:naryPr>
                                      <m:sub>
                                        <m:r>
                                          <m:t>τ</m:t>
                                        </m:r>
                                      </m:sub>
                                      <m:sup>
                                        <m:r>
                                          <m:t>​</m:t>
                                        </m:r>
                                      </m:sup>
                                      <m:e>
                                        <m:sSup>
                                          <m:e>
                                            <m:d>
                                              <m:dPr>
                                                <m:begChr m:val="("/>
                                                <m:sepChr m:val=""/>
                                                <m:endChr m:val=")"/>
                                                <m:grow/>
                                              </m:dPr>
                                              <m:e>
                                                <m:f>
                                                  <m:fPr>
                                                    <m:type m:val="bar"/>
                                                  </m:fPr>
                                                  <m:num>
                                                    <m:sSubSup>
                                                      <m:e>
                                                        <m:acc>
                                                          <m:accPr>
                                                            <m:chr m:val="̂"/>
                                                          </m:accPr>
                                                          <m:e>
                                                            <m:r>
                                                              <m:t>x</m:t>
                                                            </m:r>
                                                          </m:e>
                                                        </m:acc>
                                                      </m:e>
                                                      <m:sub>
                                                        <m:r>
                                                          <m:t>c</m:t>
                                                        </m:r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,</m:t>
                                                        </m:r>
                                                        <m:r>
                                                          <m:t>g</m:t>
                                                        </m:r>
                                                      </m:sub>
                                                      <m:sup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(</m:t>
                                                        </m:r>
                                                        <m:r>
                                                          <m:t>n</m:t>
                                                        </m:r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)</m:t>
                                                        </m:r>
                                                      </m:sup>
                                                    </m:sSubSup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m:t>(</m:t>
                                                    </m:r>
                                                    <m:r>
                                                      <m:t>τ</m:t>
                                                    </m:r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m:t>)</m:t>
                                                    </m:r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m:t>−</m:t>
                                                    </m:r>
                                                    <m:sSubSup>
                                                      <m:e>
                                                        <m:r>
                                                          <m:t>x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m:t>c</m:t>
                                                        </m:r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,</m:t>
                                                        </m:r>
                                                        <m:r>
                                                          <m:t>g</m:t>
                                                        </m:r>
                                                      </m:sub>
                                                      <m:sup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(</m:t>
                                                        </m:r>
                                                        <m:r>
                                                          <m:t>n</m:t>
                                                        </m:r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)</m:t>
                                                        </m:r>
                                                      </m:sup>
                                                    </m:sSubSup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m:t>(</m:t>
                                                    </m:r>
                                                    <m:r>
                                                      <m:t>τ</m:t>
                                                    </m:r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m:t>)</m:t>
                                                    </m:r>
                                                  </m:num>
                                                  <m:den>
                                                    <m:sSub>
                                                      <m:e>
                                                        <m:r>
                                                          <m:t>σ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m:t>c</m:t>
                                                        </m:r>
                                                      </m:sub>
                                                    </m:sSub>
                                                  </m:den>
                                                </m:f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e>
                                </m:nary>
                              </m:e>
                            </m:nary>
                          </m:e>
                        </m:nary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S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M</m:t>
                            </m:r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bar>
                      </m:num>
                      <m:den>
                        <m:sSup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m:rPr>
                                    <m:sty m:val="p"/>
                                  </m:rP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S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</m:e>
                            </m:bar>
                          </m:e>
                          <m:sup>
                            <m:r>
                              <m:rPr>
                                <m:nor/>
                                <m:sty m:val="p"/>
                              </m:rPr>
                              <m:t>эт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⋅</m:t>
                </m:r>
                <m:r>
                  <m:t>100</m:t>
                </m:r>
                <m:r>
                  <m:t> 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>
            <w:pPr>
              <w:ind w:firstLine="0"/>
              <w:jc w:val="right"/>
            </w:pPr>
            <w:r>
              <w:t>(3)</w:t>
            </w:r>
          </w:p>
        </w:tc>
      </w:tr>
    </w:tbl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σ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 стандартное отклонение канала при стандартизации;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число прогностических каналов (17 для 19-канальной конфигурации, 27 для 33-канальной: исключены два статических поля и четыре канала форсинга);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t xml:space="preserve">. В табл. 1 столбец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осредняет разные наборы каналов, и строки с 19 и 33 каналами по нему сравнивать нельзя. Сравнимы поканальные значения и строки внутри одного набора.</w:t>
      </w:r>
    </w:p>
    <w:p>
      <w:pPr>
        <w:pStyle w:val="BodyText"/>
      </w:pPr>
      <w:r>
        <w:t xml:space="preserve">Кроме ошибки, приводится аномальная корреляция. Эта мера показывает, насколько прогноз воспроизводит отклонение от обычного состояния: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789"/>
        <w:gridCol w:w="850"/>
      </w:tblGrid>
      <w:tr>
        <w:tc>
          <w:tcPr>
            <w:tcW w:w="8789" w:type="dxa"/>
            <w:vAlign w:val="center"/>
          </w:tcPr>
          <w:p>
            <w:pPr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∑</m:t>
                            </m:r>
                            <m:sSub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g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g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g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 </m:t>
                            </m:r>
                            <m:r>
                              <m:rPr>
                                <m:sty m:val="p"/>
                              </m:rPr>
                              <m:t>∑</m:t>
                            </m:r>
                            <m:sSub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g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g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g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>
            <w:pPr>
              <w:ind w:firstLine="0"/>
              <w:jc w:val="right"/>
            </w:pPr>
            <w:r>
              <w:t>(4)</w:t>
            </w:r>
          </w:p>
        </w:tc>
      </w:tr>
    </w:tbl>
    <w:p>
      <w:pPr>
        <w:pStyle w:val="FirstParagraph"/>
      </w:pPr>
      <w:r>
        <w:t xml:space="preserve">где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— климатология ERA5 за 1990–2019 гг. из архива WeatherBench 2 [12],</w:t>
      </w:r>
      <w: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— тот же широтный вес. Суммирование идёт сразу по узлам и срокам, то есть ACC равна отношению сумм, а не среднему посрочных корреляций. Из прогноза и истины вычитается климатология, а не среднее поля, чтобы убрать из обоих общий сезонный ход.</w:t>
      </w:r>
    </w:p>
    <w:p>
      <w:pPr>
        <w:pStyle w:val="BodyText"/>
      </w:pPr>
      <w:r>
        <w:t xml:space="preserve">Точность оценок характеризуют доверительные интервалы блочного бутстрепа. Сроки идут через 6 ч и коррелированы внутри одного синоптического процесса, и при ресэмплинге берутся блоки подряд идущих сроков [7]. Интервалы строятся из посрочных вкладов в ошибку, и конфигурации сравниваются парно на общих сроках. Интервал учитывает изменчивость по срокам верификации, но не по повторным обучениям. Изменчивость по обучениям оценена в п. 5.1.</w:t>
      </w:r>
    </w:p>
    <w:p>
      <w:r>
        <w:pict>
          <v:rect style="width:0;height:1.5pt" o:hralign="center" o:hrstd="t" o:hr="t"/>
        </w:pict>
      </w:r>
    </w:p>
    <w:bookmarkEnd w:id="15"/>
    <w:bookmarkStart w:id="16" w:name="X82254124f8568425d0e292d5a87736a92eb850a"/>
    <w:p>
      <w:pPr>
        <w:pStyle w:val="Heading2"/>
      </w:pPr>
      <w:r>
        <w:t xml:space="preserve">Мультимасштабная графовая модель и стратегия дообучения</w:t>
      </w:r>
    </w:p>
    <w:bookmarkEnd w:id="16"/>
    <w:bookmarkStart w:id="17" w:name="ограничения-регулярной-сетки-на-сфере"/>
    <w:p>
      <w:pPr>
        <w:pStyle w:val="Heading2"/>
      </w:pPr>
      <w:r>
        <w:t xml:space="preserve">Ограничения регулярной сетки на сфере</w:t>
      </w:r>
    </w:p>
    <w:p>
      <w:pPr>
        <w:pStyle w:val="FirstParagraph"/>
      </w:pPr>
      <w:r>
        <w:t xml:space="preserve">Значение переменной в узле через шесть часов определяется состоянием его окрестности, и чтобы модель выучила эту зависимость, окрестность должна везде быть примерно одного физического размера. На регулярной сетке это не так: при шаге 0,703° расстояние между узлами вдоль параллели равно около 78 км на экваторе, 50 км на 50° с. ш. и 14 км на 80° с. ш., а у полюсов сетка вырождается.</w:t>
      </w:r>
    </w:p>
    <w:p>
      <w:pPr>
        <w:pStyle w:val="BodyText"/>
      </w:pPr>
      <w:r>
        <w:t xml:space="preserve">Узлы почти равномерно распределяет по сфере икосаэдрическая триангуляция. Икосаэдр рекурсивно измельчают, деля каждый треугольник на четыре и проецируя новые вершины на сферу. У каждой вершины пять или шесть соседей, длины рёбер различаются мало, и окрестность узла везде отвечает близкому физическому масштабу.</w:t>
      </w:r>
    </w:p>
    <w:bookmarkEnd w:id="17"/>
    <w:bookmarkStart w:id="18" w:name="архитектура"/>
    <w:p>
      <w:pPr>
        <w:pStyle w:val="Heading2"/>
      </w:pPr>
      <w:r>
        <w:t xml:space="preserve">Архитектура</w:t>
      </w:r>
    </w:p>
    <w:p>
      <w:pPr>
        <w:pStyle w:val="FirstParagraph"/>
      </w:pPr>
      <w:r>
        <w:t xml:space="preserve">Модель построена по схеме «кодировщик–процессор–декодировщик» [2, 8]. Узлы обмениваются информацией на графе, а входные и выходные поля остаются на регулярной сетке.</w:t>
      </w:r>
    </w:p>
    <w:p>
      <w:pPr>
        <w:pStyle w:val="BodyText"/>
      </w:pPr>
      <w:r>
        <w:t xml:space="preserve">Кодировщик переносит значения из узлов сетки в вершины графа. Каждая вершина собирает признаки узлов, которые попали в её окрестность (радиус связи 0,6 в единицах длины ребра графа). Сначала это делают свёрточные слои графа, которые смешивают узлы с весами, зависящими только от числа связей. Затем слой передачи сообщений с признаками рёбер, как в GraphCast [8], добавляет поправку, которая зависит от смещения узла относительно вершины. Скрытое представление вершины имеет размерность 256.</w:t>
      </w:r>
    </w:p>
    <w:p>
      <w:pPr>
        <w:pStyle w:val="BodyText"/>
      </w:pPr>
      <w:r>
        <w:t xml:space="preserve">Процессор выполняет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раундов обмена сообщениями по рёбрам графа. Каждый раунд реализован блоком Interaction Network [2] и состоит из двух шагов. Сначала для каждого ребра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→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вычисляется сообщение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789"/>
        <w:gridCol w:w="850"/>
      </w:tblGrid>
      <w:tr>
        <w:tc>
          <w:tcPr>
            <w:tcW w:w="8789" w:type="dxa"/>
            <w:vAlign w:val="center"/>
          </w:tcPr>
          <w:p>
            <w:pPr>
              <w:ind w:firstLine="0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m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sSub>
                  <m:e>
                    <m:r>
                      <m:t>ϕ</m:t>
                    </m:r>
                  </m:e>
                  <m:sub>
                    <m:r>
                      <m:t>e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 </m:t>
                    </m:r>
                    <m:sSubSup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bSup>
                      <m:e>
                        <m:r>
                          <m:t>h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t> 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>
            <w:pPr>
              <w:ind w:firstLine="0"/>
              <w:jc w:val="right"/>
            </w:pPr>
            <w:r>
              <w:t>(5)</w:t>
            </w:r>
          </w:p>
        </w:tc>
      </w:tr>
    </w:tbl>
    <w:p>
      <w:pPr>
        <w:pStyle w:val="FirstParagraph"/>
      </w:pPr>
      <w:r>
        <w:t xml:space="preserve">затем состояние вершины обновляется по среднему входящих сообщений: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789"/>
        <w:gridCol w:w="850"/>
      </w:tblGrid>
      <w:tr>
        <w:tc>
          <w:tcPr>
            <w:tcW w:w="8789" w:type="dxa"/>
            <w:vAlign w:val="center"/>
          </w:tcPr>
          <w:p>
            <w:pPr>
              <w:ind w:firstLine="0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h</m:t>
                    </m:r>
                  </m:e>
                  <m:sub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sSub>
                  <m:e>
                    <m:r>
                      <m:t>ϕ</m:t>
                    </m:r>
                  </m:e>
                  <m:sub>
                    <m:r>
                      <m:t>v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 </m:t>
                    </m:r>
                    <m:sSubSup>
                      <m:e>
                        <m:r>
                          <m:t>h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cr m:val="script"/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|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p>
                        </m:sSubSup>
                      </m:e>
                    </m:nary>
                    <m:r>
                      <m:t> 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>
            <w:pPr>
              <w:ind w:firstLine="0"/>
              <w:jc w:val="right"/>
            </w:pPr>
            <w:r>
              <w:t>(6)</w:t>
            </w:r>
          </w:p>
        </w:tc>
      </w:tr>
    </w:tbl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h</m:t>
            </m:r>
          </m:e>
          <m:sub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— скрытое представление вершины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после раунда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(размерность 256);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постоянные признаки ребра (длина и три компоненты единичного вектора направления в геоцентрических координатах);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— вершины, соединённые с</w:t>
      </w:r>
      <w:r>
        <w:t xml:space="preserve"> </w:t>
      </w:r>
      <m:oMath>
        <m:r>
          <m:t>j</m:t>
        </m:r>
      </m:oMath>
      <w:r>
        <w:t xml:space="preserve">;</w:t>
      </w:r>
      <w:r>
        <w:t xml:space="preserve"> </w:t>
      </w:r>
      <m:oMath>
        <m:sSub>
          <m:e>
            <m:r>
              <m:t>ϕ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ϕ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персептроны с активацией Swish и послойной нормировкой. Веса раундов не разделяются, как и в [8].</w:t>
      </w:r>
    </w:p>
    <w:p>
      <w:pPr>
        <w:pStyle w:val="BodyText"/>
      </w:pPr>
      <w:r>
        <w:t xml:space="preserve">Декодировщик переносит скрытые представления вершин обратно в узлы регулярной сетки и выдаёт приращения полей. Каждый узел сетки получает сообщения от трёх вершин треугольника графа, в который он попадает. Сообщение строится по формуле (5), где признаки ребра задают смещение узла относительно вершины, так что вклад вершины зависит от положения узла внутри треугольника. Зачем это нужно, показано в п. 4.8.</w:t>
      </w:r>
    </w:p>
    <w:p>
      <w:pPr>
        <w:pStyle w:val="BodyText"/>
      </w:pPr>
      <w:r>
        <w:t xml:space="preserve">Прогноз строится авторегрессионно с шагом 6 ч. Выход модели снова подаётся на её вход и даёт следующий срок: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789"/>
        <w:gridCol w:w="850"/>
      </w:tblGrid>
      <w:tr>
        <w:tc>
          <w:tcPr>
            <w:tcW w:w="8789" w:type="dxa"/>
            <w:vAlign w:val="center"/>
          </w:tcPr>
          <w:p>
            <w:pPr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rPr>
                    <m:scr m:val="script"/>
                    <m:sty m:val="p"/>
                  </m:rP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acc>
                      <m:accPr>
                        <m:chr m:val="̂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>
            <w:pPr>
              <w:ind w:firstLine="0"/>
              <w:jc w:val="right"/>
            </w:pPr>
            <w:r>
              <w:t>(7)</w:t>
            </w:r>
          </w:p>
        </w:tc>
      </w:tr>
    </w:tbl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— обученное отображение; 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на вход идут два среза анализа. Конфигурации на 19 и 33 канала различаются только входным слоем кодировщика и выходным слоем декодировщика. Разница составляет около 9 тыс. параметров (0,15 %), и после округления число параметров у них одинаково. Слои с признаками рёбер в кодировщике и декодировщике добавляют 0,6 млн, всего у итоговой модели 6,7 млн параметров.</w:t>
      </w:r>
    </w:p>
    <w:bookmarkEnd w:id="18"/>
    <w:bookmarkStart w:id="19" w:name="мультимасштабная-расчётная-сетка"/>
    <w:p>
      <w:pPr>
        <w:pStyle w:val="Heading2"/>
      </w:pPr>
      <w:r>
        <w:t xml:space="preserve">Мультимасштабная расчётная сетка</w:t>
      </w:r>
    </w:p>
    <w:p>
      <w:pPr>
        <w:pStyle w:val="FirstParagraph"/>
      </w:pPr>
      <w:r>
        <w:t xml:space="preserve">Мы используем другой приём: глобальная и региональная сетки объединены в один граф, и внешней границы у модели нет. Из глобальной сетки 512 × 256 (шаг 0,703°) удалены узлы внутри области интереса. На их место поставлена регулярная решётка с шагом 0,25° (61 × 41 = 2501 узел) в границах 50–60° с. ш., 83–98° в. д. Итоговая расчётная сетка содержит 130 778 глобальных узлов и 2501 узел вставки, всего 133 279.</w:t>
      </w:r>
    </w:p>
    <w:p>
      <w:pPr>
        <w:pStyle w:val="BodyText"/>
      </w:pPr>
      <w:r>
        <w:t xml:space="preserve">Рёбра между узлами и вершинами графа строятся поиском ближайших соседей по геоцентрическим координатам. Для узлов обоих разрешений процедура одна и та же, и переходную зону при построении связности никак не выделяют.</w:t>
      </w:r>
    </w:p>
    <w:p>
      <w:pPr>
        <w:pStyle w:val="BodyText"/>
      </w:pPr>
      <w:r>
        <w:t xml:space="preserve">Соединение жёсткое: множества узлов не пересекаются, и значения собираются в один вектор состояния без весовой функции и сглаживания на стыке. Разрешения согласуются в ходе обмена сообщениями. Узлы по обе стороны стыка связаны рёбрами и обмениваются признаками на каждом из 12 раундов, так что переходный слой модель формирует сама при обучении.</w:t>
      </w:r>
    </w:p>
    <w:p>
      <w:pPr>
        <w:pStyle w:val="BodyText"/>
      </w:pPr>
      <w:r>
        <w:t xml:space="preserve">В методе Дэвиса [4] внутреннее решение в ходе интегрирования релаксируется к заданному извне полю, то есть внешняя граница и внешнее поле остаются необходимыми. В нашей схеме их нет. Прямая проверка бесшовности приведена на рис. 1: смена разрешения видна по размеру ячеек, а разрыва поля на склейке нет. Количественная диагностика по горизонтам дана в п. 4.6.</w:t>
      </w:r>
    </w:p>
    <w:p>
      <w:pPr>
        <w:pStyle w:val="BodyText"/>
      </w:pPr>
      <w:r>
        <w:t xml:space="preserve">Вставка задана прямоугольником в координатах широта–долгота и сохраняет неоднородность шага по долготе (п. 3.1). Для 10° по широте отношение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29</m:t>
        </m:r>
      </m:oMath>
      <w:r>
        <w:t xml:space="preserve"> </w:t>
      </w:r>
      <w:r>
        <w:t xml:space="preserve">невелико, но для более протяжённой области его придётся учитывать.</w:t>
      </w:r>
    </w:p>
    <w:bookmarkEnd w:id="19"/>
    <w:bookmarkStart w:id="20" w:name="стратегия-дообучения"/>
    <w:p>
      <w:pPr>
        <w:pStyle w:val="Heading2"/>
      </w:pPr>
      <w:r>
        <w:t xml:space="preserve">Стратегия дообучения</w:t>
      </w:r>
    </w:p>
    <w:p>
      <w:pPr>
        <w:pStyle w:val="FirstParagraph"/>
      </w:pPr>
      <w:r>
        <w:t xml:space="preserve">Региональную модель получают дообучением глобальной, которую обучили на той же выборке ERA5 в конфигурации 512 × 256. После смены геометрии сетки веса кодировщика и декодировщика не согласованы с новой связностью, а процессор хранит динамику, выученную на глобальной задаче. Если сразу дообучать все параметры, большие градиенты от неадаптированных кодировщика и декодировщика разрушают эту динамику. Такой эффект называют катастрофическим забыванием.</w:t>
      </w:r>
    </w:p>
    <w:p>
      <w:pPr>
        <w:pStyle w:val="BodyText"/>
      </w:pPr>
      <w:r>
        <w:t xml:space="preserve">Чтобы его избежать, дообучение идёт в две фазы.</w:t>
      </w:r>
    </w:p>
    <w:p>
      <w:pPr>
        <w:pStyle w:val="Compact"/>
        <w:numPr>
          <w:ilvl w:val="0"/>
          <w:numId w:val="1002"/>
        </w:numPr>
      </w:pPr>
      <w:r>
        <w:t xml:space="preserve">Фаза 1 (первые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эпох): параметры процессора заморожены, обучаются только кодировщик и декодировщик. Эти блоки подстраиваются под новую геометрию и статистику региона.</w:t>
      </w:r>
    </w:p>
    <w:p>
      <w:pPr>
        <w:pStyle w:val="Compact"/>
        <w:numPr>
          <w:ilvl w:val="0"/>
          <w:numId w:val="1002"/>
        </w:numPr>
      </w:pPr>
      <w:r>
        <w:t xml:space="preserve">Фаза 2 (оставшиеся эпохи): процессор размораживается и учится с темпом в 10 раз меньше базового.</w:t>
      </w:r>
    </w:p>
    <w:p>
      <w:pPr>
        <w:pStyle w:val="FirstParagraph"/>
      </w:pPr>
      <w:r>
        <w:t xml:space="preserve">В основной конфигурации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 в конфигурациях для проверки стратегии (п. 4.5)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 Базовый темп обучения равен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оптимизатор Adam.</w:t>
      </w:r>
    </w:p>
    <w:p>
      <w:pPr>
        <w:pStyle w:val="BodyText"/>
      </w:pPr>
      <w:r>
        <w:t xml:space="preserve">Длина авторегрессионной развёртки растёт по учебному плану. Обучение начинается с одношагового прогноза, затем число шагов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 (7) увеличивается до четырёх. Функция потерь считается по всем шагам развёртки.</w:t>
      </w:r>
    </w:p>
    <w:p>
      <w:pPr>
        <w:pStyle w:val="BodyText"/>
      </w:pPr>
      <w:r>
        <w:t xml:space="preserve">Функция потерь считается по всем узлам расчётной сетки: потери только по области интереса портили поля за её пределами и через авторегрессию прогноз внутри неё. Рельеф и маска суши и моря в функцию потерь не входят.</w:t>
      </w:r>
    </w:p>
    <w:p>
      <w:r>
        <w:pict>
          <v:rect style="width:0;height:1.5pt" o:hralign="center" o:hrstd="t" o:hr="t"/>
        </w:pict>
      </w:r>
    </w:p>
    <w:bookmarkEnd w:id="20"/>
    <w:bookmarkStart w:id="21" w:name="Xd92d63fc2b7e6e7c3c9e692529cf83f6981c544"/>
    <w:p>
      <w:pPr>
        <w:pStyle w:val="Heading2"/>
      </w:pPr>
      <w:r>
        <w:t xml:space="preserve">Результаты: качество регионального прогноза</w:t>
      </w:r>
    </w:p>
    <w:bookmarkEnd w:id="21"/>
    <w:bookmarkStart w:id="22" w:name="условия-оценки"/>
    <w:p>
      <w:pPr>
        <w:pStyle w:val="Heading2"/>
      </w:pPr>
      <w:r>
        <w:t xml:space="preserve">Условия оценки</w:t>
      </w:r>
    </w:p>
    <w:p>
      <w:pPr>
        <w:pStyle w:val="FirstParagraph"/>
      </w:pPr>
      <w:r>
        <w:t xml:space="preserve">Все оценки получены на одном окне верификации относительно реанализа ERA5 с шагом 0,25° в узлах региональной вставки. Табл. 1 посчитана с широтными весами, табл. 3–5 с равными: там конфигурации сравниваются между собой, а вес меняет ошибку не больше чем на 0,02 °C, одинаково у всех строк.</w:t>
      </w:r>
    </w:p>
    <w:p>
      <w:pPr>
        <w:pStyle w:val="BodyText"/>
      </w:pPr>
      <w:r>
        <w:t xml:space="preserve">Объём выборки в таблицах разный. Табл. 1, 3 и 4 посчитаны на полной тестовой выборке из 1607 сроков (25.11.2019–30.12.2020, все четыре сезона). Табл. 2 и 5 посчитаны на первых 100 сроках периода (по 19.12.2019). Эта подвыборка приходится на холодное полугодие и труднее полной: у итоговой модели ошибка приземной температуры на суточном сроке равна 1,39 °C на 1607 сроках и 1,57 °C на 100. Табл. 2 к тому же получена на 19-канальной линии моделей (п. 4.3). Числа из разных таблиц сравнивать нельзя. Внутри одной таблицы все конфигурации посчитаны на одних сроках.</w:t>
      </w:r>
    </w:p>
    <w:bookmarkEnd w:id="22"/>
    <w:bookmarkStart w:id="23" w:name="качество-итоговой-модели"/>
    <w:p>
      <w:pPr>
        <w:pStyle w:val="Heading2"/>
      </w:pPr>
      <w:r>
        <w:t xml:space="preserve">Качество итоговой модели</w:t>
      </w:r>
    </w:p>
    <w:p>
      <w:pPr>
        <w:pStyle w:val="FirstParagraph"/>
      </w:pPr>
      <w:r>
        <w:t xml:space="preserve">На суточном сроке ошибка приземной температуры у итоговой модели равна 1,39 °C по области [1,31; 1,45] и 1,25 °C во внутренней зоне [1,15; 1,35]. По остальным полям региона на том же сроке: ветер 0,68 и 0,66 м/с, давление на уровне моря 0,97 гПа, T850 0,85 °C, Z500 8,1 гпм. Аномальная корреляция приведена в п. 4.7 вместе со сравнением с глобальной моделью, чтобы обе модели оценивались по одной климатологии.</w:t>
      </w:r>
    </w:p>
    <w:p>
      <w:pPr>
        <w:pStyle w:val="BodyText"/>
      </w:pPr>
      <w:r>
        <w:t xml:space="preserve">Переход с 19 на 33 канала (уровни 250 и 1000 гПа, временной форсинг) уменьшает ошибку на всех горизонтах: на 0,076; 0,121; 0,149 и 0,174 °C с интервалами [0,063; 0,088], [0,104; 0,138], [0,125; 0,171] и [0,141; 0,210]. Весь выигрыш нельзя приписать новым уровням: 33-канальную конфигурацию дообучали от другой глобальной модели, которая сама точнее. Взвешенная конфигурация снижает ошибку приземной температуры относительно базовой 33-канальной ещё на 11,6 % (1,548 против 1,368 °C в среднем по горизонтам), а агрегатную успешность повышает на 1,17 п.п. с интервалом [+1,09; +1,24]. Часть этого выигрыша дают восемь эпох дополнительного обучения; при равном объёме обучения выигрыш равен 10,2 % (п. 4.4).</w:t>
      </w:r>
    </w:p>
    <w:p>
      <w:pPr>
        <w:pStyle w:val="BodyText"/>
      </w:pPr>
      <w:r>
        <w:t xml:space="preserve">Итоговая модель получена из взвешенной конфигурации в три шага, показанных в табл. 1. Обучение вдвое дольше (16 эпох вместо 8) снижает ошибку приземной температуры на 1,2–1,8 %: прежнюю модель недоучили. Новые декодировщик и кодировщик (п. 3.2 и 4.8), по 8 эпох каждый, снижают ошибку температуры ещё на 4,2–4,5 %, давления на 5,6–7,6 %, ветра на 1,4–3,6 %. Все разности значимы на всех горизонтах.</w:t>
      </w:r>
    </w:p>
    <w:bookmarkEnd w:id="23"/>
    <w:bookmarkStart w:id="24" w:name="что-даёт-единый-граф"/>
    <w:p>
      <w:pPr>
        <w:pStyle w:val="Heading2"/>
      </w:pPr>
      <w:r>
        <w:t xml:space="preserve">Что даёт единый граф</w:t>
      </w:r>
    </w:p>
    <w:p>
      <w:pPr>
        <w:pStyle w:val="FirstParagraph"/>
      </w:pPr>
      <w:r>
        <w:t xml:space="preserve">Чтобы оценить вклад мультимасштабной конструкции, прогноз глобальной модели с шагом 0,703° билинейно интерполировали в те же 2501 узел и оценили по той же истине. Опыт поставлен на 19-канальной линии моделей, и все строки табл. 2 посчитаны на одних и тех же 100 сроках тестовой выборки.</w:t>
      </w:r>
    </w:p>
    <w:p>
      <w:pPr>
        <w:pStyle w:val="BodyText"/>
      </w:pPr>
      <w:r>
        <w:t xml:space="preserve">Единый граф точнее интерполяции по всем полям. По приземной температуре выигрыш умеренный (11 %), по ветру и геопотенциалу больше (37–40 %). Вероятная причина в том, что обмен сообщениями уточняет всё поле сразу. Приземную температуру в конкретном узле сильнее определяют подсеточные факторы, которых не разрешает ни одна из сравниваемых конфигураций.</w:t>
      </w:r>
    </w:p>
    <w:bookmarkEnd w:id="24"/>
    <w:bookmarkStart w:id="25" w:name="веса-в-функции-потерь"/>
    <w:p>
      <w:pPr>
        <w:pStyle w:val="Heading2"/>
      </w:pPr>
      <w:r>
        <w:t xml:space="preserve">Веса в функции потерь</w:t>
      </w:r>
    </w:p>
    <w:p>
      <w:pPr>
        <w:pStyle w:val="FirstParagraph"/>
      </w:pPr>
      <w:r>
        <w:t xml:space="preserve">При обучении функция потерь равна среднеквадратической ошибке по нормированным каналам, усреднённой по узлам графа и шагам развёртки. Такое усреднение неявно задаёт, какие части задачи получают обучающий сигнал. В двух отношениях это распределение далеко от постановки задачи.</w:t>
      </w:r>
    </w:p>
    <w:p>
      <w:pPr>
        <w:pStyle w:val="BodyText"/>
      </w:pPr>
      <w:r>
        <w:t xml:space="preserve">Первая диспропорция пространственная. Узлов региональной вставки 2501 из 133 279, то есть 1,9 %. Почти весь обучающий сигнал приходится на глобальную часть графа, хотя публикуемые показатели относятся к вставке.</w:t>
      </w:r>
    </w:p>
    <w:p>
      <w:pPr>
        <w:pStyle w:val="BodyText"/>
      </w:pPr>
      <w:r>
        <w:t xml:space="preserve">Вторая диспропорция поканальная. Каждый канал нормирован на разброс самого поля, а модель предсказывает приращение за шаг, и разбросы приращений у каналов различаются на порядки. По обучающей выборке осадки дают 25,0 % функции потерь, приземная температура 0,46 %, геопотенциал на 500 гПа 0,15 %, приземное давление 0,02 %. Крайние доли различаются в 1218 раз. Вклад канала определяется масштабом его изменчивости, а не значимостью.</w:t>
      </w:r>
    </w:p>
    <w:p>
      <w:pPr>
        <w:pStyle w:val="BodyText"/>
      </w:pPr>
      <w:r>
        <w:t xml:space="preserve">Обе диспропорции убирают веса. Узлы вставки получают вес</w:t>
      </w:r>
      <w:r>
        <w:t xml:space="preserve"> </w:t>
      </w:r>
      <m:oMath>
        <m:r>
          <m:t>W</m:t>
        </m:r>
      </m:oMath>
      <w:r>
        <w:t xml:space="preserve">, остальные узлы единичный вес. Каналы получают веса, обратные квадрату разброса шестичасовой невязки по обучающей выборке. Все конфигурации табл. 3 получены одинаковым дожигом одной исходной модели: восемь эпох на полной развёртке с косинусным снижением темпа до нуля. Различаются они только весами. Первая строка табл. 3 (1,503 °C) не совпадает со строкой «33 канала, базовая» табл. 1 (1,525 °C без широтных весов), потому что в неё уже включён дожиг. При равном объёме обучения взвешивание даёт выигрыш 10,2 %, а разность с табл. 1 (11,5 %) включает ещё и восемь эпох дожига.</w:t>
      </w:r>
    </w:p>
    <w:p>
      <w:pPr>
        <w:pStyle w:val="BodyText"/>
      </w:pPr>
      <w:r>
        <w:t xml:space="preserve">У веса вставки есть внутренний максимум по агрегату. Когда доля вставки растёт с 1,7 до 34,1 %, улучшаются и агрегат, и приземная температура. Дальнейший рост до 63,3 % агрегат ухудшает. Парный блочный бутстреп по общим срокам даёт для разности агрегатов 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величину −0,05 п.п. с интервалом [−0,07; −0,03], который не накрывает ноль. Этот интервал учитывает изменчивость по срокам, но не по повторным обучениям. Изменчивость по обучениям оценена в 0,03 п.п. и сравнима с разностью. По приземной температуре максимума нет, ошибка убывает монотонно (1,503 → 1,445 → 1,415 → 1,407). Внутренний максимум по агрегату мы считаем свойством этой выборки, а не метода.</w:t>
      </w:r>
    </w:p>
    <w:p>
      <w:pPr>
        <w:pStyle w:val="BodyText"/>
      </w:pPr>
      <w:r>
        <w:t xml:space="preserve">Механизм виден в последнем столбце: за выигрыш во вставке модель платит точностью на глобальной части графа, 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втрое большей, чем 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(0,0021 против 0,0007). Суточный прогноз внутри вставки зависит от притока извне, и оптимум определяется балансом между областью и её окружением.</w:t>
      </w:r>
    </w:p>
    <w:p>
      <w:pPr>
        <w:pStyle w:val="BodyText"/>
      </w:pPr>
      <w:r>
        <w:t xml:space="preserve">Веса каналов работают как регулятор, а не как исправление ошибки. С ними агрегат снижается на 0,30 п.п. (интервал [−0,32; −0,28]), а приземная температура улучшается на 4,6 %, и все четыре интервала не накрывают ноль. Агрегат (3) сам равен среднему по каналам с равными весами, и для него равномерное взвешивание оптимально по построению. Механизм тот же, что у веса вставки: усиленные каналы отбирают ресурс у полей, от которых сами зависят.</w:t>
      </w:r>
    </w:p>
    <w:p>
      <w:pPr>
        <w:pStyle w:val="BodyText"/>
      </w:pPr>
      <w:r>
        <w:t xml:space="preserve">Все следующие конфигурации, включая итоговую, используют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и выравнивающие веса каналов. Веса каналов вычислены по обучающей выборке и по тестовой не подбирались. Целевые каналы для усиления отдельно не выбирали.</w:t>
      </w:r>
    </w:p>
    <w:bookmarkEnd w:id="25"/>
    <w:bookmarkStart w:id="26" w:name="Xb592c768e0743a91d705a4c39dcd104ace96542"/>
    <w:p>
      <w:pPr>
        <w:pStyle w:val="Heading2"/>
      </w:pPr>
      <w:r>
        <w:t xml:space="preserve">Стратегия дообучения и выбор контрольной точки</w:t>
      </w:r>
    </w:p>
    <w:p>
      <w:pPr>
        <w:pStyle w:val="FirstParagraph"/>
      </w:pPr>
      <w:r>
        <w:t xml:space="preserve">Стратегию дообучения исследовали на отдельной линии 19-канальных моделей. Сравнивались два варианта: заморозка процессора на первые 6 эпох и обучение всех параметров с первой эпохи. Сборка данных, начальное значение генератора и расписание у вариантов одинаковые. Эта линия предсказывает само поле, а не приращение. Агрегатная успешность этой линии (около 60 %) поэтому ниже, чем у 19-канальной строки табл. 1 (69,2 %), хотя ошибки приземной температуры близки. Числа табл. 1 и 4 относятся к разным моделям, и сравнивать их между собой нельзя.</w:t>
      </w:r>
    </w:p>
    <w:p>
      <w:pPr>
        <w:pStyle w:val="BodyText"/>
      </w:pPr>
      <w:r>
        <w:t xml:space="preserve">Если сравнивать лучшие контрольные точки, заморозка выигрывает до 0,14 °C на +24 ч. Но лучшие точки достигнуты на разных эпохах, 16-й и 7-й, и сравниваются не только стратегии, но и объёмы обучения. При равном бюджете разность по приземной температуре исчезает: обе конфигурации дают 1,82 °C на сутки.</w:t>
      </w:r>
    </w:p>
    <w:p>
      <w:pPr>
        <w:pStyle w:val="BodyText"/>
      </w:pPr>
      <w:r>
        <w:t xml:space="preserve">Контрольная точка эпохи 7, «лучшая» по одношаговой ошибке, в авторегрессионной развёртке проигрывает точке эпохи 16 той же конфигурации (1,96 против 1,82 °C). Тот же эффект есть у базовой 33-канальной конфигурации. Состояние с минимальной ошибкой на проверочной выборке точнее на +6 ч (1,30 против 1,32 °C), но проигрывает на +18 и +24 ч, и смена знака значима с обеих сторон.</w:t>
      </w:r>
    </w:p>
    <w:p>
      <w:pPr>
        <w:pStyle w:val="BodyText"/>
      </w:pPr>
      <w:r>
        <w:t xml:space="preserve">Отсюда методический вывод. Минимум одношаговой ошибки на проверочной выборке выбирает модель, лучшую ровно на измеряемом горизонте, и для многошагового прогноза этот критерий ненадёжен. Отбирать модель следует по метрике на полной развёртке, а стратегии сравнивать при равном бюджете.</w:t>
      </w:r>
    </w:p>
    <w:p>
      <w:pPr>
        <w:pStyle w:val="BodyText"/>
      </w:pPr>
      <w:r>
        <w:t xml:space="preserve">Роль заморозки скромнее. По приземной температуре при равном бюджете расписание на итог не влияет: 1,82 против 1,82 °C, интервалы [1,72; 1,90] и [1,71; 1,90] совпадают. По агрегату заморозка выигрывает 1,30 п.п. с интервалом [+1,06; +1,59], который не накрывает ноль (60,8 против 59,5 %).</w:t>
      </w:r>
    </w:p>
    <w:p>
      <w:pPr>
        <w:pStyle w:val="BodyText"/>
      </w:pPr>
      <w:r>
        <w:t xml:space="preserve">Агрегат и поканальные значения расходятся второй раз после п. 4.4, и причина та же: вклад канала в агрегат определяется отношением его ошибки к разбросу поля, а не его значимостью. Полный отчёт о верификации содержит и агрегат, и поканальные значения целевых полей.</w:t>
      </w:r>
    </w:p>
    <w:p>
      <w:pPr>
        <w:pStyle w:val="BodyText"/>
      </w:pPr>
      <w:r>
        <w:t xml:space="preserve">Адаптировать процессор под регион всё же необходимо: при заморозке на всё обучение ошибка на проверочной и на обучающей выборках выше на 7,5 %, модели не хватает свободы подстроить динамику.</w:t>
      </w:r>
    </w:p>
    <w:bookmarkEnd w:id="26"/>
    <w:bookmarkStart w:id="27" w:name="диагностика-стыка"/>
    <w:p>
      <w:pPr>
        <w:pStyle w:val="Heading2"/>
      </w:pPr>
      <w:r>
        <w:t xml:space="preserve">Диагностика стыка</w:t>
      </w:r>
    </w:p>
    <w:p>
      <w:pPr>
        <w:pStyle w:val="FirstParagraph"/>
      </w:pPr>
      <w:r>
        <w:t xml:space="preserve">Мы утверждаем, что жёсткая склейка узлов не требует отдельной процедуры сшивания. Чтобы проверить это напрямую, ошибку приземной температуры итоговой модели посчитали по полосам расстояния до границы региональной вставки (табл. 5).</w:t>
      </w:r>
    </w:p>
    <w:p>
      <w:pPr>
        <w:pStyle w:val="BodyText"/>
      </w:pPr>
      <w:r>
        <w:t xml:space="preserve">Переходный слой есть, но слабый. У границы ошибка на 3–4 % выше, чем в полосе 100–200 км, на всех горизонтах (1,24 против 1,20 °C на +6 ч, 1,62 против 1,56 °C на +24 ч), и о полной бесшовности говорить нельзя. Превышение над глубиной области составляет 10, 8, 6 и 6 % по четырём горизонтам, то есть с горизонтом не растёт. Неограниченный рост ошибки у границы составляет главную трудность региональных моделей с внешними граничными условиями, и у нашей модели его нет.</w:t>
      </w:r>
    </w:p>
    <w:p>
      <w:pPr>
        <w:pStyle w:val="BodyText"/>
      </w:pPr>
      <w:r>
        <w:t xml:space="preserve">Глобальная часть не страдает. Сразу за границей вставки ошибка (1,64 °C на +24 ч) меньше, чем вдали от неё (1,75 и 1,76 °C). Склейка создаёт переходный слой ограниченной величины и не требует отдельной процедуры сшивания полей.</w:t>
      </w:r>
    </w:p>
    <w:bookmarkEnd w:id="27"/>
    <w:bookmarkStart w:id="28" w:name="сравнение-с-глобальной-моделью"/>
    <w:p>
      <w:pPr>
        <w:pStyle w:val="Heading2"/>
      </w:pPr>
      <w:r>
        <w:t xml:space="preserve">Сравнение с глобальной моделью</w:t>
      </w:r>
    </w:p>
    <w:p>
      <w:pPr>
        <w:pStyle w:val="FirstParagraph"/>
      </w:pPr>
      <w:r>
        <w:t xml:space="preserve">Публикуемые метрики GraphCast [8] относятся ко всему шару, где больше половины площади занимает океан с более точным прогнозом, и с нашими напрямую несопоставимы. Мы взяли прогнозы GraphCast, реанализ и климатологию из архива WeatherBench 2 [12] в разрешении 0,25°, вырезали те же 2501 узел и посчитали метрики тем же кодом и с теми же широтными весами.</w:t>
      </w:r>
    </w:p>
    <w:p>
      <w:pPr>
        <w:pStyle w:val="BodyText"/>
      </w:pPr>
      <w:r>
        <w:t xml:space="preserve">В архиве GraphCast есть только инициализации 00 и 12 UTC, и сравнение идёт на 803 общих сроках тестового окна. Правильность сопоставления проверена на инерционном прогнозе: по архиву он даёт по приземной температуре 6,71; 6,90; 4,02 и 4,45 °C, нашим кодом 6,71; 6,90; 4,03 и 4,45 °C. Сравнение ограничено приземными полями: уровни лежат в архиве одним блоком.</w:t>
      </w:r>
    </w:p>
    <w:p>
      <w:pPr>
        <w:pStyle w:val="BodyText"/>
      </w:pPr>
      <w:r>
        <w:t xml:space="preserve">GraphCast точнее по всем полям, сильнее всего по давлению на уровне моря. Такое соотношение ожидаемо. У GraphCast 36,7 млн параметров против 6,7 млн, разрешение 0,25° по всему шару против грубой глобальной сетки со вставкой, 37 уровней против четырёх и обучение на многих ускорителях против одного. Отставание показывает цену перехода к вычислительной среде регионального подразделения. Предел самого подхода это сравнение не определяет.</w:t>
      </w:r>
    </w:p>
    <w:p>
      <w:pPr>
        <w:pStyle w:val="BodyText"/>
      </w:pPr>
      <w:r>
        <w:t xml:space="preserve">Аномальная корреляция нашей модели относительно той же климатологии равна 0,976 [0,971; 0,980] по области и 0,984 [0,979; 0,988] во внутренней зоне. По остальным полям области она равна 0,950 и 0,931 для составляющих ветра, 0,996 для давления, 0,991 для T850 и 0,998 для Z500.</w:t>
      </w:r>
    </w:p>
    <w:bookmarkEnd w:id="28"/>
    <w:bookmarkStart w:id="29" w:name="отпечаток-сетки-графа-в-прогнозе"/>
    <w:p>
      <w:pPr>
        <w:pStyle w:val="Heading2"/>
      </w:pPr>
      <w:r>
        <w:t xml:space="preserve">Отпечаток сетки графа в прогнозе</w:t>
      </w:r>
    </w:p>
    <w:p>
      <w:pPr>
        <w:pStyle w:val="FirstParagraph"/>
      </w:pPr>
      <w:r>
        <w:t xml:space="preserve">Чтобы найти, где модель отстаёт от GraphCast, мы разложили поле ошибки на каждом сроке по масштабам (косинусное преобразование в окне вставки). У модели со свёрточными кодировщиком и декодировщиком отставание сосредоточено на масштабах 100–500 км, а в давлении модель рисовала ложную рябь короче 100 км вдвое сильнее реанализа. Шаг графа около 110 км, такие масштабы процессор не передаёт, их строят кодировщик и декодировщик.</w:t>
      </w:r>
    </w:p>
    <w:p>
      <w:pPr>
        <w:pStyle w:val="BodyText"/>
      </w:pPr>
      <w:r>
        <w:t xml:space="preserve">Свёрточный слой смешивает вершины треугольника с весами, не зависящими от положения узла сетки, и вклад процессора скачет на сторонах треугольников. Это видно в данных: средний квадрат разности ошибок у соседних узлов по разные стороны от ребра треугольника больше, чем внутри треугольника, в 1,79 раза по приземной температуре и в 2,80 раза по давлению. У GraphCast и у самого реанализа это отношение 1,1–1,2.</w:t>
      </w:r>
    </w:p>
    <w:p>
      <w:pPr>
        <w:pStyle w:val="BodyText"/>
      </w:pPr>
      <w:r>
        <w:t xml:space="preserve">Новый декодировщик и поправка кодировщика (п. 3.2) снижают это отношение до 1,21 и 1,25. При равном объёме обучения новый декодировщик уменьшает ошибку приземной температуры на 1,8–2,0 % и давления на 3,0–4,4 %, но меридиональный ветер ухудшает на 1–2 %. Поправка кодировщика это исправляет: при равном объёме обучения она уменьшает ошибку ветра на 2,1–2,9 %, давления на 1,7–2,6 % и температуры на 0,5–0,7 %. Отставание от GraphCast по приземной температуре сократилось с 1,33 до 1,25 раза, по давлению с 1,79 до 1,64.</w:t>
      </w:r>
    </w:p>
    <w:bookmarkEnd w:id="29"/>
    <w:bookmarkStart w:id="30" w:name="Xd314fc7688ddb232237405ca9eb3f7836e9e19e"/>
    <w:p>
      <w:pPr>
        <w:pStyle w:val="Heading2"/>
      </w:pPr>
      <w:r>
        <w:t xml:space="preserve">Обсуждение, выводы и направления дальнейшей работы</w:t>
      </w:r>
    </w:p>
    <w:p>
      <w:pPr>
        <w:pStyle w:val="FirstParagraph"/>
      </w:pPr>
      <w:r>
        <w:t xml:space="preserve">Модель улучшали двумя путями. Первый не трогает архитектуру: веса функции потерь перераспределяют обучающий сигнал. Оба веса улучшают целевую часть задачи за счёт остальной. Большой вес вставки ухудшает прогноз на глобальной части графа, а через приток извне от этого прогноза зависит и сама вставка. Веса каналов улучшают приземную температуру и снижают агрегат по всем каналам. Второй путь меняет перенос полей между сеткой и графом, и найти его помогло сравнение с GraphCast по масштабам.</w:t>
      </w:r>
    </w:p>
    <w:bookmarkEnd w:id="30"/>
    <w:bookmarkStart w:id="31" w:name="ограничения"/>
    <w:p>
      <w:pPr>
        <w:pStyle w:val="Heading2"/>
      </w:pPr>
      <w:r>
        <w:t xml:space="preserve">Ограничения</w:t>
      </w:r>
    </w:p>
    <w:p>
      <w:pPr>
        <w:pStyle w:val="FirstParagraph"/>
      </w:pPr>
      <w:r>
        <w:t xml:space="preserve">Изменчивость между запусками оценена одной парой прогонов с разными начальными значениями генератора. Агрегат у них расходится на 0,03 п.п. (73,41 против 73,40 %), и различия осмысленны начиная с десятых долей пункта. Вес целевой области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30</m:t>
        </m:r>
      </m:oMath>
      <w:r>
        <w:t xml:space="preserve">, стратегию дообучения и итоговую конфигурацию выбрали по табл. 1, 3 и 4, которые посчитаны на тестовой выборке, а не на проверочной. Величины для итоговой модели поэтому слегка оптимистичны, хотя выигрыши между шагами табл. 1 (0,2–0,9 п.п.) намного больше межзапусковой изменчивости. К весам каналов эта оговорка не относится: их вычислили по обучающей выборке.</w:t>
      </w:r>
    </w:p>
    <w:p>
      <w:pPr>
        <w:pStyle w:val="BodyText"/>
      </w:pPr>
      <w:r>
        <w:t xml:space="preserve">Не помогли шум в авторегрессии, ансамбль дообученных состояний одной модели и развёртка в двенадцать шагов вместо четырёх.</w:t>
      </w:r>
    </w:p>
    <w:p>
      <w:pPr>
        <w:pStyle w:val="BodyText"/>
      </w:pPr>
      <w:r>
        <w:t xml:space="preserve">Истинное поле здесь даёт реанализ, а не станционные наблюдения. Реанализ сглаживает подсеточные эффекты, в том числе городской остров тепла, и наши оценки нельзя перенести на прогноз в точке станции без постобработки. С оперативной моделью мы не сравнивались. В таком сравнении модель, обученная на реанализе и оцениваемая против него же, находится в выгодном положении [12]. Результаты получены для одной территории и одного тестового окна. Прямого сравнения с региональной моделью с граничным форсингом [10] в работе нет.</w:t>
      </w:r>
    </w:p>
    <w:bookmarkEnd w:id="31"/>
    <w:bookmarkStart w:id="32" w:name="направления-дальнейшей-работы"/>
    <w:p>
      <w:pPr>
        <w:pStyle w:val="Heading2"/>
      </w:pPr>
      <w:r>
        <w:t xml:space="preserve">Направления дальнейшей работы</w:t>
      </w:r>
    </w:p>
    <w:p>
      <w:pPr>
        <w:pStyle w:val="FirstParagraph"/>
      </w:pPr>
      <w:r>
        <w:t xml:space="preserve">Оставшееся отставание от GraphCast по-прежнему сосредоточено на масштабах 100–220 км. Процессор увидит эти масштабы, если сгустить граф над регионом до шага около 55 км. Второе направление связано с данными: модель видела 9 лет реанализа, GraphCast около 40. Вероятно, разрыв сократят более длинная обучающая выборка или дообучение от опубликованной модели GraphCast с шагом 1°. Для оперативной практики схему осталось проверить по данным сети станций и дополнить усвоением наблюдений в цикле выпуска прогноза.</w:t>
      </w:r>
    </w:p>
    <w:bookmarkEnd w:id="32"/>
    <w:bookmarkStart w:id="33" w:name="выводы"/>
    <w:p>
      <w:pPr>
        <w:pStyle w:val="Heading2"/>
      </w:pPr>
      <w:r>
        <w:t xml:space="preserve">Выводы</w:t>
      </w:r>
    </w:p>
    <w:p>
      <w:pPr>
        <w:pStyle w:val="Compact"/>
        <w:numPr>
          <w:ilvl w:val="0"/>
          <w:numId w:val="1003"/>
        </w:numPr>
      </w:pPr>
      <w:r>
        <w:t xml:space="preserve">Построена и проверена мультимасштабная графовая нейронная сеть для регионального прогноза погоды. Глобальная и региональная части в ней соединены без отдельной процедуры сшивания полей. Диагностика стыка показывает слабый переходный слой: у границы ошибка на 3–4 % выше, чем в 100–200 км от неё, и с ростом горизонта превышение не растёт. Для обучения и расчёта хватает одного графического ускорителя.</w:t>
      </w:r>
    </w:p>
    <w:p>
      <w:pPr>
        <w:pStyle w:val="Compact"/>
        <w:numPr>
          <w:ilvl w:val="0"/>
          <w:numId w:val="1003"/>
        </w:numPr>
      </w:pPr>
      <w:r>
        <w:t xml:space="preserve">Кодировщик и декодировщик на свёрточных слоях графа отпечатывают в прогнозе треугольники графа. Передача сообщений с признаками рёбер убирает отпечаток. Вместе с более долгим обучением она снижает ошибку относительно исходной модели на 5,4–6,2 % по приземной температуре, на 6,7–8,9 % по давлению и на 2,3–4,7 % по ветру.</w:t>
      </w:r>
    </w:p>
    <w:p>
      <w:pPr>
        <w:pStyle w:val="Compact"/>
        <w:numPr>
          <w:ilvl w:val="0"/>
          <w:numId w:val="1003"/>
        </w:numPr>
      </w:pPr>
      <w:r>
        <w:t xml:space="preserve">Единый граф точнее интерполяции прогноза глобальной модели в узлы области по всем полям: выигрыш составляет 11 % по приземной температуре и 37–40 % по ветру и геопотенциалу.</w:t>
      </w:r>
    </w:p>
    <w:p>
      <w:pPr>
        <w:pStyle w:val="Compact"/>
        <w:numPr>
          <w:ilvl w:val="0"/>
          <w:numId w:val="1003"/>
        </w:numPr>
      </w:pPr>
      <w:r>
        <w:t xml:space="preserve">Отбор состояния модели по ошибке одношагового прогноза ненадёжен для многошагового прогноза. Расписание заморозки процессора на итоговую ошибку приземной температуры не влияет, но адаптировать процессор необходимо: без неё ошибка на проверочной выборке выше на 7,5 %.</w:t>
      </w:r>
    </w:p>
    <w:p>
      <w:pPr>
        <w:pStyle w:val="Compact"/>
        <w:numPr>
          <w:ilvl w:val="0"/>
          <w:numId w:val="1003"/>
        </w:numPr>
      </w:pPr>
      <w:r>
        <w:t xml:space="preserve">Один агрегатный показатель скрывает разное поведение модели по отдельным полям. Полные результаты верификации приводятся по каждому целевому полю отдельно.</w:t>
      </w:r>
    </w:p>
    <w:p>
      <w:pPr>
        <w:pStyle w:val="Compact"/>
        <w:numPr>
          <w:ilvl w:val="0"/>
          <w:numId w:val="1003"/>
        </w:numPr>
      </w:pPr>
      <w:r>
        <w:t xml:space="preserve">При равномерном усреднении функции потерь узлы целевой области получают 1,7 % обучающего сигнала, приземная температура 0,46 %. Явные веса снижают ошибку приземной температуры на 10,2 % без изменения архитектуры и объёма обучения. При слишком большом весе целевой области ухудшается прогноз на глобальной части графа, а через приток извне от этого прогноза зависит и сама область.</w:t>
      </w:r>
    </w:p>
    <w:bookmarkEnd w:id="33"/>
    <w:bookmarkStart w:id="34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Толстых</w:t>
      </w:r>
      <w:r>
        <w:t xml:space="preserve"> </w:t>
      </w:r>
      <w:r>
        <w:t xml:space="preserve">М.А.,</w:t>
      </w:r>
      <w:r>
        <w:t xml:space="preserve"> </w:t>
      </w:r>
      <w:r>
        <w:rPr>
          <w:i/>
          <w:iCs/>
        </w:rPr>
        <w:t xml:space="preserve">Шашкин</w:t>
      </w:r>
      <w:r>
        <w:t xml:space="preserve"> </w:t>
      </w:r>
      <w:r>
        <w:t xml:space="preserve">В.В.,</w:t>
      </w:r>
      <w:r>
        <w:t xml:space="preserve"> </w:t>
      </w:r>
      <w:r>
        <w:rPr>
          <w:i/>
          <w:iCs/>
        </w:rPr>
        <w:t xml:space="preserve">Фадеев</w:t>
      </w:r>
      <w:r>
        <w:t xml:space="preserve"> </w:t>
      </w:r>
      <w:r>
        <w:t xml:space="preserve">Р.Ю. и др. Система моделирования атмосферы для бесшовного прогноза. М.: Триада ЛТД, 2017. 166 с.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Battaglia</w:t>
      </w:r>
      <w:r>
        <w:t xml:space="preserve"> </w:t>
      </w:r>
      <w:r>
        <w:t xml:space="preserve">P.W.,</w:t>
      </w:r>
      <w:r>
        <w:t xml:space="preserve"> </w:t>
      </w:r>
      <w:r>
        <w:rPr>
          <w:i/>
          <w:iCs/>
        </w:rPr>
        <w:t xml:space="preserve">Pascanu</w:t>
      </w:r>
      <w:r>
        <w:t xml:space="preserve"> </w:t>
      </w:r>
      <w:r>
        <w:t xml:space="preserve">R.,</w:t>
      </w:r>
      <w:r>
        <w:t xml:space="preserve"> </w:t>
      </w:r>
      <w:r>
        <w:rPr>
          <w:i/>
          <w:iCs/>
        </w:rPr>
        <w:t xml:space="preserve">Lai</w:t>
      </w:r>
      <w:r>
        <w:t xml:space="preserve"> </w:t>
      </w:r>
      <w:r>
        <w:t xml:space="preserve">M. et al. Interaction networks for learning about objects, relations and physics // Advances in Neural Information Processing Systems (NIPS). 2016. Vol. 29. P. 4502–4510.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Bi</w:t>
      </w:r>
      <w:r>
        <w:t xml:space="preserve"> </w:t>
      </w:r>
      <w:r>
        <w:t xml:space="preserve">K.,</w:t>
      </w:r>
      <w:r>
        <w:t xml:space="preserve"> </w:t>
      </w:r>
      <w:r>
        <w:rPr>
          <w:i/>
          <w:iCs/>
        </w:rPr>
        <w:t xml:space="preserve">Xie</w:t>
      </w:r>
      <w:r>
        <w:t xml:space="preserve"> </w:t>
      </w:r>
      <w:r>
        <w:t xml:space="preserve">L.,</w:t>
      </w:r>
      <w:r>
        <w:t xml:space="preserve"> </w:t>
      </w:r>
      <w:r>
        <w:rPr>
          <w:i/>
          <w:iCs/>
        </w:rPr>
        <w:t xml:space="preserve">Zhang</w:t>
      </w:r>
      <w:r>
        <w:t xml:space="preserve"> </w:t>
      </w:r>
      <w:r>
        <w:t xml:space="preserve">H. et al. Accurate medium-range global weather forecasting with 3D neural networks // Nature. 2023. Vol. 619, No. 7970. P. 533–538. DOI: 10.1038/s41586-023-06185-3.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Davies</w:t>
      </w:r>
      <w:r>
        <w:t xml:space="preserve"> </w:t>
      </w:r>
      <w:r>
        <w:t xml:space="preserve">H.C. A lateral boundary formulation for multi-level prediction models // Quarterly Journal of the Royal Meteorological Society. 1976. Vol. 102, No. 432. P. 405–418. DOI: 10.1002/qj.49710243210.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Gao</w:t>
      </w:r>
      <w:r>
        <w:t xml:space="preserve"> </w:t>
      </w:r>
      <w:r>
        <w:t xml:space="preserve">Y.,</w:t>
      </w:r>
      <w:r>
        <w:t xml:space="preserve"> </w:t>
      </w:r>
      <w:r>
        <w:rPr>
          <w:i/>
          <w:iCs/>
        </w:rPr>
        <w:t xml:space="preserve">Wu</w:t>
      </w:r>
      <w:r>
        <w:t xml:space="preserve"> </w:t>
      </w:r>
      <w:r>
        <w:t xml:space="preserve">H.,</w:t>
      </w:r>
      <w:r>
        <w:t xml:space="preserve"> </w:t>
      </w:r>
      <w:r>
        <w:rPr>
          <w:i/>
          <w:iCs/>
        </w:rPr>
        <w:t xml:space="preserve">Shu</w:t>
      </w:r>
      <w:r>
        <w:t xml:space="preserve"> </w:t>
      </w:r>
      <w:r>
        <w:t xml:space="preserve">R. et al. OneForecast: A universal framework for global and regional weather forecasting // Proceedings of the 42nd International Conference on Machine Learning (ICML). PMLR, 2025. Vol. 267. P. 18658–18697.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Hersbach</w:t>
      </w:r>
      <w:r>
        <w:t xml:space="preserve"> </w:t>
      </w:r>
      <w:r>
        <w:t xml:space="preserve">H.,</w:t>
      </w:r>
      <w:r>
        <w:t xml:space="preserve"> </w:t>
      </w:r>
      <w:r>
        <w:rPr>
          <w:i/>
          <w:iCs/>
        </w:rPr>
        <w:t xml:space="preserve">Bell</w:t>
      </w:r>
      <w:r>
        <w:t xml:space="preserve"> </w:t>
      </w:r>
      <w:r>
        <w:t xml:space="preserve">B.,</w:t>
      </w:r>
      <w:r>
        <w:t xml:space="preserve"> </w:t>
      </w:r>
      <w:r>
        <w:rPr>
          <w:i/>
          <w:iCs/>
        </w:rPr>
        <w:t xml:space="preserve">Berrisford</w:t>
      </w:r>
      <w:r>
        <w:t xml:space="preserve"> </w:t>
      </w:r>
      <w:r>
        <w:t xml:space="preserve">P. et al. The ERA5 global reanalysis // Quarterly Journal of the Royal Meteorological Society. 2020. Vol. 146, No. 730. P. 1999–2049. DOI: 10.1002/qj.3803.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Künsch</w:t>
      </w:r>
      <w:r>
        <w:t xml:space="preserve"> </w:t>
      </w:r>
      <w:r>
        <w:t xml:space="preserve">H.R. The jackknife and the bootstrap for general stationary observations // The Annals of Statistics. 1989. Vol. 17, No. 3. P. 1217–1241. DOI: 10.1214/aos/1176347265.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Lam</w:t>
      </w:r>
      <w:r>
        <w:t xml:space="preserve"> </w:t>
      </w:r>
      <w:r>
        <w:t xml:space="preserve">R.,</w:t>
      </w:r>
      <w:r>
        <w:t xml:space="preserve"> </w:t>
      </w:r>
      <w:r>
        <w:rPr>
          <w:i/>
          <w:iCs/>
        </w:rPr>
        <w:t xml:space="preserve">Sanchez-Gonzalez</w:t>
      </w:r>
      <w:r>
        <w:t xml:space="preserve"> </w:t>
      </w:r>
      <w:r>
        <w:t xml:space="preserve">A.,</w:t>
      </w:r>
      <w:r>
        <w:t xml:space="preserve"> </w:t>
      </w:r>
      <w:r>
        <w:rPr>
          <w:i/>
          <w:iCs/>
        </w:rPr>
        <w:t xml:space="preserve">Willson</w:t>
      </w:r>
      <w:r>
        <w:t xml:space="preserve"> </w:t>
      </w:r>
      <w:r>
        <w:t xml:space="preserve">M. et al. Learning skillful medium-range global weather forecasting // Science. 2023. Vol. 382, No. 6677. P. 1416–1421. DOI: 10.1126/science.adi2336.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Nipen</w:t>
      </w:r>
      <w:r>
        <w:t xml:space="preserve"> </w:t>
      </w:r>
      <w:r>
        <w:t xml:space="preserve">T.N.,</w:t>
      </w:r>
      <w:r>
        <w:t xml:space="preserve"> </w:t>
      </w:r>
      <w:r>
        <w:rPr>
          <w:i/>
          <w:iCs/>
        </w:rPr>
        <w:t xml:space="preserve">Haugen</w:t>
      </w:r>
      <w:r>
        <w:t xml:space="preserve"> </w:t>
      </w:r>
      <w:r>
        <w:t xml:space="preserve">H.H.,</w:t>
      </w:r>
      <w:r>
        <w:t xml:space="preserve"> </w:t>
      </w:r>
      <w:r>
        <w:rPr>
          <w:i/>
          <w:iCs/>
        </w:rPr>
        <w:t xml:space="preserve">Ingstad</w:t>
      </w:r>
      <w:r>
        <w:t xml:space="preserve"> </w:t>
      </w:r>
      <w:r>
        <w:t xml:space="preserve">M.S. et al. Regional data-driven weather modeling with a global stretched grid // Artificial Intelligence for the Earth Systems. 2026. Vol. 5, No. 2. Art. e250001. DOI: 10.1175/AIES-D-25-0001.1.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Oskarsson</w:t>
      </w:r>
      <w:r>
        <w:t xml:space="preserve"> </w:t>
      </w:r>
      <w:r>
        <w:t xml:space="preserve">J.,</w:t>
      </w:r>
      <w:r>
        <w:t xml:space="preserve"> </w:t>
      </w:r>
      <w:r>
        <w:rPr>
          <w:i/>
          <w:iCs/>
        </w:rPr>
        <w:t xml:space="preserve">Landelius</w:t>
      </w:r>
      <w:r>
        <w:t xml:space="preserve"> </w:t>
      </w:r>
      <w:r>
        <w:t xml:space="preserve">T.,</w:t>
      </w:r>
      <w:r>
        <w:t xml:space="preserve"> </w:t>
      </w:r>
      <w:r>
        <w:rPr>
          <w:i/>
          <w:iCs/>
        </w:rPr>
        <w:t xml:space="preserve">Lindsten</w:t>
      </w:r>
      <w:r>
        <w:t xml:space="preserve"> </w:t>
      </w:r>
      <w:r>
        <w:t xml:space="preserve">F. Graph-based neural weather prediction for limited area modeling // arXiv:2309.17370. 2023.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Pathak</w:t>
      </w:r>
      <w:r>
        <w:t xml:space="preserve"> </w:t>
      </w:r>
      <w:r>
        <w:t xml:space="preserve">J.,</w:t>
      </w:r>
      <w:r>
        <w:t xml:space="preserve"> </w:t>
      </w:r>
      <w:r>
        <w:rPr>
          <w:i/>
          <w:iCs/>
        </w:rPr>
        <w:t xml:space="preserve">Subramanian</w:t>
      </w:r>
      <w:r>
        <w:t xml:space="preserve"> </w:t>
      </w:r>
      <w:r>
        <w:t xml:space="preserve">S.,</w:t>
      </w:r>
      <w:r>
        <w:t xml:space="preserve"> </w:t>
      </w:r>
      <w:r>
        <w:rPr>
          <w:i/>
          <w:iCs/>
        </w:rPr>
        <w:t xml:space="preserve">Harrington</w:t>
      </w:r>
      <w:r>
        <w:t xml:space="preserve"> </w:t>
      </w:r>
      <w:r>
        <w:t xml:space="preserve">P. et al. FourCastNet: A global data-driven high-resolution weather model using adaptive Fourier neural operators // arXiv:2202.11214. 2022.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Rasp</w:t>
      </w:r>
      <w:r>
        <w:t xml:space="preserve"> </w:t>
      </w:r>
      <w:r>
        <w:t xml:space="preserve">S.,</w:t>
      </w:r>
      <w:r>
        <w:t xml:space="preserve"> </w:t>
      </w:r>
      <w:r>
        <w:rPr>
          <w:i/>
          <w:iCs/>
        </w:rPr>
        <w:t xml:space="preserve">Hoyer</w:t>
      </w:r>
      <w:r>
        <w:t xml:space="preserve"> </w:t>
      </w:r>
      <w:r>
        <w:t xml:space="preserve">S.,</w:t>
      </w:r>
      <w:r>
        <w:t xml:space="preserve"> </w:t>
      </w:r>
      <w:r>
        <w:rPr>
          <w:i/>
          <w:iCs/>
        </w:rPr>
        <w:t xml:space="preserve">Merose</w:t>
      </w:r>
      <w:r>
        <w:t xml:space="preserve"> </w:t>
      </w:r>
      <w:r>
        <w:t xml:space="preserve">A. et al. WeatherBench 2: A benchmark for the next generation of data-driven global weather models // Journal of Advances in Modeling Earth Systems. 2024. Vol. 16, No. 6. Art. e2023MS004019. DOI: 10.1029/2023MS004019.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Wijnands</w:t>
      </w:r>
      <w:r>
        <w:t xml:space="preserve"> </w:t>
      </w:r>
      <w:r>
        <w:t xml:space="preserve">J.S.,</w:t>
      </w:r>
      <w:r>
        <w:t xml:space="preserve"> </w:t>
      </w:r>
      <w:r>
        <w:rPr>
          <w:i/>
          <w:iCs/>
        </w:rPr>
        <w:t xml:space="preserve">Van Ginderachter</w:t>
      </w:r>
      <w:r>
        <w:t xml:space="preserve"> </w:t>
      </w:r>
      <w:r>
        <w:t xml:space="preserve">M.,</w:t>
      </w:r>
      <w:r>
        <w:t xml:space="preserve"> </w:t>
      </w:r>
      <w:r>
        <w:rPr>
          <w:i/>
          <w:iCs/>
        </w:rPr>
        <w:t xml:space="preserve">François</w:t>
      </w:r>
      <w:r>
        <w:t xml:space="preserve"> </w:t>
      </w:r>
      <w:r>
        <w:t xml:space="preserve">B. et al. Data-driven regional weather forecasting: A comparison of stretched-grid and limited-area modelling // Machine Learning with Applications. 2026. Vol. 24. Art. 100887. DOI: 10.1016/j.mlwa.2026.100887.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Tolstykh M.A., Shashkin V.V., Fadeev R.Yu. et al. Sistema modelirovaniya atmosfery dlya besshovnogo prognoza [Atmosphere Modelling System for Seamless Prediction]. Moscow, Triada Ltd. Publ., 2017, 166 p. [in Russ.]</w:t>
      </w:r>
    </w:p>
    <w:p>
      <w:pPr>
        <w:pStyle w:val="Compact"/>
        <w:numPr>
          <w:ilvl w:val="0"/>
          <w:numId w:val="1005"/>
        </w:numPr>
      </w:pPr>
      <w:r>
        <w:t xml:space="preserve">Battaglia P.W., Pascanu R., Lai M. et al. Interaction networks for learning about objects, relations and physics. Advances in Neural Information Processing Systems (NIPS), 2016, vol. 29, pp. 4502–4510.</w:t>
      </w:r>
    </w:p>
    <w:p>
      <w:pPr>
        <w:pStyle w:val="Compact"/>
        <w:numPr>
          <w:ilvl w:val="0"/>
          <w:numId w:val="1005"/>
        </w:numPr>
      </w:pPr>
      <w:r>
        <w:t xml:space="preserve">Bi K., Xie L., Zhang H. et al. Accurate medium-range global weather forecasting with 3D neural networks. Nature, 2023, vol. 619, no. 7970, pp. 533–538. DOI: 10.1038/s41586-023-06185-3.</w:t>
      </w:r>
    </w:p>
    <w:p>
      <w:pPr>
        <w:pStyle w:val="Compact"/>
        <w:numPr>
          <w:ilvl w:val="0"/>
          <w:numId w:val="1005"/>
        </w:numPr>
      </w:pPr>
      <w:r>
        <w:t xml:space="preserve">Davies H.C. A lateral boundary formulation for multi-level prediction models. Quarterly Journal of the Royal Meteorological Society, 1976, vol. 102, no. 432, pp. 405–418. DOI: 10.1002/qj.49710243210.</w:t>
      </w:r>
    </w:p>
    <w:p>
      <w:pPr>
        <w:pStyle w:val="Compact"/>
        <w:numPr>
          <w:ilvl w:val="0"/>
          <w:numId w:val="1005"/>
        </w:numPr>
      </w:pPr>
      <w:r>
        <w:t xml:space="preserve">Gao Y., Wu H., Shu R. et al. OneForecast: A universal framework for global and regional weather forecasting. Proceedings of the 42nd International Conference on Machine Learning (ICML), PMLR, 2025, vol. 267, pp. 18658–18697.</w:t>
      </w:r>
    </w:p>
    <w:p>
      <w:pPr>
        <w:pStyle w:val="Compact"/>
        <w:numPr>
          <w:ilvl w:val="0"/>
          <w:numId w:val="1005"/>
        </w:numPr>
      </w:pPr>
      <w:r>
        <w:t xml:space="preserve">Hersbach H., Bell B., Berrisford P. et al. The ERA5 global reanalysis. Quarterly Journal of the Royal Meteorological Society, 2020, vol. 146, no. 730, pp. 1999–2049. DOI: 10.1002/qj.3803.</w:t>
      </w:r>
    </w:p>
    <w:p>
      <w:pPr>
        <w:pStyle w:val="Compact"/>
        <w:numPr>
          <w:ilvl w:val="0"/>
          <w:numId w:val="1005"/>
        </w:numPr>
      </w:pPr>
      <w:r>
        <w:t xml:space="preserve">Künsch H.R. The jackknife and the bootstrap for general stationary observations. The Annals of Statistics, 1989, vol. 17, no. 3, pp. 1217–1241. DOI: 10.1214/aos/1176347265.</w:t>
      </w:r>
    </w:p>
    <w:p>
      <w:pPr>
        <w:pStyle w:val="Compact"/>
        <w:numPr>
          <w:ilvl w:val="0"/>
          <w:numId w:val="1005"/>
        </w:numPr>
      </w:pPr>
      <w:r>
        <w:t xml:space="preserve">Lam R., Sanchez-Gonzalez A., Willson M. et al. Learning skillful medium-range global weather forecasting. Science, 2023, vol. 382, no. 6677, pp. 1416–1421. DOI: 10.1126/science.adi2336.</w:t>
      </w:r>
    </w:p>
    <w:p>
      <w:pPr>
        <w:pStyle w:val="Compact"/>
        <w:numPr>
          <w:ilvl w:val="0"/>
          <w:numId w:val="1005"/>
        </w:numPr>
      </w:pPr>
      <w:r>
        <w:t xml:space="preserve">Nipen T.N., Haugen H.H., Ingstad M.S. et al. Regional data-driven weather modeling with a global stretched grid. Artificial Intelligence for the Earth Systems, 2026, vol. 5, no. 2, art. e250001. DOI: 10.1175/AIES-D-25-0001.1.</w:t>
      </w:r>
    </w:p>
    <w:p>
      <w:pPr>
        <w:pStyle w:val="Compact"/>
        <w:numPr>
          <w:ilvl w:val="0"/>
          <w:numId w:val="1005"/>
        </w:numPr>
      </w:pPr>
      <w:r>
        <w:t xml:space="preserve">Oskarsson J., Landelius T., Lindsten F. Graph-based neural weather prediction for limited area modeling. arXiv:2309.17370, 2023.</w:t>
      </w:r>
    </w:p>
    <w:p>
      <w:pPr>
        <w:pStyle w:val="Compact"/>
        <w:numPr>
          <w:ilvl w:val="0"/>
          <w:numId w:val="1005"/>
        </w:numPr>
      </w:pPr>
      <w:r>
        <w:t xml:space="preserve">Pathak J., Subramanian S., Harrington P. et al. FourCastNet: A global data-driven high-resolution weather model using adaptive Fourier neural operators. arXiv:2202.11214, 2022.</w:t>
      </w:r>
    </w:p>
    <w:p>
      <w:pPr>
        <w:pStyle w:val="Compact"/>
        <w:numPr>
          <w:ilvl w:val="0"/>
          <w:numId w:val="1005"/>
        </w:numPr>
      </w:pPr>
      <w:r>
        <w:t xml:space="preserve">Rasp S., Hoyer S., Merose A. et al. WeatherBench 2: A benchmark for the next generation of data-driven global weather models. Journal of Advances in Modeling Earth Systems, 2024, vol. 16, no. 6, art. e2023MS004019. DOI: 10.1029/2023MS004019.</w:t>
      </w:r>
    </w:p>
    <w:p>
      <w:pPr>
        <w:pStyle w:val="Compact"/>
        <w:numPr>
          <w:ilvl w:val="0"/>
          <w:numId w:val="1005"/>
        </w:numPr>
      </w:pPr>
      <w:r>
        <w:t xml:space="preserve">Wijnands J.S., Van Ginderachter M., François B. et al. Data-driven regional weather forecasting: A comparison of stretched-grid and limited-area modelling. Machine Learning with Applications, 2026, vol. 24, art. 100887. DOI: 10.1016/j.mlwa.2026.100887.</w:t>
      </w:r>
    </w:p>
    <w:p>
      <w:pPr>
        <w:pStyle w:val="FirstParagraph"/>
      </w:pPr>
      <w:r>
        <w:rPr>
          <w:b/>
          <w:bCs/>
        </w:rPr>
        <w:t xml:space="preserve">Таблица 1.</w:t>
      </w:r>
      <w:r>
        <w:t xml:space="preserve"> </w:t>
      </w:r>
      <w:r>
        <w:t xml:space="preserve">Ошибка приземной температуры (°C) по горизонтам и агрегатная успешность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(%) согласно (3). Тестовая выборка 1607 сроков. Регион содержит 2501 узел, внутренняя зона 45 узлов.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 ч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  <w:r>
              <w:t xml:space="preserve">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Регион</w:t>
            </w:r>
          </w:p>
        </w:tc>
        <w:tc>
          <w:tcPr/>
          <w:p>
            <w:pPr>
              <w:pStyle w:val="Compact"/>
            </w:pPr>
            <w:r>
              <w:t xml:space="preserve">19 каналов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33 канала, базовая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33 канала, взвешенная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 обучение 16 эпох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 декодировщик с признаками рёбер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поправка кодировщика (итоговая)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Внутренняя зона</w:t>
            </w:r>
          </w:p>
        </w:tc>
        <w:tc>
          <w:tcPr/>
          <w:p>
            <w:pPr>
              <w:pStyle w:val="Compact"/>
            </w:pPr>
            <w:r>
              <w:t xml:space="preserve">33 канала, базовая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33 канала, взвешенная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итоговая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77,2</w:t>
            </w:r>
          </w:p>
        </w:tc>
      </w:tr>
    </w:tbl>
    <w:p>
      <w:pPr>
        <w:pStyle w:val="BodyText"/>
      </w:pPr>
      <w:r>
        <w:t xml:space="preserve">Table 1. RMSE of 2 m temperature (°C) by lead time and aggregate skill score S (%) per (3). 1607 initial times; region 2501 nodes, inner zone 45 nodes.</w:t>
      </w:r>
    </w:p>
    <w:p>
      <w:pPr>
        <w:pStyle w:val="BodyText"/>
      </w:pPr>
      <w:r>
        <w:rPr>
          <w:b/>
          <w:bCs/>
        </w:rPr>
        <w:t xml:space="preserve">Таблица 2.</w:t>
      </w:r>
      <w:r>
        <w:t xml:space="preserve"> </w:t>
      </w:r>
      <w:r>
        <w:t xml:space="preserve">Ошибка прогноза на горизонте +24 ч в узлах региональной вставки: инерционный прогноз, интерполяция прогноза глобальной модели и мультимасштабная модель. 19-канальная линия моделей, первые 100 сроков.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Инерционный прогноз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Глобальная 0,703° + интерполяция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Мультимасштабная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Выигрыш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t2m,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10u,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msl, гПа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t@850,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z@500, гпм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37 %</w:t>
            </w:r>
          </w:p>
        </w:tc>
      </w:tr>
    </w:tbl>
    <w:p>
      <w:pPr>
        <w:pStyle w:val="BodyText"/>
      </w:pPr>
      <w:r>
        <w:t xml:space="preserve">Table 2. Error at +24 h at the insert nodes: persistence, interpolated global forecast, multiscale model. 19-channel model line, first 100 initial times.</w:t>
      </w:r>
    </w:p>
    <w:p>
      <w:pPr>
        <w:pStyle w:val="BodyText"/>
      </w:pPr>
      <w:r>
        <w:rPr>
          <w:b/>
          <w:bCs/>
        </w:rPr>
        <w:t xml:space="preserve">Таблица 3.</w:t>
      </w:r>
      <w:r>
        <w:t xml:space="preserve"> </w:t>
      </w:r>
      <w:r>
        <w:t xml:space="preserve">Влияние весов в функции потерь. Регион, 1607 сроков. Ошибка t2m усреднена по четырём горизонтам. Последний столбец показывает ошибку по всей сетке графа.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 вставки в потерях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  <w:r>
              <w:t xml:space="preserve">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t2m,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по сетке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Исходная (без весов, после дожига)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Вес вставки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14,7 %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Вес вставки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34,1 %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Вес вставки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63,3 %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0,1717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t xml:space="preserve">и веса каналов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0,1708</w:t>
            </w:r>
          </w:p>
        </w:tc>
      </w:tr>
    </w:tbl>
    <w:p>
      <w:pPr>
        <w:pStyle w:val="BodyText"/>
      </w:pPr>
      <w:r>
        <w:t xml:space="preserve">Table 3. Effect of loss weighting. Region, 1607 initial times; t2m averaged over four lead times, last column — error over the whole graph.</w:t>
      </w:r>
    </w:p>
    <w:p>
      <w:pPr>
        <w:pStyle w:val="BodyText"/>
      </w:pPr>
      <w:r>
        <w:rPr>
          <w:b/>
          <w:bCs/>
        </w:rPr>
        <w:t xml:space="preserve">Таблица 4.</w:t>
      </w:r>
      <w:r>
        <w:t xml:space="preserve"> </w:t>
      </w:r>
      <w:r>
        <w:t xml:space="preserve">Ошибка приземной температуры (°C) по региону и агрегатная успешность при разных способах отбора контрольной точки.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 ч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  <w:r>
              <w:t xml:space="preserve">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 заморозкой</w:t>
            </w:r>
          </w:p>
        </w:tc>
        <w:tc>
          <w:tcPr/>
          <w:p>
            <w:pPr>
              <w:pStyle w:val="Compact"/>
            </w:pPr>
            <w:r>
              <w:t xml:space="preserve">лучшая по val (эпоха 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заморозки</w:t>
            </w:r>
          </w:p>
        </w:tc>
        <w:tc>
          <w:tcPr/>
          <w:p>
            <w:pPr>
              <w:pStyle w:val="Compact"/>
            </w:pPr>
            <w:r>
              <w:t xml:space="preserve">лучшая по val (эпоха 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заморозки</w:t>
            </w:r>
          </w:p>
        </w:tc>
        <w:tc>
          <w:tcPr/>
          <w:p>
            <w:pPr>
              <w:pStyle w:val="Compact"/>
            </w:pPr>
            <w:r>
              <w:t xml:space="preserve">равный бюджет (эпоха 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59,5</w:t>
            </w:r>
          </w:p>
        </w:tc>
      </w:tr>
    </w:tbl>
    <w:p>
      <w:pPr>
        <w:pStyle w:val="BodyText"/>
      </w:pPr>
      <w:r>
        <w:t xml:space="preserve">Table 4. RMSE of 2 m temperature (°C) and aggregate skill score for different ways of selecting the checkpoint.</w:t>
      </w:r>
    </w:p>
    <w:p>
      <w:pPr>
        <w:pStyle w:val="BodyText"/>
      </w:pPr>
      <w:r>
        <w:rPr>
          <w:b/>
          <w:bCs/>
        </w:rPr>
        <w:t xml:space="preserve">Таблица 5.</w:t>
      </w:r>
      <w:r>
        <w:t xml:space="preserve"> </w:t>
      </w:r>
      <w:r>
        <w:t xml:space="preserve">Ошибка приземной температуры (°C) по расстоянию до границы вставки. Положительное расстояние отсчитывается внутрь вставки (шаг 0,25°), отрицательное наружу, на глобальную часть графа (шаг 0,703°).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Расстояние до границы, км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Узлов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 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Вставка 0,25°</w:t>
            </w:r>
          </w:p>
        </w:tc>
        <w:tc>
          <w:tcPr/>
          <w:p>
            <w:pPr>
              <w:pStyle w:val="Compact"/>
            </w:pPr>
            <w:r>
              <w:t xml:space="preserve">0–25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25–50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50–100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100–200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200–1000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Глобальная 0,703°</w:t>
            </w:r>
          </w:p>
        </w:tc>
        <w:tc>
          <w:tcPr/>
          <w:p>
            <w:pPr>
              <w:pStyle w:val="Compact"/>
            </w:pPr>
            <w:r>
              <w:t xml:space="preserve">−100…0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−300…−100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−1000…−300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</w:t>
            </w:r>
          </w:p>
        </w:tc>
      </w:tr>
    </w:tbl>
    <w:p>
      <w:pPr>
        <w:pStyle w:val="BodyText"/>
      </w:pPr>
      <w:r>
        <w:t xml:space="preserve">Table 5. RMSE of 2 m temperature (°C) by distance to the insert boundary. Positive — inside (0.25°), negative — outside (0.703°).</w:t>
      </w:r>
    </w:p>
    <w:p>
      <w:pPr>
        <w:pStyle w:val="BodyText"/>
      </w:pPr>
      <w:r>
        <w:rPr>
          <w:b/>
          <w:bCs/>
        </w:rPr>
        <w:t xml:space="preserve">Таблица 6.</w:t>
      </w:r>
      <w:r>
        <w:t xml:space="preserve"> </w:t>
      </w:r>
      <w:r>
        <w:t xml:space="preserve">Сравнение с GraphCast на одних узлах и сроках: 803 инициализации, 2501 узел, широтные веса. Ошибка осреднена по горизонтам +6…+24 ч, аномальная корреляция вычислена относительно климатологии WeatherBench 2 за 1990–2019 гг.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GraphCast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Наша модель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Отношение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Приземная температура,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Зональная составляющая ветра,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Меридиональная составляющая,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на уровне моря, гПа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Аномальная корреляция t2m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Table 6. Comparison with GraphCast on shared nodes and times: 803 initialisations, 2501 nodes, latitude weights. RMSE averaged over +6…+24 h; ACC against the WeatherBench 2 1990–2019 climatology.</w:t>
      </w:r>
    </w:p>
    <w:p>
      <w:pPr>
        <w:pStyle w:val="BodyText"/>
      </w:pPr>
      <w:r>
        <w:drawing>
          <wp:inline>
            <wp:extent cx="5770337" cy="488188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root/projects/graphcast-lite/docs/paper/figures/submission/fig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337" cy="488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Прогноз приземной температуры на +24 ч в окрестности границы региональной вставки. Размер ячейки равен шагу сетки: 0,25° внутри вставки и 0,703° снаружи. Штриховой линией показана граница вставки.</w:t>
      </w:r>
    </w:p>
    <w:p>
      <w:pPr>
        <w:pStyle w:val="BodyText"/>
      </w:pPr>
      <w:r>
        <w:t xml:space="preserve">Fig. 1. 2 m temperature forecast at +24 h near the insert boundary. Cell size follows the grid spacing, 0.25° inside and 0.703° outside; dashed line — the boundary.</w:t>
      </w:r>
    </w:p>
    <w:bookmarkEnd w:id="38"/>
    <w:bookmarkEnd w:id="39"/>
    <w:sectPr>
      <w:pgSz w:h="16840" w:w="11907"/>
      <w:pgMar w:bottom="1418" w:footer="708" w:gutter="0" w:header="708" w:left="1418" w:right="850" w:top="1418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0" w:line="360" w:lineRule="auto"/>
        <w:jc w:val="both"/>
        <w:ind w:firstLine="567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Heading1" w:type="paragraph">
    <w:name w:val="heading 1"/>
    <w:basedOn w:val="Normal"/>
    <w:qFormat/>
    <w:pPr>
      <w:keepNext/>
      <w:spacing w:after="120" w:before="240"/>
      <w:jc w:val="left"/>
      <w:ind w:firstLine="0"/>
    </w:pPr>
    <w:rPr>
      <w:b/>
      <w:sz w:val="24"/>
    </w:rPr>
  </w:style>
  <w:style w:styleId="Heading2" w:type="paragraph">
    <w:name w:val="heading 2"/>
    <w:basedOn w:val="Normal"/>
    <w:qFormat/>
    <w:pPr>
      <w:keepNext/>
      <w:spacing w:after="120" w:before="240"/>
      <w:jc w:val="left"/>
      <w:ind w:firstLine="0"/>
    </w:pPr>
    <w:rPr>
      <w:b/>
      <w:sz w:val="24"/>
    </w:rPr>
  </w:style>
  <w:style w:styleId="Heading3" w:type="paragraph">
    <w:name w:val="heading 3"/>
    <w:basedOn w:val="Normal"/>
    <w:qFormat/>
    <w:pPr>
      <w:keepNext/>
      <w:spacing w:after="120" w:before="240"/>
      <w:jc w:val="left"/>
      <w:ind w:firstLine="0"/>
    </w:pPr>
    <w:rPr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2026-09-28T09:55:07Z</dcterms:created>
  <dcterms:modified xsi:type="dcterms:W3CDTF">2026-09-28T09:55:07Z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