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графу, и этому модель учится вместе со всем остальным. У модели 6,0 млн обучаемых параметров, для обучения и прогноза хватает одного графического ускорителя. На независимой выборке из 1607 сроков, которая охватывает все сезоны, среднеквадратическая ошибка прогноза приземной температуры на сутки равна 1,47 °C. Агрегатная успешность относительно инерционного прогноза составляет 74,4 %, аномальная корреляция относительно климатологии равна 0,973. На общих узлах и сроках ошибка по приземной температуре в 1,33 раза больше, чем у глобальной модели GraphCast, у которой в шесть раз больше параметров. При равномерном усреднении функции потерь целевые узлы и приземные каналы получают малую долю обучающего сигнала. Явные веса по узлам и каналам снижают ошибку приземной температуры на 10,2 % в среднем по горизонтам и на 12,0 % на суточном сроке, а архитектура и объём обучения остаются прежними. Опыт с равным бюджетом обучения показал, что ошибка одношагового прогноза на проверочной выборке плохо подходит для отбора модели, которая строит многошаговый прогноз.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8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regional neural network weather forecasting model for the south of Krasnoyarsk Krai is presented, built on a graph representation of the atmospheric state. A global mesh of 0.703° and a regional insert of 0.25° form a single graph of 133,279 nodes, removing the need for external lateral boundary conditions: the resolutions are reconciled at the interface by message passing during training. The model has 6.0 million trainable parameters and runs on a single GPU. On 1607 independent initial times covering all seasons the 2-m temperature error is 1.47 °C at the 24-h lead time, the aggregate skill score 74.4 % against persistence and the anomaly correlation 0.973 against climatology. On shared nodes and initial times it trails the global GraphCast by a factor of 1.33 with six times fewer parameters. The distribution of the training signal over nodes and channels arising from uniform averaging of the loss is far from the task: explicit weighting cuts the 2-m temperature error by 10.2 % at an equal budget and unchanged architecture. At an equal training budget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системы ведущих метеоцентров, а вычислений на выпуск прогноза им нужно во много раз меньше. Модель GraphCast [8] работает на графовом представлении атмосферы. На сроках от трёх до десяти суток она превзошла оперативную систему Европейского центра по большинству переменных. Сопоставимые результаты получили модели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и она вносит свои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Её вклад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6,0 млн параметров, у моделей [3, 8, 9] от десятков до сотен миллионов. Для обучения и выпуска прогноза хватает одного графического ускорителя, и схему можно воспроизвести в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сетку. Отдельный методический результат касается отбора модели. Ошибка одношагового прогноза на проверочной выборке ненадёжна как критерий отбора, если модель должна строить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их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единицах. Геопотенциал ERA5 один раз поделили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стандартизуется. Среднее и стандартное отклонение считали по всему периоду 2010–2020 гг., включая проверочную и тестовую части. Эти два числа на канал влияют на результат пренебрежимо мало, но мы сообщаем об этом явно.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Её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Основная модель использует 33-канальную конфигурацию. К 19 полям в ней добавлены по пять полей на уровнях 250 и 1000 гПа (температура, обе составляющие ветра, геопотенциал, удельная влажность) и четыре канала временного форсинга: синусы и косинусы часа суток и дня года. При развёртке форсинг и статические поля заменяются известными значениями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строго по времени, без перемешивания сроков. Обучающая выборка целиком предшествует проверочной, а проверочная предшествует тестовой, так что будущие состояния в обучение не попадают. Пример занимает окно из 2 входных срезов и 4 прогностических шагов, и из 16 072 сроков получается 16 067 примеров. Их разделили в отношении 80/10/10: 12 853 для обучения, 1607 в проверочную выборку и 1607 в тестовую. По проверочной выборке подбирали гиперпараметры и отбирали состояние модели. Все публикуемые числа получены на тестовой выборке. Она охватывает конец 2019 г. и весь 2020 г., то есть полный годовой цикл и все четыре сезона.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Её обучили на тех же 19 полях на широтно-долготной сетке 512 × 256 узлов с шагом около 0,703°. Модель устроена по схеме «кодировщик–процессор–декодировщик» на графе. Кодировщик переносит признаки узлов расчётной сетки на вершины икосаэдрической мозаики (уровни детализации 4 и 6). Процессор выполняет 12 раундов обмена сообщениями блоком Interaction Network [2]. Декодировщик возвращает результат в узлы сетки. У модели 6,0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были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модели, лучшего по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Их считали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G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Sup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c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g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(</m:t>
                                      </m:r>
                                      <m: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)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τ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c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g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(</m:t>
                                      </m:r>
                                      <m: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)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τ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которое принимается за истинное.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отношение крайних весов равно 1,29.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эт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равна 4,99 / 6,88 / 5,88 / 4,42 °C на горизонтах +6…+24 ч. На суточном сроке он точнее, чем на шестичасовом, потому что поле возвращается к тому же часу местного времени. Успешность относительно него меняется немонотонно (76,4 / 80,2 / 76,2 / 67,0 %) и говорит об эталоне не меньше, чем о модели.</w:t>
      </w:r>
    </w:p>
    <w:p>
      <w:pPr>
        <w:pStyle w:val="BodyText"/>
      </w:pPr>
      <w:r>
        <w:t xml:space="preserve">У климатического эталона такого недостатка нет. Его построили по обучающей части выборки разложением по гармоникам (три годовые и суточный ход), тестовые сроки в подгонку не входили. Его ошибка почти не зависит от горизонта: 6,25 °C по приземной температуре на всех сроках, 5,42 °C по температуре на 850 гПа, 9,19 гПа по давлению на уровне моря, 2,05 и 1,74 м/с по составляющим ветра. На суточном сроке успешность основной модели относительно климатологии равна 76,6 % по приземной температуре, 82,7 % по T850, 88,8 % по давлению, 65,9 и 60,9 % по ветру. Постоянная ошибка эталона показывает, до какого срока прогноз полезен. Ошибка модели по приземной температуре равна 4,33 °C на +120 ч и 6,19 °C на +168 ч, то есть сравнивается с климатологией после седьмых суток.</w:t>
      </w:r>
    </w:p>
    <w:p>
      <w:pPr>
        <w:pStyle w:val="BodyText"/>
      </w:pPr>
      <w:r>
        <w:t xml:space="preserve">Для сводной оценки служит агрегатный показатель. Каналы имеют разные единицы, и агрегат считается в стандартизованных переменных: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</m:ba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G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 </m:t>
                      </m:r>
                      <m:r>
                        <m:t>C</m:t>
                      </m:r>
                      <m:r>
                        <m:t> </m:t>
                      </m:r>
                      <m:r>
                        <m:t>H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n</m:t>
                      </m:r>
                    </m:sub>
                    <m:sup>
                      <m:r>
                        <m:t>​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C</m:t>
                              </m:r>
                            </m:sup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τ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p>
                                    <m:e>
                                      <m:d>
                                        <m:dPr>
                                          <m:begChr m:val="("/>
                                          <m:sepChr m:val=""/>
                                          <m:endChr m:val=")"/>
                                          <m:grow/>
                                        </m:dPr>
                                        <m:e>
                                          <m:f>
                                            <m:fPr>
                                              <m:type m:val="bar"/>
                                            </m:fPr>
                                            <m:num>
                                              <m:sSubSup>
                                                <m:e>
                                                  <m:acc>
                                                    <m:accPr>
                                                      <m:chr m:val="̂"/>
                                                    </m:accPr>
                                                    <m:e>
                                                      <m:r>
                                                        <m:t>x</m:t>
                                                      </m:r>
                                                    </m:e>
                                                  </m:acc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,</m:t>
                                                  </m:r>
                                                  <m:r>
                                                    <m:t>g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(</m:t>
                                                  </m:r>
                                                  <m:r>
                                                    <m:t>n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)</m:t>
                                                  </m:r>
                                                </m:sup>
                                              </m:sSub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(</m:t>
                                              </m:r>
                                              <m:r>
                                                <m:t>τ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)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−</m:t>
                                              </m:r>
                                              <m:sSubSup>
                                                <m:e>
                                                  <m:r>
                                                    <m:t>x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,</m:t>
                                                  </m:r>
                                                  <m:r>
                                                    <m:t>g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(</m:t>
                                                  </m:r>
                                                  <m:r>
                                                    <m:t>n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)</m:t>
                                                  </m:r>
                                                </m:sup>
                                              </m:sSub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(</m:t>
                                              </m:r>
                                              <m:r>
                                                <m:t>τ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)</m:t>
                                              </m:r>
                                            </m:num>
                                            <m:den>
                                              <m:sSub>
                                                <m:e>
                                                  <m:r>
                                                    <m:t>σ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</m:sub>
                                              </m:sSub>
                                            </m:den>
                                          </m:f>
                                        </m:e>
                                      </m:d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nary>
                            </m:e>
                          </m:nary>
                        </m:e>
                      </m:nary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</m:bar>
                </m:num>
                <m:den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</m:bar>
                    </m:e>
                    <m:sup>
                      <m:r>
                        <m:rPr>
                          <m:nor/>
                          <m:sty m:val="p"/>
                        </m:rPr>
                        <m:t>эт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мы приводим аномальную корреляцию. Она показывает, насколько прогноз воспроизводит отклонение от обычного состояния: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окрестности. Чтобы модель могла выучить эту зависимость, окрестность узла должна везде иметь примерно один физический размер. На регулярной сетке в координатах широта–долгота это условие не выполняется. При шаге 0,703° расстояние между соседними узлами вдоль параллели убывает пропорционально косинусу широты: около 78 км на экваторе, 50 км на 50° с. ш. и 14 км на 80° с. ш. Вблизи полюсов сетка вырождается. Модели приходится либо усреднять эту неоднородность, либо тратить ёмкость на её запоминание.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из 20 равных граней рекурсивно измельчают: каждый треугольник делят на четыре, а новые вершины проецируют на сферу. На любом уровне измельчения у каждой вершины пять или шесть соседей, и длины рёбер различаются мало. Благодаря этому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сообщение от узлов, которые попали в её окрестность (радиус связи 0,6 в единицах длины ребра графа). Многослойный персептрон переводит это сообщение в скрытое представление размерности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ϕ</m:t>
              </m:r>
            </m:e>
            <m:sub>
              <m:r>
                <m:t>e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h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ϕ</m:t>
              </m:r>
            </m:e>
            <m:sub>
              <m:r>
                <m:t>v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  <m:r>
                <m:t>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cr m:val="script"/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9 тыс. параметров (0,15 %), и после округления число параметров у них одинаково.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Классическая региональная модель вырезает область из глобальной сетки и задаёт на её краю внешние граничные условия. У граничных узлов нет корректного окружения, у края накапливаются искажения, и для их подавления нужна отдельная процедура сшивания с внешним полем [4].</w:t>
      </w:r>
    </w:p>
    <w:p>
      <w:pPr>
        <w:pStyle w:val="BodyText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то есть внешняя граница и внешнее поле остаются необходимыми. В нашей схеме их нет.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У подхода есть ограничение. Вставка задана прямоугольником в координатах широта–долгота и сохраняет ту же неоднородность шага по долготе, что обсуждалась в п. 3.1. Для полосы в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области с большей протяжённостью по широте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могут разрушить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Они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самой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 по всем узлам расчётной сетки. Мы пробовали считать потери только по области интереса. Поля за её пределами тогда деградировали и через авторегрессию ухудшали прогноз внутри области. Рельеф и маска суши и моря в функцию потерь не входят и переносятся между шагами развёртки без изменений.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и с одним определением истинного поля (разд. 2): это реанализ ERA5 с шагом 0,25° в узлах региональной вставки. Показатели: ошибка (1), успешность относительно эталона (2), агрегатная успешность (3) и аномальная корреляция (4). Табл. 1 посчитана с широтными весами, табл. 3–5 с равными. В табл. 3–5 конфигурации сравниваются между собой, а вес меняет ошибку не более чем на 0,02 °C и агрегат на 0,2 п.п.,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ошибка приземной температуры на суточном сроке равна 1,47 °C на 1607 сроках и 2,05 °C на 100.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основной-модели"/>
    <w:p>
      <w:pPr>
        <w:pStyle w:val="Heading2"/>
      </w:pPr>
      <w:r>
        <w:t xml:space="preserve">Качество основной модели</w:t>
      </w:r>
    </w:p>
    <w:p>
      <w:pPr>
        <w:pStyle w:val="FirstParagraph"/>
      </w:pPr>
      <w:r>
        <w:t xml:space="preserve">На суточном сроке ошибка приземной температуры равна 1,47 °C по области [1,39; 1,53] и 1,31 °C во внутренней зоне [1,21; 1,40]. По остальным полям региона на том же сроке: ветер 0,70 и 0,68 м/с, давление на уровне моря 1,03 гПа, T850 0,94 °C, Z500 8,7 гпм. Аномальную корреляцию мы приводим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 / 0,121 / 0,149 /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самой мультимасштабной конструкции, мы билинейно интерполировали прогноз глобальной модели с шагом 0,703° в те же 2501 узел и оценили его по той же истине.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поле в целом.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пространственная. Узлов региональной вставки 2501 из 133 279, то есть 1,9 %.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поканальная.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Крайние доли различаются в 1218 раз. Вклад канала определяется масштабом его изменчивости, а не значимостью.</w:t>
      </w:r>
    </w:p>
    <w:p>
      <w:pPr>
        <w:pStyle w:val="BodyText"/>
      </w:pPr>
      <w:r>
        <w:t xml:space="preserve">Обе диспропорции мы устранили весами.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модели: восемь эпох на полной развёртке с косинусным снижением темпа до нуля. Различаются они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У веса вставки есть внутренний максимум по агрегату. Когда доля вставки растёт с 1,7 до 34,1 %, улучшаются и агрегат, и приземная температура.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обучениям. Изменчивость по обучениям оценена в 0,03 п.п. и сравнима с самой разностью. По приземной температуре максимума нет, ошибка убывает монотонно (1,503 → 1,445 → 1,415 → 1,407). Внутренний максимум по агрегату мы считаем свойством этой выборки, а не метода.</w:t>
      </w:r>
    </w:p>
    <w:p>
      <w:pPr>
        <w:pStyle w:val="BodyText"/>
      </w:pPr>
      <w:r>
        <w:t xml:space="preserve">Механизм виден в последнем столбце. За выигрыш во вставке модель платит точностью на глобальной части графа.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ошибка по сетке растёт втрое сильнее,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извне. Ухудшение окружающего поля возвращается в область через развёртку, и оптимум определяется балансом между областью и её окружением.</w:t>
      </w:r>
    </w:p>
    <w:p>
      <w:pPr>
        <w:pStyle w:val="BodyText"/>
      </w:pPr>
      <w:r>
        <w:t xml:space="preserve">Веса каналов работают как регулятор, а не как исправление ошибки. С ними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так что для него равномерное взвешивание оптимально по построению. Выравнивание вкладов переносит точность с каналов с большой собственной изменчивостью на каналы с малой. Выигрыш канала описывается логарифмом его веса (корреляция 0,98 по 12 каналам), но за пределы измеренного диапазона эту зависимость переносить нельзя. Механизм тот же, что у веса вставки: усиленные каналы отбирают ресурс у полей, от которых сами зависят.</w:t>
      </w:r>
    </w:p>
    <w:p>
      <w:pPr>
        <w:pStyle w:val="BodyText"/>
      </w:pPr>
      <w:r>
        <w:t xml:space="preserve">Основная конфигурация статьи использует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мы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Её агрегатная успешность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лучшие контрольные точки, заморозка выигрывает до 0,14 °C на +24 ч. Но лучшие точки достигнуты на разных эпохах, 16-й и 7-й, и сравниваются не только стратегии, но и объёмы обучения. При равном бюджете разность по приземной температуре исчезает: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Тот же эффект есть у базовой 33-канальной конфигурации.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Отсюда методический вывод. Минимум одношаговой ошибки на проверочной выборке выбирает модель, лучшую ровно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О роли самой заморозки можно сказать немного. По приземной температуре при равном бюджете расписание на итог не влияет: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Это второй после п. 4.4 случай, когда агрегат и поканальные значения расходятся, и причина та же. Агрегат усредняет нормированные ошибки по всем каналам. Вклад каждого канала определяется отношением его ошибки к разбросу поля, а не значимостью канала для практики. Ранжирование конфигураций поэтому зависит от того, какое поле выбрано целевым. В отчёте нужно приводить и агрегат, и поканальные значения целевых полей на одной маске узлов.</w:t>
      </w:r>
    </w:p>
    <w:p>
      <w:pPr>
        <w:pStyle w:val="BodyText"/>
      </w:pPr>
      <w:r>
        <w:t xml:space="preserve">Адаптировать процессор под регион всё же необходимо. Если заморозить его на всё обучение, ошибка на проверочной выборке выше на 7,5 %. Обучение выходит на плато к восьмой эпохе, и ошибка на обучающей выборке тоже выше. Значит, модели не хватает свободы подстроить динамику, а не данных. Эту величину измерили одношаговой метрикой, и мы используем её как признак недообучения, а не для отбора состояния.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Мы утверждаем, что жёсткая склейка узлов не требует отдельной процедуры сшивания. Чтобы проверить это напрямую, ошибку приземной температуры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Переходный слой существует. На горизонте +6 ч ошибка монотонно убывает с удалением от границы: 1,58 °C в полосе шириной 25 км против 1,40 °C в глубине области, то есть у стыка она выше на 13 %. Эффект прослеживается примерно на 100–200 км. Значит, о полной бесшовности говорить нельзя.</w:t>
      </w:r>
    </w:p>
    <w:p>
      <w:pPr>
        <w:pStyle w:val="BodyText"/>
      </w:pPr>
      <w:r>
        <w:t xml:space="preserve">В авторегрессии переходный слой не усиливается. Превышение у стыка над минимумом по полосам составляет 6,0 / 8,8 / 7,9 / 6,5 % по четырём горизонтам и держится в пределах 6–9 %. Относительно дальней полосы превышение со временем уменьшается, но причина в росте ошибки в глубине области, а не в рассасывании переходного слоя. В глубине области лежат горные районы, и на дальних сроках там преобладает ошибка из-за рельефа.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Глобальная часть не страдает. Сразу за границей вставки ошибка (1,87 °C на +24 ч) не больше, чем вдали от неё (1,95 и 2,05 °C).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земному шару, а наши к вставке над Красноярским краем. Напрямую их сравнивать нельзя: больше половины площади шара занимает океан, где прогноз точнее.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В архиве GraphCast есть только инициализации 00 и 12 UTC, и сравнение идёт на 803 сроках тестового окна, общих для обеих моделей. Правильность сопоставления мы проверили на инерционном прогнозе. Посчитанный по архиву, он даёт по приземной температуре 6,71 / 6,90 / 4,02 / 4,45 °C, а посчитанный нашим кодом на тех же сроках 6,71 / 6,90 / 4,03 / 4,45 °C. Сравнение ограничено приземными полями. Уровни лежат в архиве одним блоком, и скачать один уровень стоит столько же, сколько все.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Такое соотношение ожидаемо. У GraphCast 36,7 млн параметров против 6,0 млн, разрешение 0,25° по всему шару против грубой глобальной сетки со вставкой, 37 уровней против четырёх и обучение на многих ускорителях против одного. Отставание показывает цену перехода к вычислительной среде регионального подразделения. Предел самого подхода это сравнение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0,973 [0,968; 0,978] по области и 0,983 [0,977; 0,986] во внутренней зоне. По остальным полям области она равна 0,946 и 0,927 для составляющих ветра, 0,995 для давления, 0,988 для T850 и 0,998 для Z500.</w:t>
      </w:r>
    </w:p>
    <w:bookmarkEnd w:id="28"/>
    <w:bookmarkStart w:id="29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Все улучшения, описанные в работе, получены без изменения архитектуры: менялось только распределение обучающего сигнала. Оба веса улучшают целевую часть задачи за счёт остальной. Большой вес вставки ухудшает прогноз на глобальной части графа, а от него через приток извне зависит и сама вставка. Веса каналов улучшают приземную температуру и снижают агрегат по всем каналам.</w:t>
      </w:r>
    </w:p>
    <w:bookmarkEnd w:id="29"/>
    <w:bookmarkStart w:id="30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имеют смысл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стратегию дообучения выбрали по табл. 3 и 4, которые посчитаны на тестовой выборке, а не на проверочной. Выбор одного гиперпараметра из четырёх значений слабо переиспользует тестовую выборку, но величины для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следует считать слегка оптимистичными.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Три приёма, от которых мы ждали пользы, не помогли. Шум в авторегрессии ухудшил прогноз на 5–15 %. Ансамбль дообученных состояний одной модели не дал выигрыша: ошибки состояний коррелируют с коэффициентом 0,993. Обучение на развёртке в двенадцать шагов вместо четырёх изменило агрегат на 0,11 п.п., и интервал накрывает ноль. Подробный разбор вынесен в отдельную методическую работу.</w:t>
      </w:r>
    </w:p>
    <w:p>
      <w:pPr>
        <w:pStyle w:val="BodyText"/>
      </w:pPr>
      <w:r>
        <w:t xml:space="preserve">Истинным полем служит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сравнивались. При таком сравнении нужно учесть, что модель, обученная на реанализе, оценивается против того же реанализа и находится в выгодном положении [12]. Результаты получены для одной территории и одного тестового окна. Прямого сравнения с региональной моделью с граничным форсингом [10] мы не проводили.</w:t>
      </w:r>
    </w:p>
    <w:bookmarkEnd w:id="30"/>
    <w:bookmarkStart w:id="31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Граф можно уплотнить, если объединить все уровни икосаэдрической мозаики, а не два. Это даёт дальние связи без роста числа параметров. Следующие шаги: больше прогностических полей и прогноз с оценкой неопределённости через ансамбль возмущённых начальных состояний или порождающие вероятностные модели. Чтобы схему приняли в оперативную практику, её нужно проверить по данным сети станций. Отдельная задача состоит в том, чтобы включить циклическое усвоение наблюдений в автоматический цикл выпуска прогноза.</w:t>
      </w:r>
    </w:p>
    <w:bookmarkEnd w:id="31"/>
    <w:bookmarkStart w:id="32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переходный слой шириной 100–200 км, где ошибка выше на 6–9 %, и с ростом горизонта этот слой не усиливается.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адаптировать процессор необходимо: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Результаты верификации нужно приводить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от него через приток извне зависит и сама область.</w:t>
      </w:r>
    </w:p>
    <w:bookmarkEnd w:id="32"/>
    <w:bookmarkStart w:id="33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75,4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9986" cy="489005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986" cy="4890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7"/>
    <w:bookmarkEnd w:id="38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2026-09-24T09:14:49Z</dcterms:created>
  <dcterms:modified xsi:type="dcterms:W3CDTF">2026-09-24T09:14:49Z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