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УДК 551.509.313:004.032.26</w:t>
      </w:r>
    </w:p>
    <w:bookmarkStart w:id="9" w:name="X59c74492fa064dbefdfda43494c8a94351062bf"/>
    <w:p>
      <w:pPr>
        <w:pStyle w:val="Heading1"/>
      </w:pPr>
      <w:r>
        <w:t xml:space="preserve">Мультимасштабная графовая нейросетевая модель регионального прогноза погоды</w:t>
      </w:r>
    </w:p>
    <w:p>
      <w:pPr>
        <w:pStyle w:val="FirstParagraph"/>
      </w:pPr>
      <w:r>
        <w:t xml:space="preserve">А.С. Табаков</w:t>
      </w:r>
      <w:r>
        <w:rPr>
          <w:vertAlign w:val="superscript"/>
        </w:rPr>
        <w:t xml:space="preserve">1,2</w:t>
      </w:r>
      <w:r>
        <w:t xml:space="preserve">, А.В. Пененко</w:t>
      </w:r>
      <w:r>
        <w:rPr>
          <w:vertAlign w:val="superscript"/>
        </w:rPr>
        <w:t xml:space="preserve">1</w:t>
      </w:r>
      <w:r>
        <w:t xml:space="preserve">, А.Б. Колкер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Институт вычислительной математики и математической геофизики СО РАН, г. Новосибирск, Россия;</w:t>
      </w:r>
      <w:r>
        <w:t xml:space="preserve"> </w:t>
      </w:r>
      <w:r>
        <w:rPr>
          <w:vertAlign w:val="superscript"/>
        </w:rPr>
        <w:t xml:space="preserve">2</w:t>
      </w:r>
      <w:r>
        <w:t xml:space="preserve">Новосибирский государственный университет, г. Новосибирск, Россия;</w:t>
      </w:r>
      <w:r>
        <w:t xml:space="preserve"> </w:t>
      </w:r>
      <w:r>
        <w:rPr>
          <w:vertAlign w:val="superscript"/>
        </w:rPr>
        <w:t xml:space="preserve">3</w:t>
      </w:r>
      <w:r>
        <w:t xml:space="preserve">Сибирский региональный научно-исследовательский гидрометеорологический институт, г. Новосибирск, Россия;</w:t>
      </w:r>
      <w:r>
        <w:t xml:space="preserve"> </w:t>
      </w:r>
      <w:r>
        <w:rPr>
          <w:vertAlign w:val="superscript"/>
        </w:rPr>
        <w:t xml:space="preserve">4</w:t>
      </w:r>
      <w:r>
        <w:t xml:space="preserve">Новосибирский государственный технический университет, г. Новосибирск, Россия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Статья описывает графовую нейросетевую модель регионального прогноза погоды над югом Красноярского края. Глобальная сетка с шагом 0,703° и региональная вставка с шагом 0,25° образуют одну расчётную сетку из 133 279 узлов. Внешние граничные условия модели не нужны: поля на стыке двух разрешений согласует обмен сообщениями по графу, и этому модель учится вместе со всем остальным. У модели 5,9 млн обучаемых параметров, для обучения и прогноза хватает одного графического ускорителя. На независимой выборке из 1607 сроков, которая охватывает все сезоны, среднеквадратическая ошибка прогноза приземной температуры на сутки равна 1,47 °C. Агрегатная успешность относительно инерционного прогноза составляет 74,4 %, аномальная корреляция относительно климатологии равна 0,973. На общих узлах и сроках ошибка по приземной температуре в 1,33 раза больше, чем у глобальной модели GraphCast, у которой в шесть раз больше параметров. При равномерном усреднении функции потерь целевые узлы и приземные каналы получают малую долю обучающего сигнала. Явные веса по узлам и каналам снижают ошибку приземной температуры на 10,2 % в среднем по горизонтам и на 12,0 % на суточном сроке, а архитектура и объём обучения остаются прежними. Опыт с равным бюджетом обучения показал, что ошибка одношагового прогноза на проверочной выборке плохо подходит для отбора модели, которая строит многошаговый прогноз.</w:t>
      </w:r>
    </w:p>
    <w:p>
      <w:pPr>
        <w:pStyle w:val="BodyText"/>
      </w:pPr>
      <w:r>
        <w:t xml:space="preserve">Ключевые слова: численный прогноз погоды, графовая нейронная сеть, региональный прогноз, мультимасштабная сетка, авторегрессионный прогноз, функция потерь, машинное обучение</w:t>
      </w:r>
    </w:p>
    <w:bookmarkEnd w:id="9"/>
    <w:bookmarkStart w:id="38" w:name="X18962f304fe062523d27d89f54b7781ab791a26"/>
    <w:p>
      <w:pPr>
        <w:pStyle w:val="Heading1"/>
      </w:pPr>
      <w:r>
        <w:t xml:space="preserve">A multiscale graph neural network for regional weather forecasting</w:t>
      </w:r>
    </w:p>
    <w:p>
      <w:pPr>
        <w:pStyle w:val="FirstParagraph"/>
      </w:pPr>
      <w:r>
        <w:t xml:space="preserve">A.S. Tabakov</w:t>
      </w:r>
      <w:r>
        <w:rPr>
          <w:vertAlign w:val="superscript"/>
        </w:rPr>
        <w:t xml:space="preserve">1,2</w:t>
      </w:r>
      <w:r>
        <w:t xml:space="preserve">, A.V. Penenko</w:t>
      </w:r>
      <w:r>
        <w:rPr>
          <w:vertAlign w:val="superscript"/>
        </w:rPr>
        <w:t xml:space="preserve">1</w:t>
      </w:r>
      <w:r>
        <w:t xml:space="preserve">, A.B. Kolker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Institute of Computational Mathematics and Mathematical Geophysics SB RAS, Novosibirsk, Russia;</w:t>
      </w:r>
      <w:r>
        <w:t xml:space="preserve"> </w:t>
      </w:r>
      <w:r>
        <w:rPr>
          <w:vertAlign w:val="superscript"/>
        </w:rPr>
        <w:t xml:space="preserve">2</w:t>
      </w:r>
      <w:r>
        <w:t xml:space="preserve">Novosibirsk State University, Novosibirsk, Russia;</w:t>
      </w:r>
      <w:r>
        <w:t xml:space="preserve"> </w:t>
      </w:r>
      <w:r>
        <w:rPr>
          <w:vertAlign w:val="superscript"/>
        </w:rPr>
        <w:t xml:space="preserve">3</w:t>
      </w:r>
      <w:r>
        <w:t xml:space="preserve">Siberian Regional Research Hydrometeorological Institute, Novosibirsk, Russia;</w:t>
      </w:r>
      <w:r>
        <w:t xml:space="preserve"> </w:t>
      </w:r>
      <w:r>
        <w:rPr>
          <w:vertAlign w:val="superscript"/>
        </w:rPr>
        <w:t xml:space="preserve">4</w:t>
      </w:r>
      <w:r>
        <w:t xml:space="preserve">Novosibirsk State Technical University, Novosibirsk, Russia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A regional neural network weather forecasting model for the south of Krasnoyarsk Krai is presented, built on a graph representation of the atmospheric state. A global mesh of 0.703° and a regional insert of 0.25° form a single graph of 133,279 nodes, removing the need for external lateral boundary conditions: the resolutions are reconciled at the interface by message passing during training. The model has 5.9 million trainable parameters and runs on a single GPU. On 1607 independent initial times covering all seasons the 2-m temperature error is 1.47 °C at the 24-h lead time, the aggregate skill score 74.4 % against persistence and the anomaly correlation 0.973 against climatology. On shared nodes and initial times it trails the global GraphCast by a factor of 1.33 with six times fewer parameters. The distribution of the training signal over nodes and channels arising from uniform averaging of the loss is far from the task: explicit weighting cuts the 2-m temperature error by 10.2 % at an equal budget and unchanged architecture. At an equal training budget the single-step validation error proves an unreliable criterion for selecting a model for multi-step forecasting.</w:t>
      </w:r>
    </w:p>
    <w:p>
      <w:pPr>
        <w:pStyle w:val="BodyText"/>
      </w:pPr>
      <w:r>
        <w:t xml:space="preserve">Keywords: numerical weather prediction, graph neural network, regional forecasting, multiscale mesh, autoregressive forecast, loss function, machine learning</w:t>
      </w:r>
    </w:p>
    <w:bookmarkStart w:id="10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Численный прогноз погоды интегрирует уравнения гидротермодинамики атмосферы на сетке высокого разрешения. В России такой прогноз оперативно выпускают по полулагранжевой модели ПЛАВ [1]. Подход точен, но один глобальный прогноз на средние сроки занимает часы работы суперкомпьютера. Это ограничивает частоту обновления прогноза и размер ансамбля.</w:t>
      </w:r>
    </w:p>
    <w:p>
      <w:pPr>
        <w:pStyle w:val="BodyText"/>
      </w:pPr>
      <w:r>
        <w:t xml:space="preserve">В 2022–2023 годах нейросетевые модели, обученные на архиве реанализа, догнали по точности оперативные системы ведущих метеоцентров, а вычислений на выпуск прогноза им нужно во много раз меньше. Модель GraphCast [8] работает на графовом представлении атмосферы. На сроках от трёх до десяти суток она превзошла оперативную систему Европейского центра по большинству переменных. Сопоставимые результаты получили модели Pangu-Weather [3] и FourCastNet [11]. В основе GraphCast лежит граф, узлы которого почти равномерно покрывают сферу (п. 3.1).</w:t>
      </w:r>
    </w:p>
    <w:p>
      <w:pPr>
        <w:pStyle w:val="BodyText"/>
      </w:pPr>
      <w:r>
        <w:t xml:space="preserve">Большинство таких систем решает глобальную задачу, а на практике часто нужен более детальный прогноз над ограниченной территорией. Главная трудность такого перехода связана с граничными условиями: у краевых узлов вырезанной области нет корректного окружения. В классическом прогнозе поле в буферной зоне релаксируют к внешнему полю [4]. Для этого нужна отдельная процедура, и она вносит свои погрешности.</w:t>
      </w:r>
    </w:p>
    <w:p>
      <w:pPr>
        <w:pStyle w:val="BodyText"/>
      </w:pPr>
      <w:r>
        <w:t xml:space="preserve">Для нейросетевых региональных моделей предложено несколько способов обойти проблему границ. Архитектура Neural-LAM [10] получает граничный форсинг от глобальной модели. В [9] разрешение плавно меняется на растянутой сетке. В [5] вложенные сетки обмениваются информацией между уровнями. Подходы с растянутой сеткой и с ограниченной областью сравнивали в [13].</w:t>
      </w:r>
    </w:p>
    <w:p>
      <w:pPr>
        <w:pStyle w:val="BodyText"/>
      </w:pPr>
      <w:r>
        <w:t xml:space="preserve">Наша работа посвящена региональной модели прогноза над югом Красноярского края. Её вклад состоит в следующем.</w:t>
      </w:r>
    </w:p>
    <w:p>
      <w:pPr>
        <w:numPr>
          <w:ilvl w:val="0"/>
          <w:numId w:val="1001"/>
        </w:numPr>
      </w:pPr>
      <w:r>
        <w:t xml:space="preserve">Мы построили единую мультимасштабную сетку. Глобальная сетка с шагом 0,703° и региональная вставка с шагом 0,25° соединены в один граф без внешних границ. Разрешения согласует обмен сообщениями, отдельная процедура сшивания не нужна. Сама идея мультимасштабного представления известна [5, 9]. Наш вариант отличается способом построения: узлы глобальной решётки внутри области заменены узлами вставки, и связность для всех узлов строится одинаково. Такая конструкция точнее интерполяции прогноза глобальной модели в те же узлы.</w:t>
      </w:r>
    </w:p>
    <w:p>
      <w:pPr>
        <w:numPr>
          <w:ilvl w:val="0"/>
          <w:numId w:val="1001"/>
        </w:numPr>
      </w:pPr>
      <w:r>
        <w:t xml:space="preserve">Модель намеренно сделана лёгкой: у неё 5,9 млн параметров, у моделей [3, 8, 9] от десятков до сотен миллионов. Для обучения и выпуска прогноза хватает одного графического ускорителя, и схему можно воспроизвести в вычислительной среде регионального управления гидрометслужбы.</w:t>
      </w:r>
    </w:p>
    <w:p>
      <w:pPr>
        <w:numPr>
          <w:ilvl w:val="0"/>
          <w:numId w:val="1001"/>
        </w:numPr>
      </w:pPr>
      <w:r>
        <w:t xml:space="preserve">Мы исследовали стратегию дообучения глобальной модели под региональную сетку. Отдельный методический результат касается отбора модели. Ошибка одношагового прогноза на проверочной выборке ненадёжна как критерий отбора, если модель должна строить многошаговый прогноз.</w:t>
      </w:r>
    </w:p>
    <w:p>
      <w:pPr>
        <w:numPr>
          <w:ilvl w:val="0"/>
          <w:numId w:val="1001"/>
        </w:numPr>
      </w:pPr>
      <w:r>
        <w:t xml:space="preserve">При равномерном усреднении функции потерь обучающий сигнал распределяется не так, как требует задача: узлы целевой области получают 1,7 % сигнала, приземная температура 0,46 %. Явные веса по узлам и каналам снижают ошибку приземной температуры на 10,2 %, архитектура и объём обучения остаются прежними.</w:t>
      </w:r>
    </w:p>
    <w:p>
      <w:r>
        <w:pict>
          <v:rect style="width:0;height:1.5pt" o:hralign="center" o:hrstd="t" o:hr="t"/>
        </w:pict>
      </w:r>
    </w:p>
    <w:bookmarkEnd w:id="10"/>
    <w:bookmarkStart w:id="11" w:name="данные-базовая-модель-и-метрики-качества"/>
    <w:p>
      <w:pPr>
        <w:pStyle w:val="Heading2"/>
      </w:pPr>
      <w:r>
        <w:t xml:space="preserve">Данные, базовая модель и метрики качества</w:t>
      </w:r>
    </w:p>
    <w:bookmarkEnd w:id="11"/>
    <w:bookmarkStart w:id="12" w:name="исходные-данные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Модель обучали и оценивали на реанализе ERA5 Европейского центра среднесрочных прогнозов погоды [6] за 2010–2020 гг. с шагом 6 ч. Это 16 072 последовательных срока.</w:t>
      </w:r>
    </w:p>
    <w:p>
      <w:pPr>
        <w:pStyle w:val="BodyText"/>
      </w:pPr>
      <w:r>
        <w:t xml:space="preserve">Состояние атмосферы описывают 19 полей. Семь из них приземные: температура воздуха на высоте 2 м, зональная и меридиональная составляющие ветра на высоте 10 м, давление на уровне моря, приземное давление, суммарные осадки за 6 ч и общее содержание водяного пара в столбе атмосферы. Два поля статические: геопотенциал поверхности и маска суши и моря. Модель получает их на вход, но не прогнозирует, и в оценках они не участвуют. На уровнях 850 и 500 гПа заданы по пять полей: температура, две составляющие ветра, геопотенциал и удельная влажность. Вертикальную структуру описывает набор признаков узла, отдельных узлов по высоте нет.</w:t>
      </w:r>
    </w:p>
    <w:p>
      <w:pPr>
        <w:pStyle w:val="BodyText"/>
      </w:pPr>
      <w:r>
        <w:t xml:space="preserve">Поля хранятся в физических единицах. Геопотенциал ERA5 один раз поделили на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80665</m:t>
        </m:r>
      </m:oMath>
      <w:r>
        <w:t xml:space="preserve"> </w:t>
      </w:r>
      <w:r>
        <w:t xml:space="preserve">м/с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Перед подачей в сеть каждый канал стандартизуется. Среднее и стандартное отклонение считали по всему периоду 2010–2020 гг., включая проверочную и тестовую части. Эти два числа на канал влияют на результат пренебрежимо мало, но мы сообщаем об этом явно.</w:t>
      </w:r>
    </w:p>
    <w:p>
      <w:pPr>
        <w:pStyle w:val="BodyText"/>
      </w:pPr>
      <w:r>
        <w:t xml:space="preserve">На вход модель получает два последовательных срока (12 ч). Прогноз строится авторегрессионно с шагом 6 ч, оценки приводятся для горизонтов +6, +12, +18 и +24 ч.</w:t>
      </w:r>
    </w:p>
    <w:p>
      <w:pPr>
        <w:pStyle w:val="BodyText"/>
      </w:pPr>
      <w:r>
        <w:t xml:space="preserve">Целевая область (регион) ограничена координатами 50–60° с. ш., 83–98° в. д. Её покрывает решётка с шагом 0,25° размером 61 × 41 = 2501 узел. Внутри региона выделена зона 55,5–56,5° с. ш., 92–94° в. д. (45 узлов) с Красноярском и окрестностями. Метрики считаются относительно полей ERA5 с шагом 0,25° в этих узлах, без интерполяции с более грубой сетки.</w:t>
      </w:r>
    </w:p>
    <w:p>
      <w:pPr>
        <w:pStyle w:val="BodyText"/>
      </w:pPr>
      <w:r>
        <w:t xml:space="preserve">Основная модель использует 33-канальную конфигурацию. К 19 полям в ней добавлены по пять полей на уровнях 250 и 1000 гПа (температура, обе составляющие ветра, геопотенциал, удельная влажность) и четыре канала временного форсинга: синусы и косинусы часа суток и дня года. При развёртке форсинг и статические поля заменяются известными значениями и в число прогностических каналов не входят.</w:t>
      </w:r>
    </w:p>
    <w:bookmarkEnd w:id="12"/>
    <w:bookmarkStart w:id="13" w:name="хронологическое-разбиение-выборки"/>
    <w:p>
      <w:pPr>
        <w:pStyle w:val="Heading2"/>
      </w:pPr>
      <w:r>
        <w:t xml:space="preserve">Хронологическое разбиение выборки</w:t>
      </w:r>
    </w:p>
    <w:p>
      <w:pPr>
        <w:pStyle w:val="FirstParagraph"/>
      </w:pPr>
      <w:r>
        <w:t xml:space="preserve">Выборку разбили строго по времени, без перемешивания сроков. Обучающая выборка целиком предшествует проверочной, а проверочная предшествует тестовой, так что будущие состояния в обучение не попадают. Пример занимает окно из 2 входных срезов и 4 прогностических шагов, и из 16 072 сроков получается 16 067 примеров. Их разделили в отношении 80/10/10: 12 853 для обучения, 1607 в проверочную выборку и 1607 в тестовую. По проверочной выборке подбирали гиперпараметры и отбирали состояние модели. Все публикуемые числа получены на тестовой выборке. Она охватывает конец 2019 г. и весь 2020 г., то есть полный годовой цикл и все четыре сезона. Сроки начала прогноза в обучающей выборке идут с 01.01.2010 06 UTC по 19.10.2018 06 UTC, в проверочной с 19.10.2018 12 UTC по 25.11.2019 00 UTC, в тестовой с 25.11.2019 06 UTC по 30.12.2020 18 UTC.</w:t>
      </w:r>
    </w:p>
    <w:bookmarkEnd w:id="13"/>
    <w:bookmarkStart w:id="14" w:name="базовая-глобальная-модель"/>
    <w:p>
      <w:pPr>
        <w:pStyle w:val="Heading2"/>
      </w:pPr>
      <w:r>
        <w:t xml:space="preserve">Базовая глобальная модель</w:t>
      </w:r>
    </w:p>
    <w:p>
      <w:pPr>
        <w:pStyle w:val="FirstParagraph"/>
      </w:pPr>
      <w:r>
        <w:t xml:space="preserve">Региональное дообучение начинается с глобальной модели. Её обучили на тех же 19 полях на широтно-долготной сетке 512 × 256 узлов с шагом около 0,703°. Модель устроена по схеме «кодировщик–процессор–декодировщик» на графе. Кодировщик переносит признаки узлов расчётной сетки на вершины икосаэдрической мозаики (уровни детализации 4 и 6). Процессор выполняет 12 раундов обмена сообщениями блоком Interaction Network [2]. Декодировщик возвращает результат в узлы сетки. У модели 5,9 млн обучаемых параметров, в шесть раз меньше, чем у GraphCast [8], и для обучения и оперативного выпуска прогноза хватает одного графического ускорителя.</w:t>
      </w:r>
    </w:p>
    <w:p>
      <w:pPr>
        <w:pStyle w:val="BodyText"/>
      </w:pPr>
      <w:r>
        <w:t xml:space="preserve">Функция потерь равна среднеквадратической ошибке в стандартизованных переменных, осреднённой по узлам, каналам и горизонтам. Длина авторегрессионной развёртки при обучении растёт поэтапно. При подготовке работы мы нашли особенность реализации. При глобальном предобучении широтные веса узлов были почти равномерными, а при региональном дообучении (п. 3.4) применялись веса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где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обозначает широту узла. Региональное дообучение стартовало с промежуточного состояния глобальной модели, лучшего по проверочной выборке (эпоха 30 из 36 пройденных). На собственной сетке базовая модель даёт агрегатную успешность 65,4 % и ошибку приземной температуры 1,07 °C в среднем по горизонтам +6…+24 ч (200 сроков). С региональными числами работы эти значения сравнивать нельзя. Их считали по всему шару на грубой сетке 0,703°, где истинное поле сглажено, и на другой подвыборке сроков.</w:t>
      </w:r>
    </w:p>
    <w:bookmarkEnd w:id="14"/>
    <w:bookmarkStart w:id="15" w:name="метрики-качества"/>
    <w:p>
      <w:pPr>
        <w:pStyle w:val="Heading2"/>
      </w:pPr>
      <w:r>
        <w:t xml:space="preserve">Метрики качества</w:t>
      </w:r>
    </w:p>
    <w:p>
      <w:pPr>
        <w:pStyle w:val="FirstParagraph"/>
      </w:pPr>
      <w:r>
        <w:t xml:space="preserve">Для канала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горизонта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среднеквадратическая ошибка считается в физических единицах канала: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G</m:t>
                      </m:r>
                      <m:r>
                        <m:rPr>
                          <m:sty m:val="p"/>
                        </m:rPr>
                        <m:t>|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G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Sup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c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g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(</m:t>
                                      </m:r>
                                      <m:r>
                                        <m:t>n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)</m:t>
                                      </m:r>
                                    </m:sup>
                                  </m:sSub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τ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c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g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(</m:t>
                                      </m:r>
                                      <m:r>
                                        <m:t>n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)</m:t>
                                      </m:r>
                                    </m:sup>
                                  </m:sSub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τ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сроков (</w:t>
      </w:r>
      <m:oMath>
        <m:r>
          <m:t>N</m:t>
        </m:r>
        <m:r>
          <m:rPr>
            <m:sty m:val="p"/>
          </m:rPr>
          <m:t>=</m:t>
        </m:r>
        <m:r>
          <m:t>1607</m:t>
        </m:r>
      </m:oMath>
      <w:r>
        <w:t xml:space="preserve"> </w:t>
      </w:r>
      <w:r>
        <w:t xml:space="preserve">для тестовой выборки);</w:t>
      </w:r>
      <w:r>
        <w:t xml:space="preserve"> </w:t>
      </w:r>
      <m:oMath>
        <m:r>
          <m:rPr>
            <m:scr m:val="script"/>
            <m:sty m:val="p"/>
          </m:rPr>
          <m:t>G</m:t>
        </m:r>
      </m:oMath>
      <w:r>
        <w:t xml:space="preserve"> </w:t>
      </w:r>
      <w:r>
        <w:t xml:space="preserve">— множество оцениваемых узлов (2501 для региона, 45 для внутренней зоны);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— прогноз,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значение реанализа, которое принимается за истинное. Ошибка приводится в единицах переменной: °C, м/с, гПа, гпм. Узлы входят в сумму с весами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нормированными на единичное среднее, как принято в протоколе верификации нейросетевых моделей прогноза [12]. Ячейка широтно-долготной сетки на 60° с. ш. вдвое у́же экваториальной, и при равных весах высокие широты получили бы завышенный вклад. Для полосы 50–60° с. ш. отношение крайних весов равно 1,29.</w:t>
      </w:r>
    </w:p>
    <w:p>
      <w:pPr>
        <w:pStyle w:val="BodyText"/>
      </w:pPr>
      <w:r>
        <w:t xml:space="preserve">Прогноз сравнивается с двумя эталонами. Инерционный эталон переносит поля последнего входного среза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все горизонты без изменений, климатический описан ниже. Успешность относительно эталона вычисляется так: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r>
                        <m:t>c</m:t>
                      </m:r>
                    </m:sub>
                    <m:sup>
                      <m:r>
                        <m:rPr>
                          <m:nor/>
                          <m:sty m:val="p"/>
                        </m:rPr>
                        <m:t>эт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⋅</m:t>
          </m:r>
          <m:r>
            <m:t>100</m:t>
          </m:r>
          <m:r>
            <m:t> 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rPr>
                <m:nor/>
                <m:sty m:val="p"/>
              </m:rPr>
              <m:t>эт</m:t>
            </m:r>
          </m:sup>
        </m:sSup>
      </m:oMath>
      <w:r>
        <w:t xml:space="preserve"> </w:t>
      </w:r>
      <w:r>
        <w:t xml:space="preserve">— ошибка (1) для эталона на том же окне и той же маске узлов.</w:t>
      </w:r>
    </w:p>
    <w:p>
      <w:pPr>
        <w:pStyle w:val="BodyText"/>
      </w:pPr>
      <w:r>
        <w:t xml:space="preserve">Инерционный эталон подходит не для всех полей. По приземной температуре его ошибка равна 4,99 / 6,88 / 5,88 / 4,42 °C на горизонтах +6…+24 ч. На суточном сроке он точнее, чем на шестичасовом, потому что поле возвращается к тому же часу местного времени. Успешность относительно него меняется немонотонно (76,4 / 80,2 / 76,2 / 67,0 %) и говорит об эталоне не меньше, чем о модели.</w:t>
      </w:r>
    </w:p>
    <w:p>
      <w:pPr>
        <w:pStyle w:val="BodyText"/>
      </w:pPr>
      <w:r>
        <w:t xml:space="preserve">У климатического эталона такого недостатка нет. Его построили по обучающей части выборки разложением по гармоникам (три годовые и суточный ход), тестовые сроки в подгонку не входили. Его ошибка почти не зависит от горизонта: 6,25 °C по приземной температуре на всех сроках, 5,42 °C по температуре на 850 гПа, 9,19 гПа по давлению на уровне моря, 2,05 и 1,74 м/с по составляющим ветра. На суточном сроке успешность основной модели относительно климатологии равна 76,6 % по приземной температуре, 82,7 % по T850, 88,8 % по давлению, 65,9 и 60,9 % по ветру. Постоянная ошибка эталона показывает, до какого срока прогноз полезен. Ошибка модели по приземной температуре равна 4,33 °C на +120 ч и 6,19 °C на +168 ч, то есть сравнивается с климатологией после седьмых суток.</w:t>
      </w:r>
    </w:p>
    <w:p>
      <w:pPr>
        <w:pStyle w:val="BodyText"/>
      </w:pPr>
      <w:r>
        <w:t xml:space="preserve">Для сводной оценки служит агрегатный показатель. Каналы имеют разные единицы, и агрегат считается в стандартизованных переменных: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e>
          </m:ba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rPr>
                          <m:scr m:val="script"/>
                          <m:sty m:val="p"/>
                        </m:rPr>
                        <m:t>G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 </m:t>
                      </m:r>
                      <m:r>
                        <m:t>C</m:t>
                      </m:r>
                      <m:r>
                        <m:t> </m:t>
                      </m:r>
                      <m:r>
                        <m:t>H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n</m:t>
                      </m:r>
                    </m:sub>
                    <m:sup>
                      <m:r>
                        <m:t>​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G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C</m:t>
                              </m:r>
                            </m:sup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τ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p>
                                    <m:e>
                                      <m:d>
                                        <m:dPr>
                                          <m:begChr m:val="("/>
                                          <m:sepChr m:val=""/>
                                          <m:endChr m:val=")"/>
                                          <m:grow/>
                                        </m:dPr>
                                        <m:e>
                                          <m:f>
                                            <m:fPr>
                                              <m:type m:val="bar"/>
                                            </m:fPr>
                                            <m:num>
                                              <m:sSubSup>
                                                <m:e>
                                                  <m:acc>
                                                    <m:accPr>
                                                      <m:chr m:val="̂"/>
                                                    </m:accPr>
                                                    <m:e>
                                                      <m:r>
                                                        <m:t>x</m:t>
                                                      </m:r>
                                                    </m:e>
                                                  </m:acc>
                                                </m:e>
                                                <m:sub>
                                                  <m:r>
                                                    <m:t>c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,</m:t>
                                                  </m:r>
                                                  <m:r>
                                                    <m:t>g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(</m:t>
                                                  </m:r>
                                                  <m:r>
                                                    <m:t>n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)</m:t>
                                                  </m:r>
                                                </m:sup>
                                              </m:sSub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(</m:t>
                                              </m:r>
                                              <m:r>
                                                <m:t>τ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)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−</m:t>
                                              </m:r>
                                              <m:sSubSup>
                                                <m:e>
                                                  <m:r>
                                                    <m:t>x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m:t>c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,</m:t>
                                                  </m:r>
                                                  <m:r>
                                                    <m:t>g</m:t>
                                                  </m:r>
                                                </m:sub>
                                                <m:sup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(</m:t>
                                                  </m:r>
                                                  <m:r>
                                                    <m:t>n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)</m:t>
                                                  </m:r>
                                                </m:sup>
                                              </m:sSub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(</m:t>
                                              </m:r>
                                              <m:r>
                                                <m:t>τ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)</m:t>
                                              </m:r>
                                            </m:num>
                                            <m:den>
                                              <m:sSub>
                                                <m:e>
                                                  <m:r>
                                                    <m:t>σ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m:t>c</m:t>
                                                  </m:r>
                                                </m:sub>
                                              </m:sSub>
                                            </m:den>
                                          </m:f>
                                        </m:e>
                                      </m:d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nary>
                            </m:e>
                          </m:nary>
                        </m:e>
                      </m:nary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‾"/>
            </m:accPr>
            <m:e>
              <m:r>
                <m:t>S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E</m:t>
                      </m:r>
                    </m:e>
                  </m:bar>
                </m:num>
                <m:den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M</m:t>
                          </m:r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</m:bar>
                    </m:e>
                    <m:sup>
                      <m:r>
                        <m:rPr>
                          <m:nor/>
                          <m:sty m:val="p"/>
                        </m:rPr>
                        <m:t>эт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⋅</m:t>
          </m:r>
          <m:r>
            <m:t>100</m:t>
          </m:r>
          <m:r>
            <m:t> 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σ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стандартное отклонение канала при стандартизации;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число прогностических каналов (17 для 19-канальной конфигурации, 27 для 33-канальной: исключены два статических поля и четыре канала форсинга);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. В табл. 1 столбец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осредняет разные наборы каналов, и строки с 19 и 33 каналами по нему сравнивать нельзя. Сравнимы поканальные значения и строки внутри одного набора.</w:t>
      </w:r>
    </w:p>
    <w:p>
      <w:pPr>
        <w:pStyle w:val="BodyText"/>
      </w:pPr>
      <w:r>
        <w:t xml:space="preserve">Кроме ошибки, мы приводим аномальную корреляцию. Она показывает, насколько прогноз воспроизводит отклонение от обычного состояния: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g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∑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g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∑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g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g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— климатология ERA5 за 1990–2019 гг. из архива WeatherBench 2 [12],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тот же широтный вес. Суммирование идёт сразу по узлам и срокам, то есть ACC равна отношению сумм, а не среднему посрочных корреляций. Из прогноза и истины вычитается климатология, а не среднее поля, чтобы убрать из обоих общий сезонный ход.</w:t>
      </w:r>
    </w:p>
    <w:p>
      <w:pPr>
        <w:pStyle w:val="BodyText"/>
      </w:pPr>
      <w:r>
        <w:t xml:space="preserve">Точность оценок характеризуют доверительные интервалы блочного бутстрепа. Сроки идут через 6 ч и коррелированы внутри одного синоптического процесса, и при ресэмплинге берутся блоки подряд идущих сроков [7]. Интервалы строятся из посрочных вкладов в ошибку, и конфигурации сравниваются парно на общих сроках. Интервал учитывает изменчивость по срокам верификации, но не по повторным обучениям. Изменчивость по обучениям оценена в п. 5.1.</w:t>
      </w:r>
    </w:p>
    <w:p>
      <w:r>
        <w:pict>
          <v:rect style="width:0;height:1.5pt" o:hralign="center" o:hrstd="t" o:hr="t"/>
        </w:pict>
      </w:r>
    </w:p>
    <w:bookmarkEnd w:id="15"/>
    <w:bookmarkStart w:id="16" w:name="X82254124f8568425d0e292d5a87736a92eb850a"/>
    <w:p>
      <w:pPr>
        <w:pStyle w:val="Heading2"/>
      </w:pPr>
      <w:r>
        <w:t xml:space="preserve">Мультимасштабная графовая модель и стратегия дообучения</w:t>
      </w:r>
    </w:p>
    <w:bookmarkEnd w:id="16"/>
    <w:bookmarkStart w:id="17" w:name="ограничения-регулярной-сетки-на-сфере"/>
    <w:p>
      <w:pPr>
        <w:pStyle w:val="Heading2"/>
      </w:pPr>
      <w:r>
        <w:t xml:space="preserve">Ограничения регулярной сетки на сфере</w:t>
      </w:r>
    </w:p>
    <w:p>
      <w:pPr>
        <w:pStyle w:val="FirstParagraph"/>
      </w:pPr>
      <w:r>
        <w:t xml:space="preserve">Значение переменной в узле через шесть часов определяется состоянием его окрестности. Чтобы модель могла выучить эту зависимость, окрестность узла должна везде иметь примерно один физический размер. На регулярной сетке в координатах широта–долгота это условие не выполняется. При шаге 0,703° расстояние между соседними узлами вдоль параллели убывает пропорционально косинусу широты: около 78 км на экваторе, 50 км на 50° с. ш. и 14 км на 80° с. ш. Вблизи полюсов сетка вырождается. Модели приходится либо усреднять эту неоднородность, либо тратить ёмкость на её запоминание.</w:t>
      </w:r>
    </w:p>
    <w:p>
      <w:pPr>
        <w:pStyle w:val="BodyText"/>
      </w:pPr>
      <w:r>
        <w:t xml:space="preserve">Узлы почти равномерно распределяет по сфере икосаэдрическая триангуляция. Икосаэдр из 20 равных граней рекурсивно измельчают: каждый треугольник делят на четыре, а новые вершины проецируют на сферу. На любом уровне измельчения у каждой вершины пять или шесть соседей, и длины рёбер различаются мало. Благодаря этому окрестность узла везде отвечает близкому физическому масштабу.</w:t>
      </w:r>
    </w:p>
    <w:bookmarkEnd w:id="17"/>
    <w:bookmarkStart w:id="18" w:name="архитектура"/>
    <w:p>
      <w:pPr>
        <w:pStyle w:val="Heading2"/>
      </w:pPr>
      <w:r>
        <w:t xml:space="preserve">Архитектура</w:t>
      </w:r>
    </w:p>
    <w:p>
      <w:pPr>
        <w:pStyle w:val="FirstParagraph"/>
      </w:pPr>
      <w:r>
        <w:t xml:space="preserve">Модель построена по схеме «кодировщик–процессор–декодировщик» [2, 8]. Узлы обмениваются информацией на графе, а входные и выходные поля остаются на регулярной сетке.</w:t>
      </w:r>
    </w:p>
    <w:p>
      <w:pPr>
        <w:pStyle w:val="BodyText"/>
      </w:pPr>
      <w:r>
        <w:t xml:space="preserve">Кодировщик переносит значения из узлов сетки в вершины графа. Каждая вершина собирает сообщение от узлов, которые попали в её окрестность (радиус связи 0,6 в единицах длины ребра графа). Многослойный персептрон переводит это сообщение в скрытое представление размерности 256.</w:t>
      </w:r>
    </w:p>
    <w:p>
      <w:pPr>
        <w:pStyle w:val="BodyText"/>
      </w:pPr>
      <w:r>
        <w:t xml:space="preserve">Процессор выполняет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раундов обмена сообщениями по рёбрам графа. Каждый раунд реализован блоком Interaction Network [2] и состоит из двух шагов. Сначала для каждого ребра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вычисляется сообщение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ϕ</m:t>
              </m:r>
            </m:e>
            <m:sub>
              <m:r>
                <m:t>e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h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затем состояние вершины обновляется по среднему входящих сообщений: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ϕ</m:t>
              </m:r>
            </m:e>
            <m:sub>
              <m:r>
                <m:t>v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|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nary>
              <m:r>
                <m:t> 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h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— скрытое представление вершины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после раунда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(размерность 256);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— постоянные признаки ребра (длина и три компоненты единичного вектора направления в геоцентрических координатах);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вершины, соединённые с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ϕ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персептроны с активацией Swish и послойной нормировкой. Веса раундов не разделяются, как и в [8].</w:t>
      </w:r>
    </w:p>
    <w:p>
      <w:pPr>
        <w:pStyle w:val="BodyText"/>
      </w:pPr>
      <w:r>
        <w:t xml:space="preserve">Декодировщик переносит скрытые представления вершин обратно в узлы регулярной сетки и выдаёт приращения полей.</w:t>
      </w:r>
    </w:p>
    <w:p>
      <w:pPr>
        <w:pStyle w:val="BodyText"/>
      </w:pPr>
      <w:r>
        <w:t xml:space="preserve">Прогноз строится авторегрессионно с шагом 6 ч. Выход модели снова подаётся на её вход и даёт следующий срок: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cr m:val="script"/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acc>
                <m:accPr>
                  <m:chr m:val="̂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— обученное отображение;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на вход идут два среза анализа. Конфигурации на 19 и 33 канала различаются только входным слоем кодировщика и выходным слоем декодировщика. Разница составляет около 11 тыс. параметров (0,2 %), и после округления число параметров у них одинаково.</w:t>
      </w:r>
    </w:p>
    <w:bookmarkEnd w:id="18"/>
    <w:bookmarkStart w:id="19" w:name="мультимасштабная-расчётная-сетка"/>
    <w:p>
      <w:pPr>
        <w:pStyle w:val="Heading2"/>
      </w:pPr>
      <w:r>
        <w:t xml:space="preserve">Мультимасштабная расчётная сетка</w:t>
      </w:r>
    </w:p>
    <w:p>
      <w:pPr>
        <w:pStyle w:val="FirstParagraph"/>
      </w:pPr>
      <w:r>
        <w:t xml:space="preserve">Классическая региональная модель вырезает область из глобальной сетки и задаёт на её краю внешние граничные условия. У граничных узлов нет корректного окружения, у края накапливаются искажения, и для их подавления нужна отдельная процедура сшивания с внешним полем [4].</w:t>
      </w:r>
    </w:p>
    <w:p>
      <w:pPr>
        <w:pStyle w:val="BodyText"/>
      </w:pPr>
      <w:r>
        <w:t xml:space="preserve">Мы используем другой приём: глобальная и региональная сетки объединены в один граф, и внешней границы у модели нет. Из глобальной сетки 512 × 256 (шаг 0,703°) удалены узлы внутри области интереса. На их место поставлена регулярная решётка с шагом 0,25° (61 × 41 = 2501 узел) в границах 50–60° с. ш., 83–98° в. д. Итоговая расчётная сетка содержит 130 778 глобальных узлов и 2501 узел вставки, всего 133 279.</w:t>
      </w:r>
    </w:p>
    <w:p>
      <w:pPr>
        <w:pStyle w:val="BodyText"/>
      </w:pPr>
      <w:r>
        <w:t xml:space="preserve">Рёбра между узлами и вершинами графа строятся поиском ближайших соседей по геоцентрическим координатам. Для узлов обоих разрешений процедура одна и та же, и переходную зону при построении связности никак не выделяют.</w:t>
      </w:r>
    </w:p>
    <w:p>
      <w:pPr>
        <w:pStyle w:val="BodyText"/>
      </w:pPr>
      <w:r>
        <w:t xml:space="preserve">Соединение жёсткое: множества узлов не пересекаются, и значения собираются в один вектор состояния без весовой функции и сглаживания на стыке. Разрешения согласуются в ходе обмена сообщениями. Узлы по обе стороны стыка связаны рёбрами и обмениваются признаками на каждом из 12 раундов, так что переходный слой модель формирует сама при обучении.</w:t>
      </w:r>
    </w:p>
    <w:p>
      <w:pPr>
        <w:pStyle w:val="BodyText"/>
      </w:pPr>
      <w:r>
        <w:t xml:space="preserve">В методе Дэвиса [4] внутреннее решение в ходе интегрирования релаксируется к заданному извне полю, то есть внешняя граница и внешнее поле остаются необходимыми. В нашей схеме их нет. Прямая проверка бесшовности приведена на рис. 1: смена разрешения видна по размеру ячеек, а разрыва поля на склейке нет. Количественная диагностика по горизонтам дана в п. 4.6.</w:t>
      </w:r>
    </w:p>
    <w:p>
      <w:pPr>
        <w:pStyle w:val="BodyText"/>
      </w:pPr>
      <w:r>
        <w:t xml:space="preserve">У подхода есть ограничение. Вставка задана прямоугольником в координатах широта–долгота и сохраняет ту же неоднородность шага по долготе, что обсуждалась в п. 3.1. Для полосы в 10° по широте отношение</w:t>
      </w:r>
      <w:r>
        <w:t xml:space="preserve"> </w:t>
      </w:r>
      <m:oMath>
        <m:r>
          <m:rPr>
            <m:sty m:val="p"/>
          </m:rPr>
          <m:t>cos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 </w:t>
      </w:r>
      <w:r>
        <w:t xml:space="preserve">невелико, но для области с большей протяжённостью по широте его придётся учитывать.</w:t>
      </w:r>
    </w:p>
    <w:bookmarkEnd w:id="19"/>
    <w:bookmarkStart w:id="20" w:name="стратегия-дообучения"/>
    <w:p>
      <w:pPr>
        <w:pStyle w:val="Heading2"/>
      </w:pPr>
      <w:r>
        <w:t xml:space="preserve">Стратегия дообучения</w:t>
      </w:r>
    </w:p>
    <w:p>
      <w:pPr>
        <w:pStyle w:val="FirstParagraph"/>
      </w:pPr>
      <w:r>
        <w:t xml:space="preserve">Региональную модель получают дообучением глобальной, которую обучили на той же выборке ERA5 в конфигурации 512 × 256. После смены геометрии сетки веса кодировщика и декодировщика не согласованы с новой связностью, а процессор хранит динамику, выученную на глобальной задаче. Если сразу дообучать все параметры, большие градиенты от неадаптированных кодировщика и декодировщика могут разрушить эту динамику. Такой эффект называют катастрофическим забыванием.</w:t>
      </w:r>
    </w:p>
    <w:p>
      <w:pPr>
        <w:pStyle w:val="BodyText"/>
      </w:pPr>
      <w:r>
        <w:t xml:space="preserve">Чтобы его избежать, дообучение идёт в две фазы.</w:t>
      </w:r>
    </w:p>
    <w:p>
      <w:pPr>
        <w:pStyle w:val="Compact"/>
        <w:numPr>
          <w:ilvl w:val="0"/>
          <w:numId w:val="1002"/>
        </w:numPr>
      </w:pPr>
      <w:r>
        <w:t xml:space="preserve">Фаза 1 (первые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эпох): параметры процессора заморожены, обучаются только кодировщик и декодировщик. Они подстраиваются под новую геометрию и статистику региона.</w:t>
      </w:r>
    </w:p>
    <w:p>
      <w:pPr>
        <w:pStyle w:val="Compact"/>
        <w:numPr>
          <w:ilvl w:val="0"/>
          <w:numId w:val="1002"/>
        </w:numPr>
      </w:pPr>
      <w:r>
        <w:t xml:space="preserve">Фаза 2 (оставшиеся эпохи): процессор размораживается и учится с темпом в 10 раз меньше базового.</w:t>
      </w:r>
    </w:p>
    <w:p>
      <w:pPr>
        <w:pStyle w:val="FirstParagraph"/>
      </w:pPr>
      <w:r>
        <w:t xml:space="preserve">В основной конфигурации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 в конфигурациях для проверки самой стратегии (п. 4.5)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 Базовый темп обучения равен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оптимизатор Adam.</w:t>
      </w:r>
    </w:p>
    <w:p>
      <w:pPr>
        <w:pStyle w:val="BodyText"/>
      </w:pPr>
      <w:r>
        <w:t xml:space="preserve">Длина авторегрессионной развёртки растёт по учебному плану. Обучение начинается с одношагового прогноза, затем число шагов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в (7) увеличивается до четырёх. Функция потерь считается по всем шагам развёртки.</w:t>
      </w:r>
    </w:p>
    <w:p>
      <w:pPr>
        <w:pStyle w:val="BodyText"/>
      </w:pPr>
      <w:r>
        <w:t xml:space="preserve">Функция потерь равна среднеквадратической ошибке в стандартизованных переменных по всем узлам расчётной сетки. Мы пробовали считать потери только по области интереса. Поля за её пределами тогда деградировали и через авторегрессию ухудшали прогноз внутри области. Рельеф и маска суши и моря в функцию потерь не входят и переносятся между шагами развёртки без изменений.</w:t>
      </w:r>
    </w:p>
    <w:p>
      <w:r>
        <w:pict>
          <v:rect style="width:0;height:1.5pt" o:hralign="center" o:hrstd="t" o:hr="t"/>
        </w:pict>
      </w:r>
    </w:p>
    <w:bookmarkEnd w:id="20"/>
    <w:bookmarkStart w:id="21" w:name="Xd92d63fc2b7e6e7c3c9e692529cf83f6981c544"/>
    <w:p>
      <w:pPr>
        <w:pStyle w:val="Heading2"/>
      </w:pPr>
      <w:r>
        <w:t xml:space="preserve">Результаты: качество регионального прогноза</w:t>
      </w:r>
    </w:p>
    <w:bookmarkEnd w:id="21"/>
    <w:bookmarkStart w:id="22" w:name="условия-оценки"/>
    <w:p>
      <w:pPr>
        <w:pStyle w:val="Heading2"/>
      </w:pPr>
      <w:r>
        <w:t xml:space="preserve">Условия оценки</w:t>
      </w:r>
    </w:p>
    <w:p>
      <w:pPr>
        <w:pStyle w:val="FirstParagraph"/>
      </w:pPr>
      <w:r>
        <w:t xml:space="preserve">Все оценки получены на одном окне верификации и с одним определением истинного поля (разд. 2): это реанализ ERA5 с шагом 0,25° в узлах региональной вставки. Показатели: ошибка (1), успешность относительно эталона (2), агрегатная успешность (3) и аномальная корреляция (4). Табл. 1 посчитана с широтными весами, табл. 3–5 с равными. В табл. 3–5 конфигурации сравниваются между собой, а вес меняет ошибку не более чем на 0,02 °C и агрегат на 0,2 п.п., одинаково у всех строк.</w:t>
      </w:r>
    </w:p>
    <w:p>
      <w:pPr>
        <w:pStyle w:val="BodyText"/>
      </w:pPr>
      <w:r>
        <w:t xml:space="preserve">Объём выборки в таблицах разный. Табл. 1, 3 и 4 посчитаны на полной тестовой выборке из 1607 сроков (25.11.2019–30.12.2020, все четыре сезона). Табл. 2 и 5 посчитаны на первых 100 сроках периода (по 19.12.2019). Эта подвыборка приходится на холодное полугодие и труднее полной: ошибка приземной температуры на суточном сроке равна 1,47 °C на 1607 сроках и 2,05 °C на 100. Числа из разных таблиц сравнивать нельзя. Внутри одной таблицы все конфигурации посчитаны на одних сроках.</w:t>
      </w:r>
    </w:p>
    <w:bookmarkEnd w:id="22"/>
    <w:bookmarkStart w:id="23" w:name="качество-основной-модели"/>
    <w:p>
      <w:pPr>
        <w:pStyle w:val="Heading2"/>
      </w:pPr>
      <w:r>
        <w:t xml:space="preserve">Качество основной модели</w:t>
      </w:r>
    </w:p>
    <w:p>
      <w:pPr>
        <w:pStyle w:val="FirstParagraph"/>
      </w:pPr>
      <w:r>
        <w:t xml:space="preserve">На суточном сроке ошибка приземной температуры равна 1,47 °C по области [1,39; 1,53] и 1,31 °C во внутренней зоне [1,21; 1,40]. По остальным полям региона на том же сроке: ветер 0,70 и 0,68 м/с, давление на уровне моря 1,03 гПа, T850 0,94 °C, Z500 8,7 гпм. Аномальную корреляцию мы приводим в п. 4.7 вместе со сравнением с глобальной моделью, чтобы обе модели оценивались по одной климатологии.</w:t>
      </w:r>
    </w:p>
    <w:p>
      <w:pPr>
        <w:pStyle w:val="BodyText"/>
      </w:pPr>
      <w:r>
        <w:t xml:space="preserve">Переход с 19 на 33 канала (уровни 250 и 1000 гПа, временной форсинг) уменьшает ошибку на всех горизонтах: на 0,076 / 0,121 / 0,149 / 0,174 °C с интервалами [0,063; 0,088], [0,104; 0,138], [0,125; 0,171] и [0,141; 0,210]. Весь выигрыш нельзя приписать новым уровням: 33-канальную конфигурацию дообучали от другой глобальной модели, которая сама точнее. Взвешенная конфигурация снижает ошибку приземной температуры относительно базовой 33-канальной ещё на 11,6 % (1,548 против 1,368 °C в среднем по горизонтам), а агрегатную успешность повышает на 1,17 п.п. с интервалом [+1,09; +1,24]. Часть этого выигрыша дают восемь эпох дополнительного обучения; при равном объёме обучения выигрыш равен 10,2 % (п. 4.4).</w:t>
      </w:r>
    </w:p>
    <w:bookmarkEnd w:id="23"/>
    <w:bookmarkStart w:id="24" w:name="что-даёт-единый-граф"/>
    <w:p>
      <w:pPr>
        <w:pStyle w:val="Heading2"/>
      </w:pPr>
      <w:r>
        <w:t xml:space="preserve">Что даёт единый граф</w:t>
      </w:r>
    </w:p>
    <w:p>
      <w:pPr>
        <w:pStyle w:val="FirstParagraph"/>
      </w:pPr>
      <w:r>
        <w:t xml:space="preserve">Чтобы оценить вклад самой мультимасштабной конструкции, мы билинейно интерполировали прогноз глобальной модели с шагом 0,703° в те же 2501 узел и оценили его по той же истине. Все строки табл. 2 посчитаны на одних и тех же 100 сроках тестовой выборки.</w:t>
      </w:r>
    </w:p>
    <w:p>
      <w:pPr>
        <w:pStyle w:val="BodyText"/>
      </w:pPr>
      <w:r>
        <w:t xml:space="preserve">Единый граф точнее интерполяции по всем полям. По приземной температуре выигрыш умеренный (11 %), по ветру и геопотенциалу больше (37–40 %). Вероятная причина в том, что обмен сообщениями уточняет поле в целом. Приземную температуру в конкретном узле сильнее определяют подсеточные факторы, которых не разрешает ни одна из сравниваемых конфигураций.</w:t>
      </w:r>
    </w:p>
    <w:bookmarkEnd w:id="24"/>
    <w:bookmarkStart w:id="25" w:name="веса-в-функции-потерь"/>
    <w:p>
      <w:pPr>
        <w:pStyle w:val="Heading2"/>
      </w:pPr>
      <w:r>
        <w:t xml:space="preserve">Веса в функции потерь</w:t>
      </w:r>
    </w:p>
    <w:p>
      <w:pPr>
        <w:pStyle w:val="FirstParagraph"/>
      </w:pPr>
      <w:r>
        <w:t xml:space="preserve">При обучении функция потерь равна среднеквадратической ошибке по нормированным каналам, усреднённой по узлам графа и шагам развёртки. Такое усреднение неявно задаёт, какие части задачи получают обучающий сигнал. В двух отношениях это распределение далеко от постановки задачи.</w:t>
      </w:r>
    </w:p>
    <w:p>
      <w:pPr>
        <w:pStyle w:val="BodyText"/>
      </w:pPr>
      <w:r>
        <w:t xml:space="preserve">Первая диспропорция пространственная. Узлов региональной вставки 2501 из 133 279, то есть 1,9 %. Почти весь обучающий сигнал приходится на глобальную часть графа, хотя публикуемые показатели относятся к вставке.</w:t>
      </w:r>
    </w:p>
    <w:p>
      <w:pPr>
        <w:pStyle w:val="BodyText"/>
      </w:pPr>
      <w:r>
        <w:t xml:space="preserve">Вторая диспропорция поканальная. Каждый канал нормирован на разброс самого поля, а модель предсказывает приращение за шаг, и разбросы приращений у каналов различаются на порядки. По обучающей выборке осадки дают 25,0 % функции потерь, приземная температура 0,46 %, геопотенциал на 500 гПа 0,15 %, приземное давление 0,02 %. Крайние доли различаются в 1218 раз. Вклад канала определяется масштабом его изменчивости, а не значимостью.</w:t>
      </w:r>
    </w:p>
    <w:p>
      <w:pPr>
        <w:pStyle w:val="BodyText"/>
      </w:pPr>
      <w:r>
        <w:t xml:space="preserve">Обе диспропорции мы устранили весами. Узлы вставки получают вес</w:t>
      </w:r>
      <w:r>
        <w:t xml:space="preserve"> </w:t>
      </w:r>
      <m:oMath>
        <m:r>
          <m:t>W</m:t>
        </m:r>
      </m:oMath>
      <w:r>
        <w:t xml:space="preserve">, остальные узлы единичный вес. Каналы получают веса, обратные квадрату разброса шестичасовой невязки по обучающей выборке. Все конфигурации табл. 3 получены одинаковым дожигом одной исходной модели: восемь эпох на полной развёртке с косинусным снижением темпа до нуля. Различаются они только весами. Первая строка табл. 3 (1,503 °C) не совпадает со строкой «33 канала, базовая» табл. 1 (1,525 °C без широтных весов), потому что в неё уже включён дожиг. При равном объёме обучения взвешивание даёт выигрыш 10,2 %, а разность с табл. 1 (11,5 %) включает ещё и восемь эпох дожига.</w:t>
      </w:r>
    </w:p>
    <w:p>
      <w:pPr>
        <w:pStyle w:val="BodyText"/>
      </w:pPr>
      <w:r>
        <w:t xml:space="preserve">У веса вставки есть внутренний максимум по агрегату. Когда доля вставки растёт с 1,7 до 34,1 %, улучшаются и агрегат, и приземная температура. Дальнейший рост до 63,3 % агрегат ухудшает. Парный блочный бутстреп по общим срокам даёт для разности агрегатов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величину −0,05 п.п. с интервалом [−0,07; −0,03], который не накрывает ноль. Этот интервал учитывает изменчивость по срокам, но не по повторным обучениям. Изменчивость по обучениям оценена в 0,03 п.п. и сравнима с самой разностью. По приземной температуре максимума нет, ошибка убывает монотонно (1,503 → 1,445 → 1,415 → 1,407). Внутренний максимум по агрегату мы считаем свойством этой выборки, а не метода.</w:t>
      </w:r>
    </w:p>
    <w:p>
      <w:pPr>
        <w:pStyle w:val="BodyText"/>
      </w:pPr>
      <w:r>
        <w:t xml:space="preserve">Механизм виден в последнем столбце. За выигрыш во вставке модель платит точностью на глобальной части графа.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ошибка по сетке растёт втрое сильнее, чем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(0,0021 против 0,0007). Суточный прогноз внутри вставки зависит от притока извне. Ухудшение окружающего поля возвращается в область через развёртку, и оптимум определяется балансом между областью и её окружением.</w:t>
      </w:r>
    </w:p>
    <w:p>
      <w:pPr>
        <w:pStyle w:val="BodyText"/>
      </w:pPr>
      <w:r>
        <w:t xml:space="preserve">Веса каналов работают как регулятор, а не как исправление ошибки. С ними агрегат снижается на 0,30 п.п. (интервал [−0,32; −0,28]), а приземная температура улучшается на 4,6 %, и все четыре интервала не накрывают ноль. Агрегат (3) сам равен среднему по каналам с равными весами, так что для него равномерное взвешивание оптимально по построению. Выравнивание вкладов переносит точность с каналов с большой собственной изменчивостью на каналы с малой. Выигрыш канала описывается логарифмом его веса (корреляция 0,98 по 12 каналам), но за пределы измеренного диапазона эту зависимость переносить нельзя. Механизм тот же, что у веса вставки: усиленные каналы отбирают ресурс у полей, от которых сами зависят.</w:t>
      </w:r>
    </w:p>
    <w:p>
      <w:pPr>
        <w:pStyle w:val="BodyText"/>
      </w:pPr>
      <w:r>
        <w:t xml:space="preserve">Основная конфигурация статьи использует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 выравнивающие веса каналов. Веса каналов вычислены по обучающей выборке и по тестовой не подбирались. Целевые каналы для усиления отдельно не выбирали.</w:t>
      </w:r>
    </w:p>
    <w:bookmarkEnd w:id="25"/>
    <w:bookmarkStart w:id="26" w:name="Xb592c768e0743a91d705a4c39dcd104ace96542"/>
    <w:p>
      <w:pPr>
        <w:pStyle w:val="Heading2"/>
      </w:pPr>
      <w:r>
        <w:t xml:space="preserve">Стратегия дообучения и выбор контрольной точки</w:t>
      </w:r>
    </w:p>
    <w:p>
      <w:pPr>
        <w:pStyle w:val="FirstParagraph"/>
      </w:pPr>
      <w:r>
        <w:t xml:space="preserve">Стратегию дообучения мы исследовали на отдельной линии 19-канальных моделей. Сравнивались два варианта: заморозка процессора на первые 6 эпох и обучение всех параметров с первой эпохи. Сборка данных, начальное значение генератора и расписание у вариантов одинаковые. Эта линия предсказывает само поле, а не приращение. Её агрегатная успешность (около 60 %) поэтому ниже, чем у 19-канальной строки табл. 1 (69,2 %), хотя ошибки приземной температуры близки. Числа табл. 1 и 4 относятся к разным моделям, и сравнивать их между собой нельзя.</w:t>
      </w:r>
    </w:p>
    <w:p>
      <w:pPr>
        <w:pStyle w:val="BodyText"/>
      </w:pPr>
      <w:r>
        <w:t xml:space="preserve">Если сравнивать лучшие контрольные точки, заморозка выигрывает до 0,14 °C на +24 ч. Но лучшие точки достигнуты на разных эпохах, 16-й и 7-й, и сравниваются не только стратегии, но и объёмы обучения. При равном бюджете разность по приземной температуре исчезает: обе конфигурации дают 1,82 °C на сутки.</w:t>
      </w:r>
    </w:p>
    <w:p>
      <w:pPr>
        <w:pStyle w:val="BodyText"/>
      </w:pPr>
      <w:r>
        <w:t xml:space="preserve">Контрольная точка эпохи 7, «лучшая» по одношаговой ошибке, в авторегрессионной развёртке проигрывает точке эпохи 16 той же конфигурации (1,96 против 1,82 °C). Тот же эффект есть у базовой 33-канальной конфигурации. Состояние с минимальной ошибкой на проверочной выборке точнее на +6 ч (1,30 против 1,32 °C), но проигрывает на +18 и +24 ч, и смена знака значима с обеих сторон.</w:t>
      </w:r>
    </w:p>
    <w:p>
      <w:pPr>
        <w:pStyle w:val="BodyText"/>
      </w:pPr>
      <w:r>
        <w:t xml:space="preserve">Отсюда методический вывод. Минимум одношаговой ошибки на проверочной выборке выбирает модель, лучшую ровно на измеряемом горизонте, и для многошагового прогноза этот критерий ненадёжен. Отбирать модель следует по метрике на полной развёртке, а стратегии сравнивать при равном бюджете.</w:t>
      </w:r>
    </w:p>
    <w:p>
      <w:pPr>
        <w:pStyle w:val="BodyText"/>
      </w:pPr>
      <w:r>
        <w:t xml:space="preserve">О роли самой заморозки можно сказать немного. По приземной температуре при равном бюджете расписание на итог не влияет: 1,82 против 1,82 °C, интервалы [1,72; 1,90] и [1,71; 1,90] совпадают. По агрегату заморозка выигрывает 1,30 п.п. с интервалом [+1,06; +1,59], который не накрывает ноль (60,8 против 59,5 %).</w:t>
      </w:r>
    </w:p>
    <w:p>
      <w:pPr>
        <w:pStyle w:val="BodyText"/>
      </w:pPr>
      <w:r>
        <w:t xml:space="preserve">Это второй после п. 4.4 случай, когда агрегат и поканальные значения расходятся, и причина та же. Агрегат усредняет нормированные ошибки по всем каналам. Вклад каждого канала определяется отношением его ошибки к разбросу поля, а не значимостью канала для практики. Ранжирование конфигураций поэтому зависит от того, какое поле выбрано целевым. В отчёте нужно приводить и агрегат, и поканальные значения целевых полей на одной маске узлов.</w:t>
      </w:r>
    </w:p>
    <w:p>
      <w:pPr>
        <w:pStyle w:val="BodyText"/>
      </w:pPr>
      <w:r>
        <w:t xml:space="preserve">Адаптировать процессор под регион всё же необходимо. Если заморозить его на всё обучение, ошибка на проверочной выборке выше на 7,5 %. Обучение выходит на плато к восьмой эпохе, и ошибка на обучающей выборке тоже выше. Значит, модели не хватает свободы подстроить динамику, а не данных. Эту величину измерили одношаговой метрикой, и мы используем её как признак недообучения, а не для отбора состояния.</w:t>
      </w:r>
    </w:p>
    <w:bookmarkEnd w:id="26"/>
    <w:bookmarkStart w:id="27" w:name="диагностика-стыка"/>
    <w:p>
      <w:pPr>
        <w:pStyle w:val="Heading2"/>
      </w:pPr>
      <w:r>
        <w:t xml:space="preserve">Диагностика стыка</w:t>
      </w:r>
    </w:p>
    <w:p>
      <w:pPr>
        <w:pStyle w:val="FirstParagraph"/>
      </w:pPr>
      <w:r>
        <w:t xml:space="preserve">Мы утверждаем, что жёсткая склейка узлов не требует отдельной процедуры сшивания. Чтобы проверить это напрямую, ошибку приземной температуры посчитали по полосам расстояния до границы региональной вставки (табл. 5).</w:t>
      </w:r>
    </w:p>
    <w:p>
      <w:pPr>
        <w:pStyle w:val="BodyText"/>
      </w:pPr>
      <w:r>
        <w:t xml:space="preserve">Переходный слой существует. На горизонте +6 ч ошибка монотонно убывает с удалением от границы: 1,58 °C в полосе шириной 25 км против 1,40 °C в глубине области, то есть у стыка она выше на 13 %. Эффект прослеживается примерно на 100–200 км. Значит, о полной бесшовности говорить нельзя.</w:t>
      </w:r>
    </w:p>
    <w:p>
      <w:pPr>
        <w:pStyle w:val="BodyText"/>
      </w:pPr>
      <w:r>
        <w:t xml:space="preserve">В авторегрессии переходный слой не усиливается. Превышение у стыка над минимумом по полосам составляет 6,0 / 8,8 / 7,9 / 6,5 % по четырём горизонтам и держится в пределах 6–9 %. Относительно дальней полосы превышение со временем уменьшается, но причина в росте ошибки в глубине области, а не в рассасывании переходного слоя. В глубине области лежат горные районы, и на дальних сроках там преобладает ошибка из-за рельефа. Неограниченный рост ошибки у границы составляет главную трудность региональных моделей с внешними граничными условиями, и у нашей модели его нет.</w:t>
      </w:r>
    </w:p>
    <w:p>
      <w:pPr>
        <w:pStyle w:val="BodyText"/>
      </w:pPr>
      <w:r>
        <w:t xml:space="preserve">Глобальная часть не страдает. Сразу за границей вставки ошибка (1,87 °C на +24 ч) не больше, чем вдали от неё (1,95 и 2,05 °C). Склейка создаёт переходный слой ограниченной величины и не требует отдельной процедуры сшивания полей.</w:t>
      </w:r>
    </w:p>
    <w:bookmarkEnd w:id="27"/>
    <w:bookmarkStart w:id="28" w:name="сравнение-с-глобальной-моделью"/>
    <w:p>
      <w:pPr>
        <w:pStyle w:val="Heading2"/>
      </w:pPr>
      <w:r>
        <w:t xml:space="preserve">Сравнение с глобальной моделью</w:t>
      </w:r>
    </w:p>
    <w:p>
      <w:pPr>
        <w:pStyle w:val="FirstParagraph"/>
      </w:pPr>
      <w:r>
        <w:t xml:space="preserve">Публикуемые метрики GraphCast [8] относятся ко всему земному шару, а наши к вставке над Красноярским краем. Напрямую их сравнивать нельзя: больше половины площади шара занимает океан, где прогноз точнее. Мы взяли прогнозы GraphCast, реанализ и климатологию из архива WeatherBench 2 [12] в разрешении 0,25°, вырезали те же 2501 узел и посчитали метрики тем же кодом и с теми же широтными весами.</w:t>
      </w:r>
    </w:p>
    <w:p>
      <w:pPr>
        <w:pStyle w:val="BodyText"/>
      </w:pPr>
      <w:r>
        <w:t xml:space="preserve">В архиве GraphCast есть только инициализации 00 и 12 UTC, и сравнение идёт на 803 сроках тестового окна, общих для обеих моделей. Правильность сопоставления мы проверили на инерционном прогнозе. Посчитанный по архиву, он даёт по приземной температуре 6,71 / 6,90 / 4,02 / 4,45 °C, а посчитанный нашим кодом на тех же сроках 6,71 / 6,90 / 4,03 / 4,45 °C. Сравнение ограничено приземными полями. Уровни лежат в архиве одним блоком, и скачать один уровень стоит столько же, сколько все.</w:t>
      </w:r>
    </w:p>
    <w:p>
      <w:pPr>
        <w:pStyle w:val="BodyText"/>
      </w:pPr>
      <w:r>
        <w:t xml:space="preserve">GraphCast точнее по всем полям, сильнее всего по давлению на уровне моря. Такое соотношение ожидаемо. У GraphCast 36,7 млн параметров против 5,9 млн, разрешение 0,25° по всему шару против грубой глобальной сетки со вставкой, 37 уровней против четырёх и обучение на многих ускорителях против одного. Отставание показывает цену перехода к вычислительной среде регионального подразделения. Предел самого подхода это сравнение не определяет.</w:t>
      </w:r>
    </w:p>
    <w:p>
      <w:pPr>
        <w:pStyle w:val="BodyText"/>
      </w:pPr>
      <w:r>
        <w:t xml:space="preserve">Аномальная корреляция нашей модели относительно той же климатологии равна 0,973 [0,968; 0,978] по области и 0,983 [0,977; 0,986] во внутренней зоне. По остальным полям области она равна 0,946 и 0,927 для составляющих ветра, 0,995 для давления, 0,988 для T850 и 0,998 для Z500.</w:t>
      </w:r>
    </w:p>
    <w:bookmarkEnd w:id="28"/>
    <w:bookmarkStart w:id="29" w:name="Xd314fc7688ddb232237405ca9eb3f7836e9e19e"/>
    <w:p>
      <w:pPr>
        <w:pStyle w:val="Heading2"/>
      </w:pPr>
      <w:r>
        <w:t xml:space="preserve">Обсуждение, выводы и направления дальнейшей работы</w:t>
      </w:r>
    </w:p>
    <w:p>
      <w:pPr>
        <w:pStyle w:val="FirstParagraph"/>
      </w:pPr>
      <w:r>
        <w:t xml:space="preserve">Все улучшения, описанные в работе, получены без изменения архитектуры: менялось только распределение обучающего сигнала. Оба веса улучшают целевую часть задачи за счёт остальной. Большой вес вставки ухудшает прогноз на глобальной части графа, а от него через приток извне зависит и сама вставка. Веса каналов улучшают приземную температуру и снижают агрегат по всем каналам.</w:t>
      </w:r>
    </w:p>
    <w:bookmarkEnd w:id="29"/>
    <w:bookmarkStart w:id="30" w:name="ограничения"/>
    <w:p>
      <w:pPr>
        <w:pStyle w:val="Heading2"/>
      </w:pPr>
      <w:r>
        <w:t xml:space="preserve">Ограничения</w:t>
      </w:r>
    </w:p>
    <w:p>
      <w:pPr>
        <w:pStyle w:val="FirstParagraph"/>
      </w:pPr>
      <w:r>
        <w:t xml:space="preserve">Изменчивость между запусками оценена одной парой прогонов с разными начальными значениями генератора. Агрегат у них расходится на 0,03 п.п. (73,41 против 73,40 %), и различия имеют смысл начиная с десятых долей пункта. Вес целевой области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 стратегию дообучения выбрали по табл. 3 и 4, которые посчитаны на тестовой выборке, а не на проверочной. Выбор одного гиперпараметра из четырёх значений слабо переиспользует тестовую выборку, но величины для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следует считать слегка оптимистичными. К весам каналов эта оговорка не относится: их вычислили по обучающей выборке.</w:t>
      </w:r>
    </w:p>
    <w:p>
      <w:pPr>
        <w:pStyle w:val="BodyText"/>
      </w:pPr>
      <w:r>
        <w:t xml:space="preserve">Три приёма, от которых мы ждали пользы, не помогли. Шум в авторегрессии ухудшил прогноз на 5–15 %. Ансамбль дообученных состояний одной модели не дал выигрыша: ошибки состояний коррелируют с коэффициентом 0,993. Обучение на развёртке в двенадцать шагов вместо четырёх изменило агрегат на 0,11 п.п., и интервал накрывает ноль. Подробный разбор вынесен в отдельную методическую работу.</w:t>
      </w:r>
    </w:p>
    <w:p>
      <w:pPr>
        <w:pStyle w:val="BodyText"/>
      </w:pPr>
      <w:r>
        <w:t xml:space="preserve">Истинным полем служит реанализ, а не станционные наблюдения. Реанализ сглаживает подсеточные эффекты, в том числе городской остров тепла, и наши оценки нельзя перенести на прогноз в точке станции без постобработки. С оперативной моделью мы не сравнивались. При таком сравнении нужно учесть, что модель, обученная на реанализе, оценивается против того же реанализа и находится в выгодном положении [12]. Результаты получены для одной территории и одного тестового окна. Прямого сравнения с региональной моделью с граничным форсингом [10] мы не проводили.</w:t>
      </w:r>
    </w:p>
    <w:bookmarkEnd w:id="30"/>
    <w:bookmarkStart w:id="31" w:name="направления-дальнейшей-работы"/>
    <w:p>
      <w:pPr>
        <w:pStyle w:val="Heading2"/>
      </w:pPr>
      <w:r>
        <w:t xml:space="preserve">Направления дальнейшей работы</w:t>
      </w:r>
    </w:p>
    <w:p>
      <w:pPr>
        <w:pStyle w:val="FirstParagraph"/>
      </w:pPr>
      <w:r>
        <w:t xml:space="preserve">Граф можно уплотнить, если объединить все уровни икосаэдрической мозаики, а не два. Это даёт дальние связи без роста числа параметров. Следующие шаги: больше прогностических полей и прогноз с оценкой неопределённости через ансамбль возмущённых начальных состояний или порождающие вероятностные модели. Чтобы схему приняли в оперативную практику, её нужно проверить по данным сети станций. Отдельная задача состоит в том, чтобы включить циклическое усвоение наблюдений в автоматический цикл выпуска прогноза.</w:t>
      </w:r>
    </w:p>
    <w:bookmarkEnd w:id="31"/>
    <w:bookmarkStart w:id="32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3"/>
        </w:numPr>
      </w:pPr>
      <w:r>
        <w:t xml:space="preserve">Построена и проверена мультимасштабная графовая нейронная сеть для регионального прогноза погоды. Глобальная и региональная части в ней соединены без отдельной процедуры сшивания полей. Диагностика стыка показывает переходный слой шириной 100–200 км, где ошибка выше на 6–9 %, и с ростом горизонта этот слой не усиливается. Для обучения и расчёта хватает одного графического ускорителя.</w:t>
      </w:r>
    </w:p>
    <w:p>
      <w:pPr>
        <w:pStyle w:val="Compact"/>
        <w:numPr>
          <w:ilvl w:val="0"/>
          <w:numId w:val="1003"/>
        </w:numPr>
      </w:pPr>
      <w:r>
        <w:t xml:space="preserve">Единый граф точнее интерполяции прогноза глобальной модели в узлы области по всем полям: выигрыш составляет 11 % по приземной температуре и 37–40 % по ветру и геопотенциалу.</w:t>
      </w:r>
    </w:p>
    <w:p>
      <w:pPr>
        <w:pStyle w:val="Compact"/>
        <w:numPr>
          <w:ilvl w:val="0"/>
          <w:numId w:val="1003"/>
        </w:numPr>
      </w:pPr>
      <w:r>
        <w:t xml:space="preserve">Отбор состояния модели по ошибке одношагового прогноза ненадёжен для многошагового прогноза. Расписание заморозки процессора на итоговую ошибку приземной температуры не влияет, но адаптировать процессор необходимо: без неё ошибка на проверочной выборке выше на 7,5 %.</w:t>
      </w:r>
    </w:p>
    <w:p>
      <w:pPr>
        <w:pStyle w:val="Compact"/>
        <w:numPr>
          <w:ilvl w:val="0"/>
          <w:numId w:val="1003"/>
        </w:numPr>
      </w:pPr>
      <w:r>
        <w:t xml:space="preserve">Один агрегатный показатель скрывает разное поведение модели по отдельным полям. Результаты верификации нужно приводить по каждому целевому полю отдельно.</w:t>
      </w:r>
    </w:p>
    <w:p>
      <w:pPr>
        <w:pStyle w:val="Compact"/>
        <w:numPr>
          <w:ilvl w:val="0"/>
          <w:numId w:val="1003"/>
        </w:numPr>
      </w:pPr>
      <w:r>
        <w:t xml:space="preserve">При равномерном усреднении функции потерь узлы целевой области получают 1,7 % обучающего сигнала, приземная температура 0,46 %. Явные веса снижают ошибку приземной температуры на 10,2 % без изменения архитектуры и объёма обучения. При слишком большом весе целевой области ухудшается прогноз на глобальной части графа, а от него через приток извне зависит и сама область.</w:t>
      </w:r>
    </w:p>
    <w:bookmarkEnd w:id="32"/>
    <w:bookmarkStart w:id="33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Толстых</w:t>
      </w:r>
      <w:r>
        <w:t xml:space="preserve"> </w:t>
      </w:r>
      <w:r>
        <w:t xml:space="preserve">М.А.,</w:t>
      </w:r>
      <w:r>
        <w:t xml:space="preserve"> </w:t>
      </w:r>
      <w:r>
        <w:rPr>
          <w:i/>
          <w:iCs/>
        </w:rPr>
        <w:t xml:space="preserve">Шашкин</w:t>
      </w:r>
      <w:r>
        <w:t xml:space="preserve"> </w:t>
      </w:r>
      <w:r>
        <w:t xml:space="preserve">В.В.,</w:t>
      </w:r>
      <w:r>
        <w:t xml:space="preserve"> </w:t>
      </w:r>
      <w:r>
        <w:rPr>
          <w:i/>
          <w:iCs/>
        </w:rPr>
        <w:t xml:space="preserve">Фадеев</w:t>
      </w:r>
      <w:r>
        <w:t xml:space="preserve"> </w:t>
      </w:r>
      <w:r>
        <w:t xml:space="preserve">Р.Ю. и др. Система моделирования атмосферы для бесшовного прогноза. М.: Триада ЛТД, 2017. 166 с.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Battaglia</w:t>
      </w:r>
      <w:r>
        <w:t xml:space="preserve"> </w:t>
      </w:r>
      <w:r>
        <w:t xml:space="preserve">P.W.,</w:t>
      </w:r>
      <w:r>
        <w:t xml:space="preserve"> </w:t>
      </w:r>
      <w:r>
        <w:rPr>
          <w:i/>
          <w:iCs/>
        </w:rPr>
        <w:t xml:space="preserve">Pascanu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Lai</w:t>
      </w:r>
      <w:r>
        <w:t xml:space="preserve"> </w:t>
      </w:r>
      <w:r>
        <w:t xml:space="preserve">M. et al. Interaction networks for learning about objects, relations and physics // Advances in Neural Information Processing Systems (NIPS). 2016. Vol. 29. P. 4502–4510.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Bi</w:t>
      </w:r>
      <w:r>
        <w:t xml:space="preserve"> </w:t>
      </w:r>
      <w:r>
        <w:t xml:space="preserve">K.,</w:t>
      </w:r>
      <w:r>
        <w:t xml:space="preserve"> </w:t>
      </w:r>
      <w:r>
        <w:rPr>
          <w:i/>
          <w:iCs/>
        </w:rPr>
        <w:t xml:space="preserve">Xie</w:t>
      </w:r>
      <w:r>
        <w:t xml:space="preserve"> </w:t>
      </w:r>
      <w:r>
        <w:t xml:space="preserve">L.,</w:t>
      </w:r>
      <w:r>
        <w:t xml:space="preserve"> </w:t>
      </w:r>
      <w:r>
        <w:rPr>
          <w:i/>
          <w:iCs/>
        </w:rPr>
        <w:t xml:space="preserve">Zhang</w:t>
      </w:r>
      <w:r>
        <w:t xml:space="preserve"> </w:t>
      </w:r>
      <w:r>
        <w:t xml:space="preserve">H. et al. Accurate medium-range global weather forecasting with 3D neural networks // Nature. 2023. Vol. 619, No. 7970. P. 533–538. DOI: 10.1038/s41586-023-06185-3.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Davies</w:t>
      </w:r>
      <w:r>
        <w:t xml:space="preserve"> </w:t>
      </w:r>
      <w:r>
        <w:t xml:space="preserve">H.C. A lateral boundary formulation for multi-level prediction models // Quarterly Journal of the Royal Meteorological Society. 1976. Vol. 102, No. 432. P. 405–418. DOI: 10.1002/qj.49710243210.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Gao</w:t>
      </w:r>
      <w:r>
        <w:t xml:space="preserve"> </w:t>
      </w:r>
      <w:r>
        <w:t xml:space="preserve">Y.,</w:t>
      </w:r>
      <w:r>
        <w:t xml:space="preserve"> </w:t>
      </w:r>
      <w:r>
        <w:rPr>
          <w:i/>
          <w:iCs/>
        </w:rPr>
        <w:t xml:space="preserve">Wu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Shu</w:t>
      </w:r>
      <w:r>
        <w:t xml:space="preserve"> </w:t>
      </w:r>
      <w:r>
        <w:t xml:space="preserve">R. et al. OneForecast: A universal framework for global and regional weather forecasting // Proceedings of the 42nd International Conference on Machine Learning (ICML). PMLR, 2025. Vol. 267. P. 18658–18697.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Hersbach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Bell</w:t>
      </w:r>
      <w:r>
        <w:t xml:space="preserve"> </w:t>
      </w:r>
      <w:r>
        <w:t xml:space="preserve">B.,</w:t>
      </w:r>
      <w:r>
        <w:t xml:space="preserve"> </w:t>
      </w:r>
      <w:r>
        <w:rPr>
          <w:i/>
          <w:iCs/>
        </w:rPr>
        <w:t xml:space="preserve">Berrisford</w:t>
      </w:r>
      <w:r>
        <w:t xml:space="preserve"> </w:t>
      </w:r>
      <w:r>
        <w:t xml:space="preserve">P. et al. The ERA5 global reanalysis // Quarterly Journal of the Royal Meteorological Society. 2020. Vol. 146, No. 730. P. 1999–2049. DOI: 10.1002/qj.3803.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Künsch</w:t>
      </w:r>
      <w:r>
        <w:t xml:space="preserve"> </w:t>
      </w:r>
      <w:r>
        <w:t xml:space="preserve">H.R. The jackknife and the bootstrap for general stationary observations // The Annals of Statistics. 1989. Vol. 17, No. 3. P. 1217–1241. DOI: 10.1214/aos/1176347265.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Lam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Sanchez-Gonzalez</w:t>
      </w:r>
      <w:r>
        <w:t xml:space="preserve"> </w:t>
      </w:r>
      <w:r>
        <w:t xml:space="preserve">A.,</w:t>
      </w:r>
      <w:r>
        <w:t xml:space="preserve"> </w:t>
      </w:r>
      <w:r>
        <w:rPr>
          <w:i/>
          <w:iCs/>
        </w:rPr>
        <w:t xml:space="preserve">Willson</w:t>
      </w:r>
      <w:r>
        <w:t xml:space="preserve"> </w:t>
      </w:r>
      <w:r>
        <w:t xml:space="preserve">M. et al. Learning skillful medium-range global weather forecasting // Science. 2023. Vol. 382, No. 6677. P. 1416–1421. DOI: 10.1126/science.adi2336.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Nipen</w:t>
      </w:r>
      <w:r>
        <w:t xml:space="preserve"> </w:t>
      </w:r>
      <w:r>
        <w:t xml:space="preserve">T.N.,</w:t>
      </w:r>
      <w:r>
        <w:t xml:space="preserve"> </w:t>
      </w:r>
      <w:r>
        <w:rPr>
          <w:i/>
          <w:iCs/>
        </w:rPr>
        <w:t xml:space="preserve">Haugen</w:t>
      </w:r>
      <w:r>
        <w:t xml:space="preserve"> </w:t>
      </w:r>
      <w:r>
        <w:t xml:space="preserve">H.H.,</w:t>
      </w:r>
      <w:r>
        <w:t xml:space="preserve"> </w:t>
      </w:r>
      <w:r>
        <w:rPr>
          <w:i/>
          <w:iCs/>
        </w:rPr>
        <w:t xml:space="preserve">Ingstad</w:t>
      </w:r>
      <w:r>
        <w:t xml:space="preserve"> </w:t>
      </w:r>
      <w:r>
        <w:t xml:space="preserve">M.S. et al. Regional data-driven weather modeling with a global stretched grid // Artificial Intelligence for the Earth Systems. 2026. Vol. 5, No. 2. Art. e250001. DOI: 10.1175/AIES-D-25-0001.1.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Oskarsson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Landelius</w:t>
      </w:r>
      <w:r>
        <w:t xml:space="preserve"> </w:t>
      </w:r>
      <w:r>
        <w:t xml:space="preserve">T.,</w:t>
      </w:r>
      <w:r>
        <w:t xml:space="preserve"> </w:t>
      </w:r>
      <w:r>
        <w:rPr>
          <w:i/>
          <w:iCs/>
        </w:rPr>
        <w:t xml:space="preserve">Lindsten</w:t>
      </w:r>
      <w:r>
        <w:t xml:space="preserve"> </w:t>
      </w:r>
      <w:r>
        <w:t xml:space="preserve">F. Graph-based neural weather prediction for limited area modeling // arXiv:2309.17370. 2023.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Pathak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Subramanian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Harrington</w:t>
      </w:r>
      <w:r>
        <w:t xml:space="preserve"> </w:t>
      </w:r>
      <w:r>
        <w:t xml:space="preserve">P. et al. FourCastNet: A global data-driven high-resolution weather model using adaptive Fourier neural operators // arXiv:2202.11214. 2022.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Rasp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Hoyer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Merose</w:t>
      </w:r>
      <w:r>
        <w:t xml:space="preserve"> </w:t>
      </w:r>
      <w:r>
        <w:t xml:space="preserve">A. et al. WeatherBench 2: A benchmark for the next generation of data-driven global weather models // Journal of Advances in Modeling Earth Systems. 2024. Vol. 16, No. 6. Art. e2023MS004019. DOI: 10.1029/2023MS004019.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Wijnands</w:t>
      </w:r>
      <w:r>
        <w:t xml:space="preserve"> </w:t>
      </w:r>
      <w:r>
        <w:t xml:space="preserve">J.S.,</w:t>
      </w:r>
      <w:r>
        <w:t xml:space="preserve"> </w:t>
      </w:r>
      <w:r>
        <w:rPr>
          <w:i/>
          <w:iCs/>
        </w:rPr>
        <w:t xml:space="preserve">Van Ginderachter</w:t>
      </w:r>
      <w:r>
        <w:t xml:space="preserve"> </w:t>
      </w:r>
      <w:r>
        <w:t xml:space="preserve">M.,</w:t>
      </w:r>
      <w:r>
        <w:t xml:space="preserve"> </w:t>
      </w:r>
      <w:r>
        <w:rPr>
          <w:i/>
          <w:iCs/>
        </w:rPr>
        <w:t xml:space="preserve">François</w:t>
      </w:r>
      <w:r>
        <w:t xml:space="preserve"> </w:t>
      </w:r>
      <w:r>
        <w:t xml:space="preserve">B. et al. Data-driven regional weather forecasting: A comparison of stretched-grid and limited-area modelling // Machine Learning with Applications. 2026. Vol. 24. Art. 100887. DOI: 10.1016/j.mlwa.2026.100887.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Tolstykh M.A., Shashkin V.V., Fadeev R.Yu. et al. Sistema modelirovaniya atmosfery dlya besshovnogo prognoza [Atmosphere Modelling System for Seamless Prediction]. Moscow, Triada Ltd. Publ., 2017, 166 p. [in Russ.]</w:t>
      </w:r>
    </w:p>
    <w:p>
      <w:pPr>
        <w:pStyle w:val="Compact"/>
        <w:numPr>
          <w:ilvl w:val="0"/>
          <w:numId w:val="1005"/>
        </w:numPr>
      </w:pPr>
      <w:r>
        <w:t xml:space="preserve">Battaglia P.W., Pascanu R., Lai M. et al. Interaction networks for learning about objects, relations and physics. Advances in Neural Information Processing Systems (NIPS), 2016, vol. 29, pp. 4502–4510.</w:t>
      </w:r>
    </w:p>
    <w:p>
      <w:pPr>
        <w:pStyle w:val="Compact"/>
        <w:numPr>
          <w:ilvl w:val="0"/>
          <w:numId w:val="1005"/>
        </w:numPr>
      </w:pPr>
      <w:r>
        <w:t xml:space="preserve">Bi K., Xie L., Zhang H. et al. Accurate medium-range global weather forecasting with 3D neural networks. Nature, 2023, vol. 619, no. 7970, pp. 533–538. DOI: 10.1038/s41586-023-06185-3.</w:t>
      </w:r>
    </w:p>
    <w:p>
      <w:pPr>
        <w:pStyle w:val="Compact"/>
        <w:numPr>
          <w:ilvl w:val="0"/>
          <w:numId w:val="1005"/>
        </w:numPr>
      </w:pPr>
      <w:r>
        <w:t xml:space="preserve">Davies H.C. A lateral boundary formulation for multi-level prediction models. Quarterly Journal of the Royal Meteorological Society, 1976, vol. 102, no. 432, pp. 405–418. DOI: 10.1002/qj.49710243210.</w:t>
      </w:r>
    </w:p>
    <w:p>
      <w:pPr>
        <w:pStyle w:val="Compact"/>
        <w:numPr>
          <w:ilvl w:val="0"/>
          <w:numId w:val="1005"/>
        </w:numPr>
      </w:pPr>
      <w:r>
        <w:t xml:space="preserve">Gao Y., Wu H., Shu R. et al. OneForecast: A universal framework for global and regional weather forecasting. Proceedings of the 42nd International Conference on Machine Learning (ICML), PMLR, 2025, vol. 267, pp. 18658–18697.</w:t>
      </w:r>
    </w:p>
    <w:p>
      <w:pPr>
        <w:pStyle w:val="Compact"/>
        <w:numPr>
          <w:ilvl w:val="0"/>
          <w:numId w:val="1005"/>
        </w:numPr>
      </w:pPr>
      <w:r>
        <w:t xml:space="preserve">Hersbach H., Bell B., Berrisford P. et al. The ERA5 global reanalysis. Quarterly Journal of the Royal Meteorological Society, 2020, vol. 146, no. 730, pp. 1999–2049. DOI: 10.1002/qj.3803.</w:t>
      </w:r>
    </w:p>
    <w:p>
      <w:pPr>
        <w:pStyle w:val="Compact"/>
        <w:numPr>
          <w:ilvl w:val="0"/>
          <w:numId w:val="1005"/>
        </w:numPr>
      </w:pPr>
      <w:r>
        <w:t xml:space="preserve">Künsch H.R. The jackknife and the bootstrap for general stationary observations. The Annals of Statistics, 1989, vol. 17, no. 3, pp. 1217–1241. DOI: 10.1214/aos/1176347265.</w:t>
      </w:r>
    </w:p>
    <w:p>
      <w:pPr>
        <w:pStyle w:val="Compact"/>
        <w:numPr>
          <w:ilvl w:val="0"/>
          <w:numId w:val="1005"/>
        </w:numPr>
      </w:pPr>
      <w:r>
        <w:t xml:space="preserve">Lam R., Sanchez-Gonzalez A., Willson M. et al. Learning skillful medium-range global weather forecasting. Science, 2023, vol. 382, no. 6677, pp. 1416–1421. DOI: 10.1126/science.adi2336.</w:t>
      </w:r>
    </w:p>
    <w:p>
      <w:pPr>
        <w:pStyle w:val="Compact"/>
        <w:numPr>
          <w:ilvl w:val="0"/>
          <w:numId w:val="1005"/>
        </w:numPr>
      </w:pPr>
      <w:r>
        <w:t xml:space="preserve">Nipen T.N., Haugen H.H., Ingstad M.S. et al. Regional data-driven weather modeling with a global stretched grid. Artificial Intelligence for the Earth Systems, 2026, vol. 5, no. 2, art. e250001. DOI: 10.1175/AIES-D-25-0001.1.</w:t>
      </w:r>
    </w:p>
    <w:p>
      <w:pPr>
        <w:pStyle w:val="Compact"/>
        <w:numPr>
          <w:ilvl w:val="0"/>
          <w:numId w:val="1005"/>
        </w:numPr>
      </w:pPr>
      <w:r>
        <w:t xml:space="preserve">Oskarsson J., Landelius T., Lindsten F. Graph-based neural weather prediction for limited area modeling. arXiv:2309.17370, 2023.</w:t>
      </w:r>
    </w:p>
    <w:p>
      <w:pPr>
        <w:pStyle w:val="Compact"/>
        <w:numPr>
          <w:ilvl w:val="0"/>
          <w:numId w:val="1005"/>
        </w:numPr>
      </w:pPr>
      <w:r>
        <w:t xml:space="preserve">Pathak J., Subramanian S., Harrington P. et al. FourCastNet: A global data-driven high-resolution weather model using adaptive Fourier neural operators. arXiv:2202.11214, 2022.</w:t>
      </w:r>
    </w:p>
    <w:p>
      <w:pPr>
        <w:pStyle w:val="Compact"/>
        <w:numPr>
          <w:ilvl w:val="0"/>
          <w:numId w:val="1005"/>
        </w:numPr>
      </w:pPr>
      <w:r>
        <w:t xml:space="preserve">Rasp S., Hoyer S., Merose A. et al. WeatherBench 2: A benchmark for the next generation of data-driven global weather models. Journal of Advances in Modeling Earth Systems, 2024, vol. 16, no. 6, art. e2023MS004019. DOI: 10.1029/2023MS004019.</w:t>
      </w:r>
    </w:p>
    <w:p>
      <w:pPr>
        <w:pStyle w:val="Compact"/>
        <w:numPr>
          <w:ilvl w:val="0"/>
          <w:numId w:val="1005"/>
        </w:numPr>
      </w:pPr>
      <w:r>
        <w:t xml:space="preserve">Wijnands J.S., Van Ginderachter M., François B. et al. Data-driven regional weather forecasting: A comparison of stretched-grid and limited-area modelling. Machine Learning with Applications, 2026, vol. 24, art. 100887. DOI: 10.1016/j.mlwa.2026.100887.</w:t>
      </w:r>
    </w:p>
    <w:p>
      <w:pPr>
        <w:pStyle w:val="FirstParagraph"/>
      </w:pPr>
      <w:r>
        <w:rPr>
          <w:b/>
          <w:bCs/>
        </w:rPr>
        <w:t xml:space="preserve">Таблица 1.</w:t>
      </w:r>
      <w:r>
        <w:t xml:space="preserve"> </w:t>
      </w:r>
      <w:r>
        <w:t xml:space="preserve">Ошибка приземной температуры (°C) по горизонтам и агрегатная успешность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(%) согласно (3). Тестовая выборка 1607 сроков. Регион содержит 2501 узел, внутренняя зона 45 узлов.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</w:pPr>
            <w:r>
              <w:t xml:space="preserve">19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канала, взвешенная (основная)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Внутренняя зона</w:t>
            </w: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33 канала, взвешенная (основная)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75,4</w:t>
            </w:r>
          </w:p>
        </w:tc>
      </w:tr>
    </w:tbl>
    <w:p>
      <w:pPr>
        <w:pStyle w:val="BodyText"/>
      </w:pPr>
      <w:r>
        <w:t xml:space="preserve">Table 1. RMSE of 2 m temperature (°C) by lead time and aggregate skill score S (%) per (3). 1607 initial times; region 2501 nodes, inner zone 45 nodes.</w:t>
      </w:r>
    </w:p>
    <w:p>
      <w:pPr>
        <w:pStyle w:val="BodyText"/>
      </w:pPr>
      <w:r>
        <w:rPr>
          <w:b/>
          <w:bCs/>
        </w:rPr>
        <w:t xml:space="preserve">Таблица 2.</w:t>
      </w:r>
      <w:r>
        <w:t xml:space="preserve"> </w:t>
      </w:r>
      <w:r>
        <w:t xml:space="preserve">Ошибка прогноза на горизонте +24 ч в узлах региональной вставки: инерционный прогноз, интерполяция прогноза глобальной модели и мультимасштабная модель.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Инерционный прогноз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Глобальная 0,703° + интерполяция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Мультимасштабная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Выигрыш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10u,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t@850,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z@500, гпм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37 %</w:t>
            </w:r>
          </w:p>
        </w:tc>
      </w:tr>
    </w:tbl>
    <w:p>
      <w:pPr>
        <w:pStyle w:val="BodyText"/>
      </w:pPr>
      <w:r>
        <w:t xml:space="preserve">Table 2. Error at +24 h at the insert nodes: persistence, interpolated global forecast, multiscale model.</w:t>
      </w:r>
    </w:p>
    <w:p>
      <w:pPr>
        <w:pStyle w:val="BodyText"/>
      </w:pPr>
      <w:r>
        <w:rPr>
          <w:b/>
          <w:bCs/>
        </w:rPr>
        <w:t xml:space="preserve">Таблица 3.</w:t>
      </w:r>
      <w:r>
        <w:t xml:space="preserve"> </w:t>
      </w:r>
      <w:r>
        <w:t xml:space="preserve">Влияние весов в функции потерь. Регион, 1607 сроков. Ошибка t2m усреднена по четырём горизонтам. Последний столбец показывает ошибку по всей сетке графа.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вставки в потерях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по сетке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Исходная (без весов, после дожига)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63,3 %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0,1717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и веса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0,1708</w:t>
            </w:r>
          </w:p>
        </w:tc>
      </w:tr>
    </w:tbl>
    <w:p>
      <w:pPr>
        <w:pStyle w:val="BodyText"/>
      </w:pPr>
      <w:r>
        <w:t xml:space="preserve">Table 3. Effect of loss weighting. Region, 1607 initial times; t2m averaged over four lead times, last column — error over the whole graph.</w:t>
      </w:r>
    </w:p>
    <w:p>
      <w:pPr>
        <w:pStyle w:val="BodyText"/>
      </w:pPr>
      <w:r>
        <w:rPr>
          <w:b/>
          <w:bCs/>
        </w:rPr>
        <w:t xml:space="preserve">Таблица 4.</w:t>
      </w:r>
      <w:r>
        <w:t xml:space="preserve"> </w:t>
      </w:r>
      <w:r>
        <w:t xml:space="preserve">Ошибка приземной температуры (°C) по региону и агрегатная успешность при разных способах отбора контрольной точки.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заморозкой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равный бюджет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59,5</w:t>
            </w:r>
          </w:p>
        </w:tc>
      </w:tr>
    </w:tbl>
    <w:p>
      <w:pPr>
        <w:pStyle w:val="BodyText"/>
      </w:pPr>
      <w:r>
        <w:t xml:space="preserve">Table 4. RMSE of 2 m temperature (°C) and aggregate skill score for different ways of selecting the checkpoint.</w:t>
      </w:r>
    </w:p>
    <w:p>
      <w:pPr>
        <w:pStyle w:val="BodyText"/>
      </w:pPr>
      <w:r>
        <w:rPr>
          <w:b/>
          <w:bCs/>
        </w:rPr>
        <w:t xml:space="preserve">Таблица 5.</w:t>
      </w:r>
      <w:r>
        <w:t xml:space="preserve"> </w:t>
      </w:r>
      <w:r>
        <w:t xml:space="preserve">Ошибка приземной температуры (°C) по расстоянию до границы вставки. Положительное расстояние отсчитывается внутрь вставки (шаг 0,25°), отрицательное наружу, на глобальную часть графа (шаг 0,703°).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Расстояние до границы, км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Узлов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Вставка 0,25°</w:t>
            </w:r>
          </w:p>
        </w:tc>
        <w:tc>
          <w:tcPr/>
          <w:p>
            <w:pPr>
              <w:pStyle w:val="Compact"/>
            </w:pPr>
            <w:r>
              <w:t xml:space="preserve">0–25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25–50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50–100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200–1000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Глобальная 0,703°</w:t>
            </w:r>
          </w:p>
        </w:tc>
        <w:tc>
          <w:tcPr/>
          <w:p>
            <w:pPr>
              <w:pStyle w:val="Compact"/>
            </w:pPr>
            <w:r>
              <w:t xml:space="preserve">−100…0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−300…−100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−1000…−300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</w:t>
            </w:r>
          </w:p>
        </w:tc>
      </w:tr>
    </w:tbl>
    <w:p>
      <w:pPr>
        <w:pStyle w:val="BodyText"/>
      </w:pPr>
      <w:r>
        <w:t xml:space="preserve">Table 5. RMSE of 2 m temperature (°C) by distance to the insert boundary. Positive — inside (0.25°), negative — outside (0.703°).</w:t>
      </w:r>
    </w:p>
    <w:p>
      <w:pPr>
        <w:pStyle w:val="BodyText"/>
      </w:pPr>
      <w:r>
        <w:rPr>
          <w:b/>
          <w:bCs/>
        </w:rPr>
        <w:t xml:space="preserve">Таблица 6.</w:t>
      </w:r>
      <w:r>
        <w:t xml:space="preserve"> </w:t>
      </w:r>
      <w:r>
        <w:t xml:space="preserve">Сравнение с GraphCast на одних узлах и сроках: 803 инициализации, 2501 узел, широтные веса. Ошибка осреднена по горизонтам +6…+24 ч, аномальная корреляция вычислена относительно климатологии WeatherBench 2 за 1990–2019 гг.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GraphCast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Наша модель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Отношение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Приземная температура,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Зональная составляющая ветра,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Меридиональная составляющая,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на уровне моря,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Аномальная корреляция t2m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Table 6. Comparison with GraphCast on shared nodes and times: 803 initialisations, 2501 nodes, latitude weights. RMSE averaged over +6…+24 h; ACC against the WeatherBench 2 1990–2019 climatology.</w:t>
      </w:r>
    </w:p>
    <w:p>
      <w:pPr>
        <w:pStyle w:val="BodyText"/>
      </w:pPr>
      <w:r>
        <w:drawing>
          <wp:inline>
            <wp:extent cx="5779986" cy="489005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root/projects/graphcast-lite/docs/paper/figures/submission/fig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986" cy="4890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Прогноз приземной температуры на +24 ч в окрестности границы региональной вставки. Размер ячейки равен шагу сетки: 0,25° внутри вставки и 0,703° снаружи. Штриховой линией показана граница вставки.</w:t>
      </w:r>
    </w:p>
    <w:p>
      <w:pPr>
        <w:pStyle w:val="BodyText"/>
      </w:pPr>
      <w:r>
        <w:t xml:space="preserve">Fig. 1. 2 m temperature forecast at +24 h near the insert boundary. Cell size follows the grid spacing, 0.25° inside and 0.703° outside; dashed line — the boundary.</w:t>
      </w:r>
    </w:p>
    <w:bookmarkEnd w:id="37"/>
    <w:bookmarkEnd w:id="38"/>
    <w:sectPr>
      <w:pgSz w:h="16840" w:w="11907"/>
      <w:pgMar w:bottom="1418" w:footer="708" w:gutter="0" w:header="708" w:left="1418" w:right="850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0" w:line="360" w:lineRule="auto"/>
        <w:jc w:val="both"/>
        <w:ind w:firstLine="567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Heading1" w:type="paragraph">
    <w:name w:val="heading 1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2" w:type="paragraph">
    <w:name w:val="heading 2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3" w:type="paragraph">
    <w:name w:val="heading 3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2026-09-23T20:24:09Z</dcterms:created>
  <dcterms:modified xsi:type="dcterms:W3CDTF">2026-09-23T20:24:09Z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