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90CDF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69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890CDF">
              <w:rPr>
                <w:noProof/>
                <w:webHidden/>
              </w:rPr>
              <w:t>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7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8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9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0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1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2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3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4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5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6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7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8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9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0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1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2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3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4" w:history="1"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5" w:history="1">
            <w:r w:rsidRPr="00AA5649">
              <w:rPr>
                <w:rStyle w:val="Hyperlink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Duplikacja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6" w:history="1">
            <w:r w:rsidRPr="00AA5649">
              <w:rPr>
                <w:rStyle w:val="Hyperlink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Zły kod /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7" w:history="1">
            <w:r w:rsidRPr="00AA5649">
              <w:rPr>
                <w:rStyle w:val="Hyperlink"/>
                <w:noProof/>
                <w:lang w:val="pl-PL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Przeprowadzenie refaktoryzacji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8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9" w:history="1"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0" w:history="1"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1" w:history="1"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2" w:history="1"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3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4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5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6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7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Biblioteka Framework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8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9" w:history="1">
            <w:r w:rsidRPr="00AA5649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Klasa 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0" w:history="1">
            <w:r w:rsidRPr="00AA5649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Klasa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1" w:history="1">
            <w:r w:rsidRPr="00AA5649">
              <w:rPr>
                <w:rStyle w:val="Hyperlink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Klasa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2" w:history="1">
            <w:r w:rsidRPr="00AA5649">
              <w:rPr>
                <w:rStyle w:val="Hyperlink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noProof/>
                <w:lang w:val="pl-PL"/>
              </w:rPr>
              <w:t>Klasa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CDF" w:rsidRDefault="00890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3" w:history="1"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" w:name="_Toc9006696"/>
      <w:r w:rsidRPr="00A726FE">
        <w:rPr>
          <w:rFonts w:ascii="Times New Roman" w:hAnsi="Times New Roman" w:cs="Times New Roman"/>
          <w:lang w:val="pl-PL"/>
        </w:rPr>
        <w:t>Wstęp</w:t>
      </w:r>
      <w:bookmarkEnd w:id="1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2" w:name="_Toc9006697"/>
      <w:r w:rsidRPr="00574D2D">
        <w:rPr>
          <w:rFonts w:ascii="Times New Roman" w:hAnsi="Times New Roman" w:cs="Times New Roman"/>
          <w:lang w:val="pl-PL"/>
        </w:rPr>
        <w:t>Cel Pracy</w:t>
      </w:r>
      <w:bookmarkEnd w:id="2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" w:name="_Toc9006698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3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006699"/>
      <w:r w:rsidRPr="00A726FE">
        <w:rPr>
          <w:rFonts w:ascii="Times New Roman" w:hAnsi="Times New Roman" w:cs="Times New Roman"/>
          <w:lang w:val="pl-PL"/>
        </w:rPr>
        <w:t>Koncepcja TDD</w:t>
      </w:r>
      <w:bookmarkEnd w:id="4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006700"/>
      <w:r w:rsidRPr="00A726FE">
        <w:rPr>
          <w:rFonts w:ascii="Times New Roman" w:hAnsi="Times New Roman" w:cs="Times New Roman"/>
          <w:lang w:val="pl-PL"/>
        </w:rPr>
        <w:t>Trzy prawa TDD</w:t>
      </w:r>
      <w:bookmarkEnd w:id="5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006701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6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7" w:name="_Toc9006702"/>
      <w:r w:rsidRPr="00A726FE">
        <w:rPr>
          <w:rFonts w:ascii="Times New Roman" w:hAnsi="Times New Roman" w:cs="Times New Roman"/>
          <w:lang w:val="pl-PL"/>
        </w:rPr>
        <w:t>Mocne punkty TDD</w:t>
      </w:r>
      <w:bookmarkEnd w:id="7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006703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8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9" w:name="_Toc9006704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9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0" w:name="_Toc9006705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10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1" w:name="_Toc9006706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1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2" w:name="_Toc9006707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2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006708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3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006709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4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006710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5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006711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6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7" w:name="_Toc9006712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7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8" w:name="_Toc9006713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8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9006714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9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006715"/>
      <w:r w:rsidRPr="00460174">
        <w:rPr>
          <w:lang w:val="pl-PL"/>
        </w:rPr>
        <w:t>Duplikacja kodu</w:t>
      </w:r>
      <w:bookmarkEnd w:id="20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006716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1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2" w:name="_Toc9006717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2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3" w:name="_Toc9006718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3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9006719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4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CD64CA" w:rsidRPr="00CF5328" w:rsidRDefault="00035DB4" w:rsidP="004B55F8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5" w:name="_Toc9006720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F5328">
        <w:rPr>
          <w:rFonts w:ascii="Times New Roman" w:hAnsi="Times New Roman" w:cs="Times New Roman"/>
        </w:rPr>
        <w:t xml:space="preserve"> </w:t>
      </w:r>
      <w:r w:rsidR="00CF5328" w:rsidRPr="00CF5328">
        <w:rPr>
          <w:rFonts w:ascii="Times New Roman" w:hAnsi="Times New Roman" w:cs="Times New Roman"/>
        </w:rPr>
        <w:t>C++ Testing Framework</w:t>
      </w:r>
      <w:bookmarkEnd w:id="25"/>
    </w:p>
    <w:p w:rsidR="00757BB5" w:rsidRDefault="00F55E9E" w:rsidP="00E22D5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B6618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r w:rsidR="004518B8">
        <w:rPr>
          <w:rFonts w:ascii="Times New Roman" w:hAnsi="Times New Roman" w:cs="Times New Roman"/>
          <w:sz w:val="24"/>
          <w:szCs w:val="24"/>
          <w:lang w:val="pl-PL"/>
        </w:rPr>
        <w:t>C++ obsługuje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nie tylko 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testy </w:t>
      </w:r>
      <w:proofErr w:type="gramStart"/>
      <w:r w:rsidR="00757BB5">
        <w:rPr>
          <w:rFonts w:ascii="Times New Roman" w:hAnsi="Times New Roman" w:cs="Times New Roman"/>
          <w:sz w:val="24"/>
          <w:szCs w:val="24"/>
          <w:lang w:val="pl-PL"/>
        </w:rPr>
        <w:t>je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dnostkow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proofErr w:type="gramEnd"/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ale także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testy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funkcjonaln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integracyjn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dziel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ąc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07CD">
        <w:rPr>
          <w:rFonts w:ascii="Times New Roman" w:hAnsi="Times New Roman" w:cs="Times New Roman"/>
          <w:sz w:val="24"/>
          <w:szCs w:val="24"/>
          <w:lang w:val="pl-PL"/>
        </w:rPr>
        <w:t>te testy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trzy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odrębne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kategorie: małe, średnie i duże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2D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55E9E" w:rsidRDefault="00F55E9E" w:rsidP="00B6618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Wyróżniamy dwa typy asercji:</w:t>
      </w:r>
    </w:p>
    <w:p w:rsidR="00F55E9E" w:rsidRDefault="00F55E9E" w:rsidP="00CD64C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Default="00F55E9E" w:rsidP="0037651E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testu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970"/>
        <w:gridCol w:w="3330"/>
        <w:gridCol w:w="1260"/>
      </w:tblGrid>
      <w:tr w:rsidR="00A82821" w:rsidRPr="00AB4D5F" w:rsidTr="00A82821">
        <w:trPr>
          <w:tblHeader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Test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Fatal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NonFatal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Prawda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łsz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Case 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Equal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 String Case Not Equal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ASSERT_THROW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EXPECT_THROW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NOT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</w:tbl>
    <w:p w:rsidR="00AB4D5F" w:rsidRPr="00AB4D5F" w:rsidRDefault="00AB4D5F" w:rsidP="00AB4D5F">
      <w:pPr>
        <w:spacing w:after="100" w:afterAutospacing="1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103C6" w:rsidRDefault="00E22D5E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Testy używają asercji do weryfikacji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który jest testowany. Jeżeli test się nie powiedzie lub wystąpi asercja krytyczna, 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>wynikiem testu jest niepowodzenie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w każdym innym przypadku test </w:t>
      </w:r>
      <w:r w:rsidR="00A10F87">
        <w:rPr>
          <w:rFonts w:ascii="Times New Roman" w:hAnsi="Times New Roman" w:cs="Times New Roman"/>
          <w:sz w:val="24"/>
          <w:szCs w:val="24"/>
          <w:lang w:val="pl-PL"/>
        </w:rPr>
        <w:t>kończy się pozytywnym wynikiem.</w:t>
      </w:r>
      <w:r w:rsidR="000C3E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Aby utworzyć test, należy użyć makra </w:t>
      </w:r>
      <w:proofErr w:type="gramStart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) w celu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lastRenderedPageBreak/>
        <w:t>zdefiniowania nazwy testu. TEST() jest zwykłą funkcją C++ niezwracającą żadnej wartości. Wewnątrz ciała funkcji można umieszczać dowolne wyrażenia języka.</w:t>
      </w:r>
    </w:p>
    <w:p w:rsidR="00D27C61" w:rsidRDefault="00D27C61" w:rsidP="00BE62B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Death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tests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– testy sprawdzające poprawne zakończenie całej pracy programu</w:t>
      </w:r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6" w:name="_Toc9006721"/>
      <w:r>
        <w:rPr>
          <w:rFonts w:ascii="Times New Roman" w:hAnsi="Times New Roman" w:cs="Times New Roman"/>
        </w:rPr>
        <w:t>Java: J</w:t>
      </w:r>
      <w:r w:rsidR="0009322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bookmarkEnd w:id="26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7" w:name="_Toc9006722"/>
      <w:r w:rsidRPr="00A726FE">
        <w:rPr>
          <w:rFonts w:ascii="Times New Roman" w:hAnsi="Times New Roman" w:cs="Times New Roman"/>
        </w:rPr>
        <w:t>.Net:  xUnit.net</w:t>
      </w:r>
      <w:bookmarkEnd w:id="27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28" w:name="_Toc9006723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28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9" w:name="_Toc9006724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29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0" w:name="_Toc9006725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0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1" w:name="_Toc9006726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1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A5189">
          <w:rPr>
            <w:rStyle w:val="Hyperlink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1C40F3" w:rsidRDefault="001C40F3" w:rsidP="00CC54B7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2" w:name="_Toc9006727"/>
      <w:r w:rsidRPr="00A726FE">
        <w:rPr>
          <w:rFonts w:ascii="Times New Roman" w:hAnsi="Times New Roman" w:cs="Times New Roman"/>
          <w:lang w:val="pl-PL"/>
        </w:rPr>
        <w:t>Biblioteka Framework</w:t>
      </w:r>
      <w:r w:rsidR="00A2511F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A2511F">
        <w:rPr>
          <w:rFonts w:ascii="Times New Roman" w:hAnsi="Times New Roman" w:cs="Times New Roman"/>
          <w:lang w:val="pl-PL"/>
        </w:rPr>
        <w:t>Mock</w:t>
      </w:r>
      <w:bookmarkEnd w:id="32"/>
      <w:proofErr w:type="spellEnd"/>
    </w:p>
    <w:p w:rsidR="00243D7F" w:rsidRDefault="00A2511F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do tworzeni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bardzo często stosowany w połączeniu z Googl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Test, posiadający duży zestaw akcji i dopasowani(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B1943" w:rsidRDefault="00FB1943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Podstawowe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tworzone są na funkcjach </w:t>
      </w:r>
      <w:r w:rsidR="002105C4">
        <w:rPr>
          <w:rFonts w:ascii="Times New Roman" w:hAnsi="Times New Roman" w:cs="Times New Roman"/>
          <w:sz w:val="24"/>
          <w:szCs w:val="24"/>
          <w:lang w:val="pl-PL"/>
        </w:rPr>
        <w:t>wirtualnych,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możliwe jest również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 xml:space="preserve">stworzenie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36700D" w:rsidRDefault="00124374" w:rsidP="00CC5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pamiętać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funkcji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zawierać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>, public.</w:t>
      </w:r>
    </w:p>
    <w:p w:rsidR="00D75FE5" w:rsidRPr="00B2650C" w:rsidRDefault="0036700D" w:rsidP="00B265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</w:t>
      </w:r>
      <w:r w:rsidR="00163E0A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sy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813FC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3" w:name="_Toc9006728"/>
      <w:r w:rsidRPr="00A726FE">
        <w:rPr>
          <w:rFonts w:ascii="Times New Roman" w:hAnsi="Times New Roman" w:cs="Times New Roman"/>
          <w:lang w:val="pl-PL"/>
        </w:rPr>
        <w:t>Przebieg tworzenia aplikacji</w:t>
      </w:r>
      <w:bookmarkEnd w:id="33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Grę kończy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się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4" w:name="_Toc9006729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4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błędzie i pozwala na wyświetlenie więcej niż jednego błędu w teście. Istnieje możliwość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dostarcz</w:t>
      </w:r>
      <w:r>
        <w:rPr>
          <w:rFonts w:ascii="Times New Roman" w:hAnsi="Times New Roman" w:cs="Times New Roman"/>
          <w:sz w:val="24"/>
          <w:szCs w:val="24"/>
          <w:lang w:val="pl-PL"/>
        </w:rPr>
        <w:t>enia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własnych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komunikat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o błędzie, który zostanie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wypisany obok ewentualnego błędu. Odbywa się to za pomocą operatora </w:t>
      </w:r>
      <w:r>
        <w:rPr>
          <w:rFonts w:ascii="Cambria Math" w:hAnsi="Cambria Math" w:cs="Cambria Math"/>
          <w:sz w:val="24"/>
          <w:szCs w:val="24"/>
          <w:lang w:val="pl-PL"/>
        </w:rPr>
        <w:t>≪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5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5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36" w:name="_Toc9006730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36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lastRenderedPageBreak/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EF3F19">
        <w:rPr>
          <w:sz w:val="24"/>
          <w:szCs w:val="24"/>
          <w:lang w:val="pl-PL"/>
        </w:rPr>
        <w:t>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Default="00207AF6" w:rsidP="00207AF6">
      <w:pPr>
        <w:spacing w:line="360" w:lineRule="auto"/>
        <w:ind w:firstLine="43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Wąż ginie w momencie, gdy współrzędne jego głowy pokrywają się ze współrzędnymi już znajdującymi się w </w:t>
      </w:r>
      <w:proofErr w:type="spellStart"/>
      <w:r w:rsidRPr="00A10CE2">
        <w:rPr>
          <w:sz w:val="24"/>
          <w:szCs w:val="24"/>
          <w:lang w:val="pl-PL"/>
        </w:rPr>
        <w:t>Coord_Container</w:t>
      </w:r>
      <w:proofErr w:type="spellEnd"/>
      <w:r>
        <w:rPr>
          <w:sz w:val="24"/>
          <w:szCs w:val="24"/>
          <w:lang w:val="pl-PL"/>
        </w:rPr>
        <w:t xml:space="preserve">, czyli jedno z pól ciała węża, jest to sprawdzane w metodzie  </w:t>
      </w:r>
      <w:proofErr w:type="spellStart"/>
      <w:r w:rsidRPr="00A10CE2">
        <w:rPr>
          <w:sz w:val="24"/>
          <w:szCs w:val="24"/>
          <w:lang w:val="pl-PL"/>
        </w:rPr>
        <w:t>snakeHitItself</w:t>
      </w:r>
      <w:proofErr w:type="spellEnd"/>
      <w:r w:rsidRPr="00A10CE2">
        <w:rPr>
          <w:sz w:val="24"/>
          <w:szCs w:val="24"/>
          <w:lang w:val="pl-PL"/>
        </w:rPr>
        <w:t>()</w:t>
      </w:r>
      <w:r w:rsidR="00BF057B">
        <w:rPr>
          <w:sz w:val="24"/>
          <w:szCs w:val="24"/>
          <w:lang w:val="pl-PL"/>
        </w:rPr>
        <w:t>;</w:t>
      </w:r>
    </w:p>
    <w:p w:rsidR="00207AF6" w:rsidRPr="002A207E" w:rsidRDefault="00207AF6" w:rsidP="00FE03CA">
      <w:pPr>
        <w:spacing w:line="360" w:lineRule="auto"/>
        <w:rPr>
          <w:sz w:val="24"/>
          <w:szCs w:val="24"/>
          <w:lang w:val="pl-PL"/>
        </w:rPr>
      </w:pP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37" w:name="_Toc9006731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37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Tworze również pole </w:t>
      </w:r>
      <w:proofErr w:type="spellStart"/>
      <w:r w:rsidR="00FF22AA">
        <w:rPr>
          <w:rFonts w:ascii="Times New Roman" w:hAnsi="Times New Roman" w:cs="Times New Roman"/>
          <w:sz w:val="24"/>
          <w:szCs w:val="24"/>
          <w:lang w:val="pl-PL"/>
        </w:rPr>
        <w:t>eatAp</w:t>
      </w:r>
      <w:r w:rsidR="00323063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le</w:t>
      </w:r>
      <w:proofErr w:type="spellEnd"/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FF22AA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które będzie informowało mnie o </w:t>
      </w:r>
      <w:r w:rsidR="00B02BE8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w którym koordynaty </w:t>
      </w:r>
      <w:proofErr w:type="spellStart"/>
      <w:r w:rsidR="00323063">
        <w:rPr>
          <w:rFonts w:ascii="Times New Roman" w:hAnsi="Times New Roman" w:cs="Times New Roman"/>
          <w:sz w:val="24"/>
          <w:szCs w:val="24"/>
          <w:lang w:val="pl-PL"/>
        </w:rPr>
        <w:t>apple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323063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się pokryją</w:t>
      </w:r>
      <w:r w:rsidR="00FF666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38" w:name="_Toc9006732"/>
      <w:r w:rsidRPr="006E49D6">
        <w:rPr>
          <w:lang w:val="pl-PL"/>
        </w:rPr>
        <w:t>Klasa Board</w:t>
      </w:r>
      <w:bookmarkEnd w:id="38"/>
    </w:p>
    <w:p w:rsidR="00183E09" w:rsidRDefault="00004C68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mogę użyć 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PECT_EQ oraz EXPECT_NE, asercje te obsługują 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Pr="00334656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P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9" w:name="_Toc9006733"/>
      <w:r w:rsidRPr="00A726FE">
        <w:rPr>
          <w:rFonts w:ascii="Times New Roman" w:hAnsi="Times New Roman" w:cs="Times New Roman"/>
          <w:lang w:val="pl-PL"/>
        </w:rPr>
        <w:lastRenderedPageBreak/>
        <w:t>Bibliografia</w:t>
      </w:r>
      <w:bookmarkEnd w:id="39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001B6F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8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001B6F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19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001B6F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0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1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2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001B6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B6F" w:rsidRDefault="00001B6F" w:rsidP="00F1235D">
      <w:pPr>
        <w:spacing w:after="0" w:line="240" w:lineRule="auto"/>
      </w:pPr>
      <w:r>
        <w:separator/>
      </w:r>
    </w:p>
  </w:endnote>
  <w:endnote w:type="continuationSeparator" w:id="0">
    <w:p w:rsidR="00001B6F" w:rsidRDefault="00001B6F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CAB" w:rsidRDefault="00632CAB">
    <w:pPr>
      <w:pStyle w:val="Footer"/>
    </w:pPr>
  </w:p>
  <w:p w:rsidR="00632CAB" w:rsidRDefault="006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B6F" w:rsidRDefault="00001B6F" w:rsidP="00F1235D">
      <w:pPr>
        <w:spacing w:after="0" w:line="240" w:lineRule="auto"/>
      </w:pPr>
      <w:r>
        <w:separator/>
      </w:r>
    </w:p>
  </w:footnote>
  <w:footnote w:type="continuationSeparator" w:id="0">
    <w:p w:rsidR="00001B6F" w:rsidRDefault="00001B6F" w:rsidP="00F1235D">
      <w:pPr>
        <w:spacing w:after="0" w:line="240" w:lineRule="auto"/>
      </w:pPr>
      <w:r>
        <w:continuationSeparator/>
      </w:r>
    </w:p>
  </w:footnote>
  <w:footnote w:id="1">
    <w:p w:rsidR="00632CAB" w:rsidRPr="004352AA" w:rsidRDefault="00632CAB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632CAB" w:rsidRPr="004352AA" w:rsidRDefault="00632CAB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632CAB" w:rsidRPr="00316CBF" w:rsidRDefault="00632CAB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r w:rsidRPr="00316CBF">
        <w:rPr>
          <w:sz w:val="20"/>
          <w:szCs w:val="20"/>
          <w:lang w:val="pl-PL"/>
        </w:rPr>
        <w:t>Stapp „Test Driven Development”, kwartalnik TESTER.PL, nr 4, str.34</w:t>
      </w:r>
    </w:p>
  </w:footnote>
  <w:footnote w:id="4">
    <w:p w:rsidR="00632CAB" w:rsidRPr="004352AA" w:rsidRDefault="00632CAB" w:rsidP="009D6811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yperlink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0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9"/>
  </w:num>
  <w:num w:numId="5">
    <w:abstractNumId w:val="3"/>
  </w:num>
  <w:num w:numId="6">
    <w:abstractNumId w:val="29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1"/>
  </w:num>
  <w:num w:numId="15">
    <w:abstractNumId w:val="33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6"/>
  </w:num>
  <w:num w:numId="29">
    <w:abstractNumId w:val="24"/>
  </w:num>
  <w:num w:numId="30">
    <w:abstractNumId w:val="32"/>
  </w:num>
  <w:num w:numId="31">
    <w:abstractNumId w:val="1"/>
  </w:num>
  <w:num w:numId="32">
    <w:abstractNumId w:val="18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729E7"/>
    <w:rsid w:val="000825D7"/>
    <w:rsid w:val="00086589"/>
    <w:rsid w:val="0008761C"/>
    <w:rsid w:val="00090141"/>
    <w:rsid w:val="00092151"/>
    <w:rsid w:val="00093224"/>
    <w:rsid w:val="00096E9B"/>
    <w:rsid w:val="000A6591"/>
    <w:rsid w:val="000B1E3E"/>
    <w:rsid w:val="000C2729"/>
    <w:rsid w:val="000C3422"/>
    <w:rsid w:val="000C3E6B"/>
    <w:rsid w:val="000C4C49"/>
    <w:rsid w:val="000C5457"/>
    <w:rsid w:val="000C5BE5"/>
    <w:rsid w:val="000D214D"/>
    <w:rsid w:val="000D77F1"/>
    <w:rsid w:val="000E3A6C"/>
    <w:rsid w:val="000E3D8F"/>
    <w:rsid w:val="000E59A5"/>
    <w:rsid w:val="000F3E6E"/>
    <w:rsid w:val="000F4C79"/>
    <w:rsid w:val="000F5C26"/>
    <w:rsid w:val="000F665D"/>
    <w:rsid w:val="000F6E25"/>
    <w:rsid w:val="000F73B0"/>
    <w:rsid w:val="001061FE"/>
    <w:rsid w:val="001103DE"/>
    <w:rsid w:val="00117E37"/>
    <w:rsid w:val="00121703"/>
    <w:rsid w:val="00121AF9"/>
    <w:rsid w:val="00122FAD"/>
    <w:rsid w:val="00123EAD"/>
    <w:rsid w:val="00124374"/>
    <w:rsid w:val="00126EDB"/>
    <w:rsid w:val="001345BA"/>
    <w:rsid w:val="00137AE6"/>
    <w:rsid w:val="00137F19"/>
    <w:rsid w:val="00140D6B"/>
    <w:rsid w:val="001413E5"/>
    <w:rsid w:val="00145161"/>
    <w:rsid w:val="00145E59"/>
    <w:rsid w:val="001544A0"/>
    <w:rsid w:val="00154678"/>
    <w:rsid w:val="001630CD"/>
    <w:rsid w:val="00163E0A"/>
    <w:rsid w:val="0016634D"/>
    <w:rsid w:val="00171A2D"/>
    <w:rsid w:val="00172E45"/>
    <w:rsid w:val="00175839"/>
    <w:rsid w:val="00181350"/>
    <w:rsid w:val="001826BD"/>
    <w:rsid w:val="00183E09"/>
    <w:rsid w:val="00186CE8"/>
    <w:rsid w:val="00190BC4"/>
    <w:rsid w:val="00196F3F"/>
    <w:rsid w:val="001A2252"/>
    <w:rsid w:val="001A2556"/>
    <w:rsid w:val="001A5A3D"/>
    <w:rsid w:val="001B39BD"/>
    <w:rsid w:val="001C40F3"/>
    <w:rsid w:val="001C52AF"/>
    <w:rsid w:val="001C7903"/>
    <w:rsid w:val="001D1B1F"/>
    <w:rsid w:val="001D2B65"/>
    <w:rsid w:val="001D2F48"/>
    <w:rsid w:val="001E0351"/>
    <w:rsid w:val="001E7374"/>
    <w:rsid w:val="001F0662"/>
    <w:rsid w:val="001F3D55"/>
    <w:rsid w:val="001F4012"/>
    <w:rsid w:val="001F4A77"/>
    <w:rsid w:val="001F61EE"/>
    <w:rsid w:val="00201DFE"/>
    <w:rsid w:val="0020393E"/>
    <w:rsid w:val="00204789"/>
    <w:rsid w:val="00207AF6"/>
    <w:rsid w:val="002105C4"/>
    <w:rsid w:val="00215B78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63A0B"/>
    <w:rsid w:val="002665EF"/>
    <w:rsid w:val="0027165F"/>
    <w:rsid w:val="002722BD"/>
    <w:rsid w:val="00274332"/>
    <w:rsid w:val="002813FC"/>
    <w:rsid w:val="00282479"/>
    <w:rsid w:val="00284B4E"/>
    <w:rsid w:val="00296924"/>
    <w:rsid w:val="002A01C5"/>
    <w:rsid w:val="002A1244"/>
    <w:rsid w:val="002A207E"/>
    <w:rsid w:val="002A58FB"/>
    <w:rsid w:val="002A7B90"/>
    <w:rsid w:val="002B13E0"/>
    <w:rsid w:val="002B744D"/>
    <w:rsid w:val="002B7C7B"/>
    <w:rsid w:val="002C1CF5"/>
    <w:rsid w:val="002D172C"/>
    <w:rsid w:val="002D3DF3"/>
    <w:rsid w:val="002E1C13"/>
    <w:rsid w:val="002E22AE"/>
    <w:rsid w:val="002E3B84"/>
    <w:rsid w:val="002F61A0"/>
    <w:rsid w:val="002F7C94"/>
    <w:rsid w:val="00302C24"/>
    <w:rsid w:val="00302F42"/>
    <w:rsid w:val="00305304"/>
    <w:rsid w:val="0030591A"/>
    <w:rsid w:val="00313010"/>
    <w:rsid w:val="00316CBF"/>
    <w:rsid w:val="00322A49"/>
    <w:rsid w:val="00322F62"/>
    <w:rsid w:val="00322FFE"/>
    <w:rsid w:val="00323063"/>
    <w:rsid w:val="00325383"/>
    <w:rsid w:val="00326F14"/>
    <w:rsid w:val="00330B3E"/>
    <w:rsid w:val="00331162"/>
    <w:rsid w:val="00334656"/>
    <w:rsid w:val="00336F52"/>
    <w:rsid w:val="00343002"/>
    <w:rsid w:val="00343555"/>
    <w:rsid w:val="00343793"/>
    <w:rsid w:val="00344572"/>
    <w:rsid w:val="0034517D"/>
    <w:rsid w:val="00350A5E"/>
    <w:rsid w:val="00351E96"/>
    <w:rsid w:val="003535CA"/>
    <w:rsid w:val="0035793A"/>
    <w:rsid w:val="00362C74"/>
    <w:rsid w:val="00366463"/>
    <w:rsid w:val="0036700D"/>
    <w:rsid w:val="00371B3A"/>
    <w:rsid w:val="0037240E"/>
    <w:rsid w:val="0037651E"/>
    <w:rsid w:val="003770D5"/>
    <w:rsid w:val="00380A8D"/>
    <w:rsid w:val="00393C2E"/>
    <w:rsid w:val="003A5189"/>
    <w:rsid w:val="003A7B0E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4046F9"/>
    <w:rsid w:val="00404E2B"/>
    <w:rsid w:val="00414071"/>
    <w:rsid w:val="00421CB9"/>
    <w:rsid w:val="0042325F"/>
    <w:rsid w:val="004352AA"/>
    <w:rsid w:val="00436B7B"/>
    <w:rsid w:val="00437D0A"/>
    <w:rsid w:val="00442A8C"/>
    <w:rsid w:val="00443942"/>
    <w:rsid w:val="00450AEC"/>
    <w:rsid w:val="004518B8"/>
    <w:rsid w:val="00455AA9"/>
    <w:rsid w:val="0045785C"/>
    <w:rsid w:val="00460174"/>
    <w:rsid w:val="00460C52"/>
    <w:rsid w:val="00464512"/>
    <w:rsid w:val="00464DB5"/>
    <w:rsid w:val="00465470"/>
    <w:rsid w:val="004722D9"/>
    <w:rsid w:val="00472BB2"/>
    <w:rsid w:val="004730C2"/>
    <w:rsid w:val="00474937"/>
    <w:rsid w:val="0047583C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65FD"/>
    <w:rsid w:val="004B10B5"/>
    <w:rsid w:val="004B55F8"/>
    <w:rsid w:val="004C3E03"/>
    <w:rsid w:val="004C6309"/>
    <w:rsid w:val="004D02A6"/>
    <w:rsid w:val="004D10A4"/>
    <w:rsid w:val="004D6086"/>
    <w:rsid w:val="004D7E91"/>
    <w:rsid w:val="004E0E5A"/>
    <w:rsid w:val="004F1874"/>
    <w:rsid w:val="004F251C"/>
    <w:rsid w:val="004F2B1E"/>
    <w:rsid w:val="004F3425"/>
    <w:rsid w:val="004F6DEB"/>
    <w:rsid w:val="00502BBD"/>
    <w:rsid w:val="00503D0C"/>
    <w:rsid w:val="00503FFC"/>
    <w:rsid w:val="005207EA"/>
    <w:rsid w:val="005226F6"/>
    <w:rsid w:val="00525082"/>
    <w:rsid w:val="00525CA4"/>
    <w:rsid w:val="00527F4E"/>
    <w:rsid w:val="00530105"/>
    <w:rsid w:val="005359DA"/>
    <w:rsid w:val="0054002A"/>
    <w:rsid w:val="005416A7"/>
    <w:rsid w:val="0054616C"/>
    <w:rsid w:val="005505AF"/>
    <w:rsid w:val="005625F2"/>
    <w:rsid w:val="0056483C"/>
    <w:rsid w:val="005652EC"/>
    <w:rsid w:val="00574D2D"/>
    <w:rsid w:val="00576C16"/>
    <w:rsid w:val="0059466E"/>
    <w:rsid w:val="005946CF"/>
    <w:rsid w:val="005A660F"/>
    <w:rsid w:val="005B1BD7"/>
    <w:rsid w:val="005B4EB1"/>
    <w:rsid w:val="005B6EFD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2CAB"/>
    <w:rsid w:val="0063332D"/>
    <w:rsid w:val="00635CF0"/>
    <w:rsid w:val="00640221"/>
    <w:rsid w:val="006565FF"/>
    <w:rsid w:val="006571E7"/>
    <w:rsid w:val="00665F3A"/>
    <w:rsid w:val="0066673D"/>
    <w:rsid w:val="00666B8E"/>
    <w:rsid w:val="006723D8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D427E"/>
    <w:rsid w:val="006D5004"/>
    <w:rsid w:val="006D6BA4"/>
    <w:rsid w:val="006E01C5"/>
    <w:rsid w:val="006E49D6"/>
    <w:rsid w:val="006F4041"/>
    <w:rsid w:val="00712962"/>
    <w:rsid w:val="00716B40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1F1C"/>
    <w:rsid w:val="00754F92"/>
    <w:rsid w:val="00757BB5"/>
    <w:rsid w:val="00763832"/>
    <w:rsid w:val="00776E03"/>
    <w:rsid w:val="00782652"/>
    <w:rsid w:val="00783F16"/>
    <w:rsid w:val="00794888"/>
    <w:rsid w:val="007960AB"/>
    <w:rsid w:val="00797372"/>
    <w:rsid w:val="007A17E3"/>
    <w:rsid w:val="007A6393"/>
    <w:rsid w:val="007B1E94"/>
    <w:rsid w:val="007B6115"/>
    <w:rsid w:val="007B7888"/>
    <w:rsid w:val="007C40DF"/>
    <w:rsid w:val="007C684E"/>
    <w:rsid w:val="007D080C"/>
    <w:rsid w:val="007D2546"/>
    <w:rsid w:val="007D6298"/>
    <w:rsid w:val="007D7A1B"/>
    <w:rsid w:val="007E3492"/>
    <w:rsid w:val="007E4BDC"/>
    <w:rsid w:val="007E508C"/>
    <w:rsid w:val="007E69E3"/>
    <w:rsid w:val="007F6CE3"/>
    <w:rsid w:val="007F792B"/>
    <w:rsid w:val="007F7CB7"/>
    <w:rsid w:val="00800EBC"/>
    <w:rsid w:val="00804015"/>
    <w:rsid w:val="0081394C"/>
    <w:rsid w:val="0081486B"/>
    <w:rsid w:val="00815B62"/>
    <w:rsid w:val="00816D09"/>
    <w:rsid w:val="00820C3C"/>
    <w:rsid w:val="00823C20"/>
    <w:rsid w:val="00827245"/>
    <w:rsid w:val="00831631"/>
    <w:rsid w:val="00835C69"/>
    <w:rsid w:val="00835FEA"/>
    <w:rsid w:val="00837F02"/>
    <w:rsid w:val="00844E5E"/>
    <w:rsid w:val="00846D06"/>
    <w:rsid w:val="00851613"/>
    <w:rsid w:val="008563F9"/>
    <w:rsid w:val="00864E99"/>
    <w:rsid w:val="0086637A"/>
    <w:rsid w:val="00870CE2"/>
    <w:rsid w:val="0087232B"/>
    <w:rsid w:val="00876A22"/>
    <w:rsid w:val="008779F1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131D"/>
    <w:rsid w:val="008A1D58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4B35"/>
    <w:rsid w:val="009000C1"/>
    <w:rsid w:val="009027FB"/>
    <w:rsid w:val="009028D7"/>
    <w:rsid w:val="00903C74"/>
    <w:rsid w:val="00906C34"/>
    <w:rsid w:val="00913D1C"/>
    <w:rsid w:val="00924D3F"/>
    <w:rsid w:val="00930D7C"/>
    <w:rsid w:val="00934AAE"/>
    <w:rsid w:val="009361B2"/>
    <w:rsid w:val="00942601"/>
    <w:rsid w:val="00942D88"/>
    <w:rsid w:val="00947056"/>
    <w:rsid w:val="00954CBC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4F64"/>
    <w:rsid w:val="009B4FDE"/>
    <w:rsid w:val="009C14A4"/>
    <w:rsid w:val="009D258D"/>
    <w:rsid w:val="009D6811"/>
    <w:rsid w:val="009E25CC"/>
    <w:rsid w:val="009E2EC0"/>
    <w:rsid w:val="009F069E"/>
    <w:rsid w:val="009F39F4"/>
    <w:rsid w:val="00A00B8E"/>
    <w:rsid w:val="00A0482F"/>
    <w:rsid w:val="00A04957"/>
    <w:rsid w:val="00A05C25"/>
    <w:rsid w:val="00A10CE2"/>
    <w:rsid w:val="00A10F87"/>
    <w:rsid w:val="00A11B94"/>
    <w:rsid w:val="00A15DA6"/>
    <w:rsid w:val="00A2035C"/>
    <w:rsid w:val="00A24803"/>
    <w:rsid w:val="00A2482C"/>
    <w:rsid w:val="00A2511F"/>
    <w:rsid w:val="00A25458"/>
    <w:rsid w:val="00A472F8"/>
    <w:rsid w:val="00A5417E"/>
    <w:rsid w:val="00A551CA"/>
    <w:rsid w:val="00A571E4"/>
    <w:rsid w:val="00A61F43"/>
    <w:rsid w:val="00A65399"/>
    <w:rsid w:val="00A66738"/>
    <w:rsid w:val="00A726FE"/>
    <w:rsid w:val="00A82821"/>
    <w:rsid w:val="00A90769"/>
    <w:rsid w:val="00A921BB"/>
    <w:rsid w:val="00A9378B"/>
    <w:rsid w:val="00A956CB"/>
    <w:rsid w:val="00AA1A34"/>
    <w:rsid w:val="00AA3398"/>
    <w:rsid w:val="00AB0CF3"/>
    <w:rsid w:val="00AB112D"/>
    <w:rsid w:val="00AB2E28"/>
    <w:rsid w:val="00AB4D5F"/>
    <w:rsid w:val="00AC1D8B"/>
    <w:rsid w:val="00AC2F7D"/>
    <w:rsid w:val="00AC5231"/>
    <w:rsid w:val="00AC6631"/>
    <w:rsid w:val="00AC6667"/>
    <w:rsid w:val="00AC6961"/>
    <w:rsid w:val="00AD037F"/>
    <w:rsid w:val="00AD1B6C"/>
    <w:rsid w:val="00AE1235"/>
    <w:rsid w:val="00AE4BCE"/>
    <w:rsid w:val="00AE58BF"/>
    <w:rsid w:val="00AE74E4"/>
    <w:rsid w:val="00AF2CCE"/>
    <w:rsid w:val="00B02BE8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623C"/>
    <w:rsid w:val="00B51119"/>
    <w:rsid w:val="00B51F9F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342D"/>
    <w:rsid w:val="00BC35C0"/>
    <w:rsid w:val="00BD2CA0"/>
    <w:rsid w:val="00BD3984"/>
    <w:rsid w:val="00BE0226"/>
    <w:rsid w:val="00BE60E4"/>
    <w:rsid w:val="00BE62BB"/>
    <w:rsid w:val="00BF057B"/>
    <w:rsid w:val="00BF0D82"/>
    <w:rsid w:val="00BF1AE8"/>
    <w:rsid w:val="00BF5D78"/>
    <w:rsid w:val="00BF6814"/>
    <w:rsid w:val="00C00034"/>
    <w:rsid w:val="00C0095D"/>
    <w:rsid w:val="00C035B5"/>
    <w:rsid w:val="00C048AB"/>
    <w:rsid w:val="00C06371"/>
    <w:rsid w:val="00C11D82"/>
    <w:rsid w:val="00C1742D"/>
    <w:rsid w:val="00C20D75"/>
    <w:rsid w:val="00C376D8"/>
    <w:rsid w:val="00C47BDC"/>
    <w:rsid w:val="00C538CB"/>
    <w:rsid w:val="00C76233"/>
    <w:rsid w:val="00C76BA2"/>
    <w:rsid w:val="00C90814"/>
    <w:rsid w:val="00C951E8"/>
    <w:rsid w:val="00CA556D"/>
    <w:rsid w:val="00CA72E3"/>
    <w:rsid w:val="00CA7733"/>
    <w:rsid w:val="00CC07CD"/>
    <w:rsid w:val="00CC4D36"/>
    <w:rsid w:val="00CC54B7"/>
    <w:rsid w:val="00CC596B"/>
    <w:rsid w:val="00CD2FC1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7192"/>
    <w:rsid w:val="00D27C61"/>
    <w:rsid w:val="00D41529"/>
    <w:rsid w:val="00D44181"/>
    <w:rsid w:val="00D52F1C"/>
    <w:rsid w:val="00D57839"/>
    <w:rsid w:val="00D65596"/>
    <w:rsid w:val="00D65D4A"/>
    <w:rsid w:val="00D73467"/>
    <w:rsid w:val="00D75FE5"/>
    <w:rsid w:val="00D8044B"/>
    <w:rsid w:val="00D830D8"/>
    <w:rsid w:val="00D83905"/>
    <w:rsid w:val="00D861E4"/>
    <w:rsid w:val="00D96D8F"/>
    <w:rsid w:val="00D97848"/>
    <w:rsid w:val="00DA0196"/>
    <w:rsid w:val="00DB02D0"/>
    <w:rsid w:val="00DB3D1F"/>
    <w:rsid w:val="00DB5659"/>
    <w:rsid w:val="00DE3540"/>
    <w:rsid w:val="00DE66D1"/>
    <w:rsid w:val="00DE7158"/>
    <w:rsid w:val="00DF0B24"/>
    <w:rsid w:val="00DF748F"/>
    <w:rsid w:val="00E044CA"/>
    <w:rsid w:val="00E05C89"/>
    <w:rsid w:val="00E13315"/>
    <w:rsid w:val="00E22D5E"/>
    <w:rsid w:val="00E255F9"/>
    <w:rsid w:val="00E31DD0"/>
    <w:rsid w:val="00E35D98"/>
    <w:rsid w:val="00E37B02"/>
    <w:rsid w:val="00E416AF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6904"/>
    <w:rsid w:val="00E97984"/>
    <w:rsid w:val="00E97994"/>
    <w:rsid w:val="00EA18E6"/>
    <w:rsid w:val="00EA3484"/>
    <w:rsid w:val="00EA711D"/>
    <w:rsid w:val="00EB0E34"/>
    <w:rsid w:val="00EB2C10"/>
    <w:rsid w:val="00EC3E6D"/>
    <w:rsid w:val="00ED2A4C"/>
    <w:rsid w:val="00ED39B9"/>
    <w:rsid w:val="00EE1CE3"/>
    <w:rsid w:val="00EE5FFE"/>
    <w:rsid w:val="00EF3F19"/>
    <w:rsid w:val="00EF7ABC"/>
    <w:rsid w:val="00F005ED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50039"/>
    <w:rsid w:val="00F50D15"/>
    <w:rsid w:val="00F55E9E"/>
    <w:rsid w:val="00F57538"/>
    <w:rsid w:val="00F63268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5A19"/>
    <w:rsid w:val="00FA06C4"/>
    <w:rsid w:val="00FA105D"/>
    <w:rsid w:val="00FA282F"/>
    <w:rsid w:val="00FA4256"/>
    <w:rsid w:val="00FB1943"/>
    <w:rsid w:val="00FB1952"/>
    <w:rsid w:val="00FB1B30"/>
    <w:rsid w:val="00FB6785"/>
    <w:rsid w:val="00FC33D2"/>
    <w:rsid w:val="00FC3A7E"/>
    <w:rsid w:val="00FC6490"/>
    <w:rsid w:val="00FD22CC"/>
    <w:rsid w:val="00FD2E7F"/>
    <w:rsid w:val="00FE03CA"/>
    <w:rsid w:val="00FE1264"/>
    <w:rsid w:val="00FF173B"/>
    <w:rsid w:val="00FF22AA"/>
    <w:rsid w:val="00FF2680"/>
    <w:rsid w:val="00FF322F"/>
    <w:rsid w:val="00FF55B9"/>
    <w:rsid w:val="00FF5E5A"/>
    <w:rsid w:val="00FF6474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50C6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BillSchofield/TDDIntro" TargetMode="External"/><Relationship Id="rId26" Type="http://schemas.openxmlformats.org/officeDocument/2006/relationships/hyperlink" Target="https://www.youtube.com/watch?v=rMKHLz3liuk&amp;list=UUpw6gOyEUCeSJDtcFhS_7Zw&amp;index=4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lcouthlyBlue/agile_kat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rMKHLz3li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fmddhJQIIc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learnjavacoding.com/definitions/snak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luralsight.com/guides/mvp-with-testing-part-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KD7wHKN22D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mocksArentStubs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richard.jp.leguen.ca/tutoring/soen343-f2010/tutorials/getting-started-on-rock-paper-scissors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BD124-7AA1-498F-B265-EA2F758E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25</Pages>
  <Words>4873</Words>
  <Characters>29240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522</cp:revision>
  <cp:lastPrinted>2019-02-11T14:17:00Z</cp:lastPrinted>
  <dcterms:created xsi:type="dcterms:W3CDTF">2019-01-10T12:21:00Z</dcterms:created>
  <dcterms:modified xsi:type="dcterms:W3CDTF">2019-05-17T15:31:00Z</dcterms:modified>
</cp:coreProperties>
</file>