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Транскрипция записи</w:t>
      </w:r>
    </w:p>
    <w:p>
      <w:pPr>
        <w:jc w:val="center"/>
      </w:pPr>
      <w:r>
        <w:rPr>
          <w:sz w:val="20"/>
        </w:rPr>
        <w:t>Дата: 13.09.2026 02:48</w:t>
      </w:r>
    </w:p>
    <w:p>
      <w:r>
        <w:br w:type="page"/>
      </w:r>
    </w:p>
    <w:p>
      <w:pPr>
        <w:pStyle w:val="Heading1"/>
      </w:pPr>
      <w:r>
        <w:t>Транскрипция</w:t>
      </w:r>
    </w:p>
    <w:p>
      <w:r>
        <w:rPr>
          <w:b/>
          <w:color w:val="1F4E79"/>
          <w:sz w:val="22"/>
        </w:rPr>
        <w:t xml:space="preserve">SPEAKER_00: </w:t>
      </w:r>
      <w:r>
        <w:t>Привет, приятель. На связи Путч. Идет старт 13-го интернешнл. Букмекерская компания Пари подготовила...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