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/>
          <w:b/>
          <w:sz w:val="30"/>
        </w:rPr>
        <w:t>Конфликт в Украине: гуманитарные последствия и задачи восстановления</w:t>
      </w:r>
    </w:p>
    <w:p>
      <w:pPr>
        <w:ind w:firstLine="425"/>
      </w:pPr>
      <w:r>
        <w:t>Конфликт в Украине остаётся масштабным испытанием для людей, городской инфраструктуры и региональной экономики. Этот тестовый обзор подготовлен для демонстрации автоматизированной обработки документов и не является оперативной сводкой. Его задача — показать, как разрозненные визуальные материалы и структурированный текст могут быть собраны в единый аналитический документ. При практической работе любые сведения о событиях, датах и последствиях должны проверяться по нескольким надёжным источникам.</w:t>
      </w:r>
    </w:p>
    <w:p>
      <w:pPr>
        <w:ind w:firstLine="425"/>
      </w:pPr>
      <w:r>
        <w:t>Наиболее заметное гуманитарное измерение связано с перемещением населения, нарушением привычных маршрутов и ростом нагрузки на системы социальной поддержки. Семьям приходится адаптироваться к временным условиям проживания, изменению графиков транспорта, обучения и медицинского обслуживания. Гуманитарные центры распределяют воду, продукты, тёплые вещи и предметы первой необходимости. Для устойчивой помощи особенно важны прозрачный учёт запасов, безопасная логистика и координация между местными службами и общественными организациями.</w:t>
      </w:r>
    </w:p>
    <w:p>
      <w:pPr>
        <w:ind w:firstLine="425"/>
      </w:pPr>
      <w:r>
        <w:t>Повреждения энергетических, транспортных и телекоммуникационных сетей влияют на повседневную жизнь даже вдали от непосредственной зоны боевых действий. Временные генераторы, мобильные узлы связи и резервные маршруты позволяют поддерживать работу больниц, школ, органов управления и пунктов помощи. Железнодорожная и автомобильная инфраструктура одновременно обеспечивает гражданские перевозки, доставку оборудования и восстановительные работы. При оценке ситуации важно различать подтверждённые данные, предварительные сообщения и экспертные предположения.</w:t>
      </w:r>
    </w:p>
    <w:p>
      <w:pPr>
        <w:ind w:firstLine="425"/>
      </w:pPr>
      <w:r>
        <w:t>Экономические последствия проявляются в нарушении производственных цепочек, повышении стоимости перевозок и неопределённости для предприятий. Сельское хозяйство зависит от доступа к полям, хранилищам, топливу и экспортным маршрутам. Малый бизнес приспосабливается за счёт локальных поставок и новых форм занятости, однако возможности восстановления различаются по регионам. Долгосрочные программы должны учитывать не только физический ремонт объектов, но и возвращение специалистов, доступность финансирования и безопасность труда.</w:t>
      </w:r>
    </w:p>
    <w:p>
      <w:pPr>
        <w:ind w:firstLine="425"/>
      </w:pPr>
      <w:r>
        <w:t>Отдельного внимания требует защита культурного наследия и образовательной среды. Музеи и архивы организуют резервное хранение коллекций, а школы используют укрытия и временные помещения. Такие меры помогают сохранить непрерывность общественной жизни, но не заменяют полноценной безопасной инфраструктуры. Документирование состояния объектов, цифровые копии фондов и единые реестры повреждений повышают качество последующего восстановления и снижают риск утраты значимых материалов.</w:t>
      </w:r>
    </w:p>
    <w:p>
      <w:pPr>
        <w:ind w:firstLine="425"/>
      </w:pPr>
      <w:r>
        <w:t>Перспективы устойчивого восстановления зависят от безопасности, качества управления и последовательной оценки потребностей. Приоритетами остаются жильё, энергетика, связь, транспорт, здравоохранение и образование. Полезный аналитический документ должен ясно отделять факты от оценок, указывать происхождение данных и избегать эмоционально окрашенных выводов. В демонстрационном сценарии изображения последовательно сканируются, после чего этот текст появляется на итоговом листе как пример объединения материалов в единую справку.</w:t>
      </w:r>
    </w:p>
    <w:sectPr w:rsidR="00FC693F" w:rsidRPr="0006063C" w:rsidSect="00034616">
      <w:pgSz w:w="11906" w:h="16838"/>
      <w:pgMar w:top="879" w:right="992" w:bottom="87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  <w:jc w:val="both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