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80"/>
        <w:jc w:val="center"/>
      </w:pPr>
      <w:r>
        <w:rPr>
          <w:b/>
          <w:i w:val="0"/>
          <w:color w:val="1F3A5F"/>
          <w:sz w:val="52"/>
        </w:rPr>
        <w:t>Análisis de quejas y flujo de atención</w:t>
      </w:r>
    </w:p>
    <w:p>
      <w:pPr>
        <w:spacing w:after="600"/>
        <w:jc w:val="center"/>
      </w:pPr>
      <w:r>
        <w:rPr>
          <w:b w:val="0"/>
          <w:i w:val="0"/>
          <w:color w:val="595959"/>
          <w:sz w:val="26"/>
        </w:rPr>
        <w:t>Clasificación completa de los reclamos del dataset LATAM Bank y ruta que sigue cada uno en Expediente Vivo</w:t>
      </w:r>
    </w:p>
    <w:p>
      <w:pPr>
        <w:spacing w:after="600"/>
        <w:jc w:val="center"/>
      </w:pPr>
      <w:r>
        <w:rPr>
          <w:b w:val="0"/>
          <w:i w:val="0"/>
          <w:color w:val="595959"/>
          <w:sz w:val="22"/>
        </w:rPr>
        <w:t>Factored AI &amp; Data Hackathon 2026 · 27 de septiembre de 2026 · Borrador para el equipo</w:t>
      </w:r>
    </w:p>
    <w:p>
      <w:pPr>
        <w:spacing w:after="480"/>
        <w:jc w:val="center"/>
      </w:pPr>
      <w:r>
        <w:rPr>
          <w:b w:val="0"/>
          <w:i w:val="0"/>
          <w:sz w:val="21"/>
        </w:rPr>
        <w:t>Todas las cifras se calcularon sobre la población completa del dataset (117.021 contactos de queja, 67.095 casos formales, 4.425.008 transacciones). No se usaron muestras.</w:t>
      </w:r>
    </w:p>
    <w:p>
      <w:pPr>
        <w:spacing w:after="20"/>
      </w:pPr>
      <w:r>
        <w:rPr>
          <w:b w:val="0"/>
          <w:i w:val="0"/>
          <w:sz w:val="21"/>
        </w:rPr>
        <w:t>1. Una queja es un solo viaje con dos momentos</w:t>
      </w:r>
    </w:p>
    <w:p>
      <w:pPr>
        <w:spacing w:after="20"/>
      </w:pPr>
      <w:r>
        <w:rPr>
          <w:b w:val="0"/>
          <w:i w:val="0"/>
          <w:sz w:val="21"/>
        </w:rPr>
        <w:t>2. Los cinco tipos de queja: volumen, qué piden, con qué evidencia llegan, qué pasa hoy</w:t>
      </w:r>
    </w:p>
    <w:p>
      <w:pPr>
        <w:spacing w:after="20"/>
      </w:pPr>
      <w:r>
        <w:rPr>
          <w:b w:val="0"/>
          <w:i w:val="0"/>
          <w:sz w:val="21"/>
        </w:rPr>
        <w:t>3. Cómo se trata cada tipo: flujo general, ruta por tipo, volúmenes por ruta, vía rápida de fraude</w:t>
      </w:r>
    </w:p>
    <w:p>
      <w:pPr>
        <w:spacing w:after="20"/>
      </w:pPr>
      <w:r>
        <w:rPr>
          <w:b w:val="0"/>
          <w:i w:val="0"/>
          <w:sz w:val="21"/>
        </w:rPr>
        <w:t>4. Contactos que no son quejas: qué hace el sistema con ellos</w:t>
      </w:r>
    </w:p>
    <w:p>
      <w:r>
        <w:br w:type="page"/>
      </w:r>
    </w:p>
    <w:p>
      <w:pPr>
        <w:pStyle w:val="Heading1"/>
      </w:pPr>
      <w:r>
        <w:t>1. Una queja es un solo viaje con dos momentos</w:t>
      </w:r>
    </w:p>
    <w:p>
      <w:r>
        <w:rPr>
          <w:b w:val="0"/>
          <w:i w:val="0"/>
        </w:rPr>
        <w:t>El dataset registra la queja en dos tablas distintas, pero son dos momentos del mismo viaje del cliente. Todo el documento se organiza sobre esta línea:</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D9E2F3"/>
          </w:tcPr>
          <w:p>
            <w:pPr>
              <w:spacing w:after="20"/>
            </w:pPr>
            <w:r/>
            <w:r>
              <w:rPr>
                <w:b/>
                <w:sz w:val="17"/>
              </w:rPr>
            </w:r>
          </w:p>
        </w:tc>
        <w:tc>
          <w:tcPr>
            <w:tcW w:type="dxa" w:w="3628"/>
            <w:shd w:val="clear" w:color="auto" w:fill="D9E2F3"/>
          </w:tcPr>
          <w:p>
            <w:pPr>
              <w:spacing w:after="20"/>
            </w:pPr>
            <w:r/>
            <w:r>
              <w:rPr>
                <w:b/>
                <w:sz w:val="17"/>
              </w:rPr>
              <w:t>Momento 1 · El cliente se queja</w:t>
            </w:r>
          </w:p>
        </w:tc>
        <w:tc>
          <w:tcPr>
            <w:tcW w:type="dxa" w:w="3912"/>
            <w:shd w:val="clear" w:color="auto" w:fill="D9E2F3"/>
          </w:tcPr>
          <w:p>
            <w:pPr>
              <w:spacing w:after="20"/>
            </w:pPr>
            <w:r/>
            <w:r>
              <w:rPr>
                <w:b/>
                <w:sz w:val="17"/>
              </w:rPr>
              <w:t>Momento 2 · Se abre un caso formal</w:t>
            </w:r>
          </w:p>
        </w:tc>
      </w:tr>
      <w:tr>
        <w:tc>
          <w:tcPr>
            <w:tcW w:type="dxa" w:w="1814"/>
          </w:tcPr>
          <w:p>
            <w:pPr>
              <w:spacing w:after="20"/>
            </w:pPr>
            <w:r/>
            <w:r>
              <w:rPr>
                <w:b/>
                <w:sz w:val="17"/>
              </w:rPr>
              <w:t>Tabla</w:t>
            </w:r>
          </w:p>
        </w:tc>
        <w:tc>
          <w:tcPr>
            <w:tcW w:type="dxa" w:w="3628"/>
          </w:tcPr>
          <w:p>
            <w:pPr>
              <w:spacing w:after="20"/>
            </w:pPr>
            <w:r/>
            <w:r>
              <w:rPr>
                <w:sz w:val="17"/>
              </w:rPr>
              <w:t>call_center_interactions (motivo = Queja)</w:t>
            </w:r>
          </w:p>
        </w:tc>
        <w:tc>
          <w:tcPr>
            <w:tcW w:type="dxa" w:w="3912"/>
          </w:tcPr>
          <w:p>
            <w:pPr>
              <w:spacing w:after="20"/>
            </w:pPr>
            <w:r/>
            <w:r>
              <w:rPr>
                <w:sz w:val="17"/>
              </w:rPr>
              <w:t>complaints (sistema PQR)</w:t>
            </w:r>
          </w:p>
        </w:tc>
      </w:tr>
      <w:tr>
        <w:tc>
          <w:tcPr>
            <w:tcW w:type="dxa" w:w="1814"/>
          </w:tcPr>
          <w:p>
            <w:pPr>
              <w:spacing w:after="20"/>
            </w:pPr>
            <w:r/>
            <w:r>
              <w:rPr>
                <w:b/>
                <w:sz w:val="17"/>
              </w:rPr>
              <w:t>Volumen (3 años)</w:t>
            </w:r>
          </w:p>
        </w:tc>
        <w:tc>
          <w:tcPr>
            <w:tcW w:type="dxa" w:w="3628"/>
          </w:tcPr>
          <w:p>
            <w:pPr>
              <w:spacing w:after="20"/>
            </w:pPr>
            <w:r/>
            <w:r>
              <w:rPr>
                <w:sz w:val="17"/>
              </w:rPr>
              <w:t>117.021 contactos</w:t>
            </w:r>
          </w:p>
        </w:tc>
        <w:tc>
          <w:tcPr>
            <w:tcW w:type="dxa" w:w="3912"/>
          </w:tcPr>
          <w:p>
            <w:pPr>
              <w:spacing w:after="20"/>
            </w:pPr>
            <w:r/>
            <w:r>
              <w:rPr>
                <w:sz w:val="17"/>
              </w:rPr>
              <w:t>67.095 casos</w:t>
            </w:r>
          </w:p>
        </w:tc>
      </w:tr>
      <w:tr>
        <w:tc>
          <w:tcPr>
            <w:tcW w:type="dxa" w:w="1814"/>
          </w:tcPr>
          <w:p>
            <w:pPr>
              <w:spacing w:after="20"/>
            </w:pPr>
            <w:r/>
            <w:r>
              <w:rPr>
                <w:b/>
                <w:sz w:val="17"/>
              </w:rPr>
              <w:t>Por año / por día hábil</w:t>
            </w:r>
          </w:p>
        </w:tc>
        <w:tc>
          <w:tcPr>
            <w:tcW w:type="dxa" w:w="3628"/>
          </w:tcPr>
          <w:p>
            <w:pPr>
              <w:spacing w:after="20"/>
            </w:pPr>
            <w:r/>
            <w:r>
              <w:rPr>
                <w:sz w:val="17"/>
              </w:rPr>
              <w:t>39.007 / 124</w:t>
            </w:r>
          </w:p>
        </w:tc>
        <w:tc>
          <w:tcPr>
            <w:tcW w:type="dxa" w:w="3912"/>
          </w:tcPr>
          <w:p>
            <w:pPr>
              <w:spacing w:after="20"/>
            </w:pPr>
            <w:r/>
            <w:r>
              <w:rPr>
                <w:sz w:val="17"/>
              </w:rPr>
              <w:t>22.365 / 61</w:t>
            </w:r>
          </w:p>
        </w:tc>
      </w:tr>
      <w:tr>
        <w:tc>
          <w:tcPr>
            <w:tcW w:type="dxa" w:w="1814"/>
          </w:tcPr>
          <w:p>
            <w:pPr>
              <w:spacing w:after="20"/>
            </w:pPr>
            <w:r/>
            <w:r>
              <w:rPr>
                <w:b/>
                <w:sz w:val="17"/>
              </w:rPr>
              <w:t>Por dónde</w:t>
            </w:r>
          </w:p>
        </w:tc>
        <w:tc>
          <w:tcPr>
            <w:tcW w:type="dxa" w:w="3628"/>
          </w:tcPr>
          <w:p>
            <w:pPr>
              <w:spacing w:after="20"/>
            </w:pPr>
            <w:r/>
            <w:r>
              <w:rPr>
                <w:sz w:val="17"/>
              </w:rPr>
              <w:t>85% teléfono, 4% email, 3,8% app, 3,4% web chat, 3,3% WhatsApp</w:t>
            </w:r>
          </w:p>
        </w:tc>
        <w:tc>
          <w:tcPr>
            <w:tcW w:type="dxa" w:w="3912"/>
          </w:tcPr>
          <w:p>
            <w:pPr>
              <w:spacing w:after="20"/>
            </w:pPr>
            <w:r/>
            <w:r>
              <w:rPr>
                <w:sz w:val="17"/>
              </w:rPr>
              <w:t>50% desde el call center; 20% email, 15% web, 10% app, 4% sucursal, 1% regulador (estos entran sin pasar por el momento 1)</w:t>
            </w:r>
          </w:p>
        </w:tc>
      </w:tr>
      <w:tr>
        <w:tc>
          <w:tcPr>
            <w:tcW w:type="dxa" w:w="1814"/>
          </w:tcPr>
          <w:p>
            <w:pPr>
              <w:spacing w:after="20"/>
            </w:pPr>
            <w:r/>
            <w:r>
              <w:rPr>
                <w:b/>
                <w:sz w:val="17"/>
              </w:rPr>
              <w:t>Qué pasa</w:t>
            </w:r>
          </w:p>
        </w:tc>
        <w:tc>
          <w:tcPr>
            <w:tcW w:type="dxa" w:w="3628"/>
          </w:tcPr>
          <w:p>
            <w:pPr>
              <w:spacing w:after="20"/>
            </w:pPr>
            <w:r/>
            <w:r>
              <w:rPr>
                <w:sz w:val="17"/>
              </w:rPr>
              <w:t>43,6% se resuelve ahí mismo; 56,4% no; 63% queda 'pendiente de seguimiento'; dura 431 s</w:t>
            </w:r>
          </w:p>
        </w:tc>
        <w:tc>
          <w:tcPr>
            <w:tcW w:type="dxa" w:w="3912"/>
          </w:tcPr>
          <w:p>
            <w:pPr>
              <w:spacing w:after="20"/>
            </w:pPr>
            <w:r/>
            <w:r>
              <w:rPr>
                <w:sz w:val="17"/>
              </w:rPr>
              <w:t>Asignación a las 12 h; primera respuesta a las 38 h; 30% nunca asignado; 16 días de resolución (28 en el 90% de los casos); 20% fuera de plazo</w:t>
            </w:r>
          </w:p>
        </w:tc>
      </w:tr>
      <w:tr>
        <w:tc>
          <w:tcPr>
            <w:tcW w:type="dxa" w:w="1814"/>
          </w:tcPr>
          <w:p>
            <w:pPr>
              <w:spacing w:after="20"/>
            </w:pPr>
            <w:r/>
            <w:r>
              <w:rPr>
                <w:b/>
                <w:sz w:val="17"/>
              </w:rPr>
              <w:t>Qué sabe el banco del motivo</w:t>
            </w:r>
          </w:p>
        </w:tc>
        <w:tc>
          <w:tcPr>
            <w:tcW w:type="dxa" w:w="3628"/>
          </w:tcPr>
          <w:p>
            <w:pPr>
              <w:spacing w:after="20"/>
            </w:pPr>
            <w:r/>
            <w:r>
              <w:rPr>
                <w:sz w:val="17"/>
              </w:rPr>
              <w:t>Nada: el sistema anota solo 'Queja'</w:t>
            </w:r>
          </w:p>
        </w:tc>
        <w:tc>
          <w:tcPr>
            <w:tcW w:type="dxa" w:w="3912"/>
          </w:tcPr>
          <w:p>
            <w:pPr>
              <w:spacing w:after="20"/>
            </w:pPr>
            <w:r/>
            <w:r>
              <w:rPr>
                <w:sz w:val="17"/>
              </w:rPr>
              <w:t>La subcategoría (5 tipos) y lo que pide el cliente (4 tipos de caso)</w:t>
            </w:r>
          </w:p>
        </w:tc>
      </w:tr>
      <w:tr>
        <w:tc>
          <w:tcPr>
            <w:tcW w:type="dxa" w:w="1814"/>
          </w:tcPr>
          <w:p>
            <w:pPr>
              <w:spacing w:after="20"/>
            </w:pPr>
            <w:r/>
            <w:r>
              <w:rPr>
                <w:b/>
                <w:sz w:val="17"/>
              </w:rPr>
              <w:t>Lo que el cliente dice después</w:t>
            </w:r>
          </w:p>
        </w:tc>
        <w:tc>
          <w:tcPr>
            <w:tcW w:type="dxa" w:w="3628"/>
          </w:tcPr>
          <w:p>
            <w:pPr>
              <w:spacing w:after="20"/>
            </w:pPr>
            <w:r/>
            <w:r>
              <w:rPr>
                <w:sz w:val="17"/>
              </w:rPr>
              <w:t>'Tardaron mucho', 'no resolvieron mi problema', 'no fue claro' (CSAT 2,43)</w:t>
            </w:r>
          </w:p>
        </w:tc>
        <w:tc>
          <w:tcPr>
            <w:tcW w:type="dxa" w:w="3912"/>
          </w:tcPr>
          <w:p>
            <w:pPr>
              <w:spacing w:after="20"/>
            </w:pPr>
            <w:r/>
            <w:r>
              <w:rPr>
                <w:sz w:val="17"/>
              </w:rPr>
              <w:t>Satisfacción con la resolución 3,0/5; 11.179 clientes reclaman 2 o más veces</w:t>
            </w:r>
          </w:p>
        </w:tc>
      </w:tr>
    </w:tbl>
    <w:p>
      <w:pPr>
        <w:spacing w:after="40"/>
      </w:pPr>
    </w:p>
    <w:p>
      <w:r>
        <w:t xml:space="preserve">Conexión entre los dos momentos: 33.761 casos formales entraron por el call center, es decir, aproximadamente </w:t>
      </w:r>
      <w:r>
        <w:rPr>
          <w:b/>
          <w:i w:val="0"/>
        </w:rPr>
        <w:t>3 de cada 10 contactos de queja terminan en un caso formal</w:t>
      </w:r>
      <w:r>
        <w:t xml:space="preserve"> (el dataset no enlaza cada caso con su llamada, así que es una proporción de volúmenes). 29.334 clientes aparecen en los dos momentos.</w:t>
      </w:r>
    </w:p>
    <w:p>
      <w:r>
        <w:br w:type="page"/>
      </w:r>
    </w:p>
    <w:p>
      <w:pPr>
        <w:pStyle w:val="Heading1"/>
      </w:pPr>
      <w:r>
        <w:t>2. Los cinco tipos de queja</w:t>
      </w:r>
    </w:p>
    <w:p>
      <w:r>
        <w:rPr>
          <w:b w:val="0"/>
          <w:i w:val="0"/>
        </w:rPr>
        <w:t>La clasificación por motivo existe en el momento 2 (subcategoría del caso). En el momento 1 el banco no la registra, así que se estima con la misma mezcla; el clasificador del sistema es el que la producirá en adelante.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14"/>
            <w:shd w:val="clear" w:color="auto" w:fill="D9E2F3"/>
          </w:tcPr>
          <w:p>
            <w:pPr>
              <w:spacing w:after="20"/>
            </w:pPr>
            <w:r/>
            <w:r>
              <w:rPr>
                <w:b/>
                <w:sz w:val="17"/>
              </w:rPr>
              <w:t>Tipo de queja</w:t>
            </w:r>
          </w:p>
        </w:tc>
        <w:tc>
          <w:tcPr>
            <w:tcW w:type="dxa" w:w="1361"/>
            <w:shd w:val="clear" w:color="auto" w:fill="D9E2F3"/>
          </w:tcPr>
          <w:p>
            <w:pPr>
              <w:spacing w:after="20"/>
            </w:pPr>
            <w:r/>
            <w:r>
              <w:rPr>
                <w:b/>
                <w:sz w:val="17"/>
              </w:rPr>
              <w:t>Casos formales (3 años)</w:t>
            </w:r>
          </w:p>
        </w:tc>
        <w:tc>
          <w:tcPr>
            <w:tcW w:type="dxa" w:w="737"/>
            <w:shd w:val="clear" w:color="auto" w:fill="D9E2F3"/>
          </w:tcPr>
          <w:p>
            <w:pPr>
              <w:spacing w:after="20"/>
            </w:pPr>
            <w:r/>
            <w:r>
              <w:rPr>
                <w:b/>
                <w:sz w:val="17"/>
              </w:rPr>
              <w:t>%</w:t>
            </w:r>
          </w:p>
        </w:tc>
        <w:tc>
          <w:tcPr>
            <w:tcW w:type="dxa" w:w="1587"/>
            <w:shd w:val="clear" w:color="auto" w:fill="D9E2F3"/>
          </w:tcPr>
          <w:p>
            <w:pPr>
              <w:spacing w:after="20"/>
            </w:pPr>
            <w:r/>
            <w:r>
              <w:rPr>
                <w:b/>
                <w:sz w:val="17"/>
              </w:rPr>
              <w:t>Contactos estimados por día hábil*</w:t>
            </w:r>
          </w:p>
        </w:tc>
        <w:tc>
          <w:tcPr>
            <w:tcW w:type="dxa" w:w="3855"/>
            <w:shd w:val="clear" w:color="auto" w:fill="D9E2F3"/>
          </w:tcPr>
          <w:p>
            <w:pPr>
              <w:spacing w:after="20"/>
            </w:pPr>
            <w:r/>
            <w:r>
              <w:rPr>
                <w:b/>
                <w:sz w:val="17"/>
              </w:rPr>
              <w:t>Qué reclama el cliente</w:t>
            </w:r>
          </w:p>
        </w:tc>
      </w:tr>
      <w:tr>
        <w:tc>
          <w:tcPr>
            <w:tcW w:type="dxa" w:w="1814"/>
          </w:tcPr>
          <w:p>
            <w:pPr>
              <w:spacing w:after="20"/>
            </w:pPr>
            <w:r/>
            <w:r>
              <w:rPr>
                <w:b/>
                <w:sz w:val="17"/>
              </w:rPr>
              <w:t>Cargo no reconocido</w:t>
            </w:r>
          </w:p>
        </w:tc>
        <w:tc>
          <w:tcPr>
            <w:tcW w:type="dxa" w:w="1361"/>
          </w:tcPr>
          <w:p>
            <w:pPr>
              <w:spacing w:after="20"/>
            </w:pPr>
            <w:r/>
            <w:r>
              <w:rPr>
                <w:sz w:val="17"/>
              </w:rPr>
              <w:t>13.580</w:t>
            </w:r>
          </w:p>
        </w:tc>
        <w:tc>
          <w:tcPr>
            <w:tcW w:type="dxa" w:w="737"/>
          </w:tcPr>
          <w:p>
            <w:pPr>
              <w:spacing w:after="20"/>
            </w:pPr>
            <w:r/>
            <w:r>
              <w:rPr>
                <w:sz w:val="17"/>
              </w:rPr>
              <w:t>20,2%</w:t>
            </w:r>
          </w:p>
        </w:tc>
        <w:tc>
          <w:tcPr>
            <w:tcW w:type="dxa" w:w="1587"/>
          </w:tcPr>
          <w:p>
            <w:pPr>
              <w:spacing w:after="20"/>
            </w:pPr>
            <w:r/>
            <w:r>
              <w:rPr>
                <w:sz w:val="17"/>
              </w:rPr>
              <w:t>≈ 25</w:t>
            </w:r>
          </w:p>
        </w:tc>
        <w:tc>
          <w:tcPr>
            <w:tcW w:type="dxa" w:w="3855"/>
          </w:tcPr>
          <w:p>
            <w:pPr>
              <w:spacing w:after="20"/>
            </w:pPr>
            <w:r/>
            <w:r>
              <w:rPr>
                <w:sz w:val="17"/>
              </w:rPr>
              <w:t>Un consumo o movimiento que no hizo (posible fraude, compra olvidada, comercio con otro nombre, cargo pendiente)</w:t>
            </w:r>
          </w:p>
        </w:tc>
      </w:tr>
      <w:tr>
        <w:tc>
          <w:tcPr>
            <w:tcW w:type="dxa" w:w="1814"/>
          </w:tcPr>
          <w:p>
            <w:pPr>
              <w:spacing w:after="20"/>
            </w:pPr>
            <w:r/>
            <w:r>
              <w:rPr>
                <w:b/>
                <w:sz w:val="17"/>
              </w:rPr>
              <w:t>Cobro indebido</w:t>
            </w:r>
          </w:p>
        </w:tc>
        <w:tc>
          <w:tcPr>
            <w:tcW w:type="dxa" w:w="1361"/>
          </w:tcPr>
          <w:p>
            <w:pPr>
              <w:spacing w:after="20"/>
            </w:pPr>
            <w:r/>
            <w:r>
              <w:rPr>
                <w:sz w:val="17"/>
              </w:rPr>
              <w:t>13.553</w:t>
            </w:r>
          </w:p>
        </w:tc>
        <w:tc>
          <w:tcPr>
            <w:tcW w:type="dxa" w:w="737"/>
          </w:tcPr>
          <w:p>
            <w:pPr>
              <w:spacing w:after="20"/>
            </w:pPr>
            <w:r/>
            <w:r>
              <w:rPr>
                <w:sz w:val="17"/>
              </w:rPr>
              <w:t>20,2%</w:t>
            </w:r>
          </w:p>
        </w:tc>
        <w:tc>
          <w:tcPr>
            <w:tcW w:type="dxa" w:w="1587"/>
          </w:tcPr>
          <w:p>
            <w:pPr>
              <w:spacing w:after="20"/>
            </w:pPr>
            <w:r/>
            <w:r>
              <w:rPr>
                <w:sz w:val="17"/>
              </w:rPr>
              <w:t>≈ 25</w:t>
            </w:r>
          </w:p>
        </w:tc>
        <w:tc>
          <w:tcPr>
            <w:tcW w:type="dxa" w:w="3855"/>
          </w:tcPr>
          <w:p>
            <w:pPr>
              <w:spacing w:after="20"/>
            </w:pPr>
            <w:r/>
            <w:r>
              <w:rPr>
                <w:sz w:val="17"/>
              </w:rPr>
              <w:t>Una comisión o cobro que considera incorrecto (duplicado, tarifa no informada, monto distinto)</w:t>
            </w:r>
          </w:p>
        </w:tc>
      </w:tr>
      <w:tr>
        <w:tc>
          <w:tcPr>
            <w:tcW w:type="dxa" w:w="1814"/>
          </w:tcPr>
          <w:p>
            <w:pPr>
              <w:spacing w:after="20"/>
            </w:pPr>
            <w:r/>
            <w:r>
              <w:rPr>
                <w:b/>
                <w:sz w:val="17"/>
              </w:rPr>
              <w:t>Problema con app</w:t>
            </w:r>
          </w:p>
        </w:tc>
        <w:tc>
          <w:tcPr>
            <w:tcW w:type="dxa" w:w="1361"/>
          </w:tcPr>
          <w:p>
            <w:pPr>
              <w:spacing w:after="20"/>
            </w:pPr>
            <w:r/>
            <w:r>
              <w:rPr>
                <w:sz w:val="17"/>
              </w:rPr>
              <w:t>13.407</w:t>
            </w:r>
          </w:p>
        </w:tc>
        <w:tc>
          <w:tcPr>
            <w:tcW w:type="dxa" w:w="737"/>
          </w:tcPr>
          <w:p>
            <w:pPr>
              <w:spacing w:after="20"/>
            </w:pPr>
            <w:r/>
            <w:r>
              <w:rPr>
                <w:sz w:val="17"/>
              </w:rPr>
              <w:t>20,0%</w:t>
            </w:r>
          </w:p>
        </w:tc>
        <w:tc>
          <w:tcPr>
            <w:tcW w:type="dxa" w:w="1587"/>
          </w:tcPr>
          <w:p>
            <w:pPr>
              <w:spacing w:after="20"/>
            </w:pPr>
            <w:r/>
            <w:r>
              <w:rPr>
                <w:sz w:val="17"/>
              </w:rPr>
              <w:t>≈ 25</w:t>
            </w:r>
          </w:p>
        </w:tc>
        <w:tc>
          <w:tcPr>
            <w:tcW w:type="dxa" w:w="3855"/>
          </w:tcPr>
          <w:p>
            <w:pPr>
              <w:spacing w:after="20"/>
            </w:pPr>
            <w:r/>
            <w:r>
              <w:rPr>
                <w:sz w:val="17"/>
              </w:rPr>
              <w:t>La app o la web no le permite operar, o le dio error</w:t>
            </w:r>
          </w:p>
        </w:tc>
      </w:tr>
      <w:tr>
        <w:tc>
          <w:tcPr>
            <w:tcW w:type="dxa" w:w="1814"/>
          </w:tcPr>
          <w:p>
            <w:pPr>
              <w:spacing w:after="20"/>
            </w:pPr>
            <w:r/>
            <w:r>
              <w:rPr>
                <w:b/>
                <w:sz w:val="17"/>
              </w:rPr>
              <w:t>Atención en sucursal</w:t>
            </w:r>
          </w:p>
        </w:tc>
        <w:tc>
          <w:tcPr>
            <w:tcW w:type="dxa" w:w="1361"/>
          </w:tcPr>
          <w:p>
            <w:pPr>
              <w:spacing w:after="20"/>
            </w:pPr>
            <w:r/>
            <w:r>
              <w:rPr>
                <w:sz w:val="17"/>
              </w:rPr>
              <w:t>13.361</w:t>
            </w:r>
          </w:p>
        </w:tc>
        <w:tc>
          <w:tcPr>
            <w:tcW w:type="dxa" w:w="737"/>
          </w:tcPr>
          <w:p>
            <w:pPr>
              <w:spacing w:after="20"/>
            </w:pPr>
            <w:r/>
            <w:r>
              <w:rPr>
                <w:sz w:val="17"/>
              </w:rPr>
              <w:t>19,9%</w:t>
            </w:r>
          </w:p>
        </w:tc>
        <w:tc>
          <w:tcPr>
            <w:tcW w:type="dxa" w:w="1587"/>
          </w:tcPr>
          <w:p>
            <w:pPr>
              <w:spacing w:after="20"/>
            </w:pPr>
            <w:r/>
            <w:r>
              <w:rPr>
                <w:sz w:val="17"/>
              </w:rPr>
              <w:t>≈ 25</w:t>
            </w:r>
          </w:p>
        </w:tc>
        <w:tc>
          <w:tcPr>
            <w:tcW w:type="dxa" w:w="3855"/>
          </w:tcPr>
          <w:p>
            <w:pPr>
              <w:spacing w:after="20"/>
            </w:pPr>
            <w:r/>
            <w:r>
              <w:rPr>
                <w:sz w:val="17"/>
              </w:rPr>
              <w:t>Mal trato, demora o error en una sucursal</w:t>
            </w:r>
          </w:p>
        </w:tc>
      </w:tr>
      <w:tr>
        <w:tc>
          <w:tcPr>
            <w:tcW w:type="dxa" w:w="1814"/>
          </w:tcPr>
          <w:p>
            <w:pPr>
              <w:spacing w:after="20"/>
            </w:pPr>
            <w:r/>
            <w:r>
              <w:rPr>
                <w:b/>
                <w:sz w:val="17"/>
              </w:rPr>
              <w:t>Calidad de servicio</w:t>
            </w:r>
          </w:p>
        </w:tc>
        <w:tc>
          <w:tcPr>
            <w:tcW w:type="dxa" w:w="1361"/>
          </w:tcPr>
          <w:p>
            <w:pPr>
              <w:spacing w:after="20"/>
            </w:pPr>
            <w:r/>
            <w:r>
              <w:rPr>
                <w:sz w:val="17"/>
              </w:rPr>
              <w:t>13.194</w:t>
            </w:r>
          </w:p>
        </w:tc>
        <w:tc>
          <w:tcPr>
            <w:tcW w:type="dxa" w:w="737"/>
          </w:tcPr>
          <w:p>
            <w:pPr>
              <w:spacing w:after="20"/>
            </w:pPr>
            <w:r/>
            <w:r>
              <w:rPr>
                <w:sz w:val="17"/>
              </w:rPr>
              <w:t>19,7%</w:t>
            </w:r>
          </w:p>
        </w:tc>
        <w:tc>
          <w:tcPr>
            <w:tcW w:type="dxa" w:w="1587"/>
          </w:tcPr>
          <w:p>
            <w:pPr>
              <w:spacing w:after="20"/>
            </w:pPr>
            <w:r/>
            <w:r>
              <w:rPr>
                <w:sz w:val="17"/>
              </w:rPr>
              <w:t>≈ 25</w:t>
            </w:r>
          </w:p>
        </w:tc>
        <w:tc>
          <w:tcPr>
            <w:tcW w:type="dxa" w:w="3855"/>
          </w:tcPr>
          <w:p>
            <w:pPr>
              <w:spacing w:after="20"/>
            </w:pPr>
            <w:r/>
            <w:r>
              <w:rPr>
                <w:sz w:val="17"/>
              </w:rPr>
              <w:t>Mal servicio en cualquier canal (call center, email, chat)</w:t>
            </w:r>
          </w:p>
        </w:tc>
      </w:tr>
      <w:tr>
        <w:tc>
          <w:tcPr>
            <w:tcW w:type="dxa" w:w="1814"/>
          </w:tcPr>
          <w:p>
            <w:pPr>
              <w:spacing w:after="20"/>
            </w:pPr>
            <w:r/>
            <w:r>
              <w:rPr>
                <w:b/>
                <w:sz w:val="17"/>
              </w:rPr>
              <w:t>Total</w:t>
            </w:r>
          </w:p>
        </w:tc>
        <w:tc>
          <w:tcPr>
            <w:tcW w:type="dxa" w:w="1361"/>
          </w:tcPr>
          <w:p>
            <w:pPr>
              <w:spacing w:after="20"/>
            </w:pPr>
            <w:r/>
            <w:r>
              <w:rPr>
                <w:b/>
                <w:sz w:val="17"/>
              </w:rPr>
              <w:t>67.095</w:t>
            </w:r>
          </w:p>
        </w:tc>
        <w:tc>
          <w:tcPr>
            <w:tcW w:type="dxa" w:w="737"/>
          </w:tcPr>
          <w:p>
            <w:pPr>
              <w:spacing w:after="20"/>
            </w:pPr>
            <w:r/>
            <w:r>
              <w:rPr>
                <w:b/>
                <w:sz w:val="17"/>
              </w:rPr>
              <w:t>100%</w:t>
            </w:r>
          </w:p>
        </w:tc>
        <w:tc>
          <w:tcPr>
            <w:tcW w:type="dxa" w:w="1587"/>
          </w:tcPr>
          <w:p>
            <w:pPr>
              <w:spacing w:after="20"/>
            </w:pPr>
            <w:r/>
            <w:r>
              <w:rPr>
                <w:b/>
                <w:sz w:val="17"/>
              </w:rPr>
              <w:t>124</w:t>
            </w:r>
          </w:p>
        </w:tc>
        <w:tc>
          <w:tcPr>
            <w:tcW w:type="dxa" w:w="3855"/>
          </w:tcPr>
          <w:p>
            <w:pPr>
              <w:spacing w:after="20"/>
            </w:pPr>
            <w:r/>
            <w:r>
              <w:rPr>
                <w:b/>
                <w:sz w:val="17"/>
              </w:rPr>
            </w:r>
          </w:p>
        </w:tc>
      </w:tr>
    </w:tbl>
    <w:p>
      <w:pPr>
        <w:spacing w:after="40"/>
      </w:pPr>
    </w:p>
    <w:p>
      <w:pPr>
        <w:shd w:val="clear" w:color="auto" w:fill="F2F2F2"/>
        <w:spacing w:after="160"/>
        <w:ind w:left="170"/>
      </w:pPr>
      <w:r>
        <w:rPr>
          <w:b/>
          <w:sz w:val="19"/>
        </w:rPr>
        <w:t xml:space="preserve">Supuesto: </w:t>
      </w:r>
      <w:r>
        <w:rPr>
          <w:i/>
          <w:sz w:val="19"/>
        </w:rPr>
        <w:t>*Supuesto: los 124 contactos diarios de queja siguen la misma mezcla que los casos formales (el 50% de los casos nace en el call center y las cinco subcategorías pesan igual). Se declara como estimación.</w:t>
      </w:r>
    </w:p>
    <w:p>
      <w:pPr>
        <w:pStyle w:val="Heading2"/>
      </w:pPr>
      <w:r>
        <w:t>2.1 Cada tipo, según lo que pide el cliente (tipo de caso)</w:t>
      </w:r>
    </w:p>
    <w:p>
      <w:r>
        <w:rPr>
          <w:b w:val="0"/>
          <w:i w:val="0"/>
        </w:rPr>
        <w:t>Dentro de cada tipo, el sistema PQR distingue qué pide el cliente. Esto sí cambia el tratamiento: una sugerencia no se investiga; un reclamo con dinero sí.</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928"/>
            <w:shd w:val="clear" w:color="auto" w:fill="D9E2F3"/>
          </w:tcPr>
          <w:p>
            <w:pPr>
              <w:spacing w:after="20"/>
            </w:pPr>
            <w:r/>
            <w:r>
              <w:rPr>
                <w:b/>
                <w:sz w:val="18"/>
              </w:rPr>
              <w:t>Tipo de queja</w:t>
            </w:r>
          </w:p>
        </w:tc>
        <w:tc>
          <w:tcPr>
            <w:tcW w:type="dxa" w:w="1587"/>
            <w:shd w:val="clear" w:color="auto" w:fill="D9E2F3"/>
          </w:tcPr>
          <w:p>
            <w:pPr>
              <w:spacing w:after="20"/>
            </w:pPr>
            <w:r/>
            <w:r>
              <w:rPr>
                <w:b/>
                <w:sz w:val="18"/>
              </w:rPr>
              <w:t>Queja (inconformidad)</w:t>
            </w:r>
          </w:p>
        </w:tc>
        <w:tc>
          <w:tcPr>
            <w:tcW w:type="dxa" w:w="1474"/>
            <w:shd w:val="clear" w:color="auto" w:fill="D9E2F3"/>
          </w:tcPr>
          <w:p>
            <w:pPr>
              <w:spacing w:after="20"/>
            </w:pPr>
            <w:r/>
            <w:r>
              <w:rPr>
                <w:b/>
                <w:sz w:val="18"/>
              </w:rPr>
              <w:t>Reclamo con dinero</w:t>
            </w:r>
          </w:p>
        </w:tc>
        <w:tc>
          <w:tcPr>
            <w:tcW w:type="dxa" w:w="1247"/>
            <w:shd w:val="clear" w:color="auto" w:fill="D9E2F3"/>
          </w:tcPr>
          <w:p>
            <w:pPr>
              <w:spacing w:after="20"/>
            </w:pPr>
            <w:r/>
            <w:r>
              <w:rPr>
                <w:b/>
                <w:sz w:val="18"/>
              </w:rPr>
              <w:t>Solicitud</w:t>
            </w:r>
          </w:p>
        </w:tc>
        <w:tc>
          <w:tcPr>
            <w:tcW w:type="dxa" w:w="1247"/>
            <w:shd w:val="clear" w:color="auto" w:fill="D9E2F3"/>
          </w:tcPr>
          <w:p>
            <w:pPr>
              <w:spacing w:after="20"/>
            </w:pPr>
            <w:r/>
            <w:r>
              <w:rPr>
                <w:b/>
                <w:sz w:val="18"/>
              </w:rPr>
              <w:t>Sugerencia</w:t>
            </w:r>
          </w:p>
        </w:tc>
        <w:tc>
          <w:tcPr>
            <w:tcW w:type="dxa" w:w="1134"/>
            <w:shd w:val="clear" w:color="auto" w:fill="D9E2F3"/>
          </w:tcPr>
          <w:p>
            <w:pPr>
              <w:spacing w:after="20"/>
            </w:pPr>
            <w:r/>
            <w:r>
              <w:rPr>
                <w:b/>
                <w:sz w:val="18"/>
              </w:rPr>
              <w:t>Total</w:t>
            </w:r>
          </w:p>
        </w:tc>
      </w:tr>
      <w:tr>
        <w:tc>
          <w:tcPr>
            <w:tcW w:type="dxa" w:w="1928"/>
          </w:tcPr>
          <w:p>
            <w:pPr>
              <w:spacing w:after="20"/>
            </w:pPr>
            <w:r/>
            <w:r>
              <w:rPr>
                <w:b/>
                <w:sz w:val="18"/>
              </w:rPr>
              <w:t>Cargo no reconocido</w:t>
            </w:r>
          </w:p>
        </w:tc>
        <w:tc>
          <w:tcPr>
            <w:tcW w:type="dxa" w:w="1587"/>
          </w:tcPr>
          <w:p>
            <w:pPr>
              <w:spacing w:after="20"/>
            </w:pPr>
            <w:r/>
            <w:r>
              <w:rPr>
                <w:sz w:val="18"/>
              </w:rPr>
              <w:t>8.239</w:t>
            </w:r>
          </w:p>
        </w:tc>
        <w:tc>
          <w:tcPr>
            <w:tcW w:type="dxa" w:w="1474"/>
          </w:tcPr>
          <w:p>
            <w:pPr>
              <w:spacing w:after="20"/>
            </w:pPr>
            <w:r/>
            <w:r>
              <w:rPr>
                <w:sz w:val="18"/>
              </w:rPr>
              <w:t>3.335</w:t>
            </w:r>
          </w:p>
        </w:tc>
        <w:tc>
          <w:tcPr>
            <w:tcW w:type="dxa" w:w="1247"/>
          </w:tcPr>
          <w:p>
            <w:pPr>
              <w:spacing w:after="20"/>
            </w:pPr>
            <w:r/>
            <w:r>
              <w:rPr>
                <w:sz w:val="18"/>
              </w:rPr>
              <w:t>1.329</w:t>
            </w:r>
          </w:p>
        </w:tc>
        <w:tc>
          <w:tcPr>
            <w:tcW w:type="dxa" w:w="1247"/>
          </w:tcPr>
          <w:p>
            <w:pPr>
              <w:spacing w:after="20"/>
            </w:pPr>
            <w:r/>
            <w:r>
              <w:rPr>
                <w:sz w:val="18"/>
              </w:rPr>
              <w:t>677</w:t>
            </w:r>
          </w:p>
        </w:tc>
        <w:tc>
          <w:tcPr>
            <w:tcW w:type="dxa" w:w="1134"/>
          </w:tcPr>
          <w:p>
            <w:pPr>
              <w:spacing w:after="20"/>
            </w:pPr>
            <w:r/>
            <w:r>
              <w:rPr>
                <w:sz w:val="18"/>
              </w:rPr>
              <w:t>13.580</w:t>
            </w:r>
          </w:p>
        </w:tc>
      </w:tr>
      <w:tr>
        <w:tc>
          <w:tcPr>
            <w:tcW w:type="dxa" w:w="1928"/>
          </w:tcPr>
          <w:p>
            <w:pPr>
              <w:spacing w:after="20"/>
            </w:pPr>
            <w:r/>
            <w:r>
              <w:rPr>
                <w:b/>
                <w:sz w:val="18"/>
              </w:rPr>
              <w:t>Cobro indebido</w:t>
            </w:r>
          </w:p>
        </w:tc>
        <w:tc>
          <w:tcPr>
            <w:tcW w:type="dxa" w:w="1587"/>
          </w:tcPr>
          <w:p>
            <w:pPr>
              <w:spacing w:after="20"/>
            </w:pPr>
            <w:r/>
            <w:r>
              <w:rPr>
                <w:sz w:val="18"/>
              </w:rPr>
              <w:t>8.171</w:t>
            </w:r>
          </w:p>
        </w:tc>
        <w:tc>
          <w:tcPr>
            <w:tcW w:type="dxa" w:w="1474"/>
          </w:tcPr>
          <w:p>
            <w:pPr>
              <w:spacing w:after="20"/>
            </w:pPr>
            <w:r/>
            <w:r>
              <w:rPr>
                <w:sz w:val="18"/>
              </w:rPr>
              <w:t>3.357</w:t>
            </w:r>
          </w:p>
        </w:tc>
        <w:tc>
          <w:tcPr>
            <w:tcW w:type="dxa" w:w="1247"/>
          </w:tcPr>
          <w:p>
            <w:pPr>
              <w:spacing w:after="20"/>
            </w:pPr>
            <w:r/>
            <w:r>
              <w:rPr>
                <w:sz w:val="18"/>
              </w:rPr>
              <w:t>1.367</w:t>
            </w:r>
          </w:p>
        </w:tc>
        <w:tc>
          <w:tcPr>
            <w:tcW w:type="dxa" w:w="1247"/>
          </w:tcPr>
          <w:p>
            <w:pPr>
              <w:spacing w:after="20"/>
            </w:pPr>
            <w:r/>
            <w:r>
              <w:rPr>
                <w:sz w:val="18"/>
              </w:rPr>
              <w:t>658</w:t>
            </w:r>
          </w:p>
        </w:tc>
        <w:tc>
          <w:tcPr>
            <w:tcW w:type="dxa" w:w="1134"/>
          </w:tcPr>
          <w:p>
            <w:pPr>
              <w:spacing w:after="20"/>
            </w:pPr>
            <w:r/>
            <w:r>
              <w:rPr>
                <w:sz w:val="18"/>
              </w:rPr>
              <w:t>13.553</w:t>
            </w:r>
          </w:p>
        </w:tc>
      </w:tr>
      <w:tr>
        <w:tc>
          <w:tcPr>
            <w:tcW w:type="dxa" w:w="1928"/>
          </w:tcPr>
          <w:p>
            <w:pPr>
              <w:spacing w:after="20"/>
            </w:pPr>
            <w:r/>
            <w:r>
              <w:rPr>
                <w:b/>
                <w:sz w:val="18"/>
              </w:rPr>
              <w:t>Problema con app</w:t>
            </w:r>
          </w:p>
        </w:tc>
        <w:tc>
          <w:tcPr>
            <w:tcW w:type="dxa" w:w="1587"/>
          </w:tcPr>
          <w:p>
            <w:pPr>
              <w:spacing w:after="20"/>
            </w:pPr>
            <w:r/>
            <w:r>
              <w:rPr>
                <w:sz w:val="18"/>
              </w:rPr>
              <w:t>8.120</w:t>
            </w:r>
          </w:p>
        </w:tc>
        <w:tc>
          <w:tcPr>
            <w:tcW w:type="dxa" w:w="1474"/>
          </w:tcPr>
          <w:p>
            <w:pPr>
              <w:spacing w:after="20"/>
            </w:pPr>
            <w:r/>
            <w:r>
              <w:rPr>
                <w:sz w:val="18"/>
              </w:rPr>
              <w:t>3.312</w:t>
            </w:r>
          </w:p>
        </w:tc>
        <w:tc>
          <w:tcPr>
            <w:tcW w:type="dxa" w:w="1247"/>
          </w:tcPr>
          <w:p>
            <w:pPr>
              <w:spacing w:after="20"/>
            </w:pPr>
            <w:r/>
            <w:r>
              <w:rPr>
                <w:sz w:val="18"/>
              </w:rPr>
              <w:t>1.335</w:t>
            </w:r>
          </w:p>
        </w:tc>
        <w:tc>
          <w:tcPr>
            <w:tcW w:type="dxa" w:w="1247"/>
          </w:tcPr>
          <w:p>
            <w:pPr>
              <w:spacing w:after="20"/>
            </w:pPr>
            <w:r/>
            <w:r>
              <w:rPr>
                <w:sz w:val="18"/>
              </w:rPr>
              <w:t>640</w:t>
            </w:r>
          </w:p>
        </w:tc>
        <w:tc>
          <w:tcPr>
            <w:tcW w:type="dxa" w:w="1134"/>
          </w:tcPr>
          <w:p>
            <w:pPr>
              <w:spacing w:after="20"/>
            </w:pPr>
            <w:r/>
            <w:r>
              <w:rPr>
                <w:sz w:val="18"/>
              </w:rPr>
              <w:t>13.407</w:t>
            </w:r>
          </w:p>
        </w:tc>
      </w:tr>
      <w:tr>
        <w:tc>
          <w:tcPr>
            <w:tcW w:type="dxa" w:w="1928"/>
          </w:tcPr>
          <w:p>
            <w:pPr>
              <w:spacing w:after="20"/>
            </w:pPr>
            <w:r/>
            <w:r>
              <w:rPr>
                <w:b/>
                <w:sz w:val="18"/>
              </w:rPr>
              <w:t>Atención en sucursal</w:t>
            </w:r>
          </w:p>
        </w:tc>
        <w:tc>
          <w:tcPr>
            <w:tcW w:type="dxa" w:w="1587"/>
          </w:tcPr>
          <w:p>
            <w:pPr>
              <w:spacing w:after="20"/>
            </w:pPr>
            <w:r/>
            <w:r>
              <w:rPr>
                <w:sz w:val="18"/>
              </w:rPr>
              <w:t>7.969</w:t>
            </w:r>
          </w:p>
        </w:tc>
        <w:tc>
          <w:tcPr>
            <w:tcW w:type="dxa" w:w="1474"/>
          </w:tcPr>
          <w:p>
            <w:pPr>
              <w:spacing w:after="20"/>
            </w:pPr>
            <w:r/>
            <w:r>
              <w:rPr>
                <w:sz w:val="18"/>
              </w:rPr>
              <w:t>3.355</w:t>
            </w:r>
          </w:p>
        </w:tc>
        <w:tc>
          <w:tcPr>
            <w:tcW w:type="dxa" w:w="1247"/>
          </w:tcPr>
          <w:p>
            <w:pPr>
              <w:spacing w:after="20"/>
            </w:pPr>
            <w:r/>
            <w:r>
              <w:rPr>
                <w:sz w:val="18"/>
              </w:rPr>
              <w:t>1.372</w:t>
            </w:r>
          </w:p>
        </w:tc>
        <w:tc>
          <w:tcPr>
            <w:tcW w:type="dxa" w:w="1247"/>
          </w:tcPr>
          <w:p>
            <w:pPr>
              <w:spacing w:after="20"/>
            </w:pPr>
            <w:r/>
            <w:r>
              <w:rPr>
                <w:sz w:val="18"/>
              </w:rPr>
              <w:t>665</w:t>
            </w:r>
          </w:p>
        </w:tc>
        <w:tc>
          <w:tcPr>
            <w:tcW w:type="dxa" w:w="1134"/>
          </w:tcPr>
          <w:p>
            <w:pPr>
              <w:spacing w:after="20"/>
            </w:pPr>
            <w:r/>
            <w:r>
              <w:rPr>
                <w:sz w:val="18"/>
              </w:rPr>
              <w:t>13.361</w:t>
            </w:r>
          </w:p>
        </w:tc>
      </w:tr>
      <w:tr>
        <w:tc>
          <w:tcPr>
            <w:tcW w:type="dxa" w:w="1928"/>
          </w:tcPr>
          <w:p>
            <w:pPr>
              <w:spacing w:after="20"/>
            </w:pPr>
            <w:r/>
            <w:r>
              <w:rPr>
                <w:b/>
                <w:sz w:val="18"/>
              </w:rPr>
              <w:t>Calidad de servicio</w:t>
            </w:r>
          </w:p>
        </w:tc>
        <w:tc>
          <w:tcPr>
            <w:tcW w:type="dxa" w:w="1587"/>
          </w:tcPr>
          <w:p>
            <w:pPr>
              <w:spacing w:after="20"/>
            </w:pPr>
            <w:r/>
            <w:r>
              <w:rPr>
                <w:sz w:val="18"/>
              </w:rPr>
              <w:t>7.953</w:t>
            </w:r>
          </w:p>
        </w:tc>
        <w:tc>
          <w:tcPr>
            <w:tcW w:type="dxa" w:w="1474"/>
          </w:tcPr>
          <w:p>
            <w:pPr>
              <w:spacing w:after="20"/>
            </w:pPr>
            <w:r/>
            <w:r>
              <w:rPr>
                <w:sz w:val="18"/>
              </w:rPr>
              <w:t>3.239</w:t>
            </w:r>
          </w:p>
        </w:tc>
        <w:tc>
          <w:tcPr>
            <w:tcW w:type="dxa" w:w="1247"/>
          </w:tcPr>
          <w:p>
            <w:pPr>
              <w:spacing w:after="20"/>
            </w:pPr>
            <w:r/>
            <w:r>
              <w:rPr>
                <w:sz w:val="18"/>
              </w:rPr>
              <w:t>1.358</w:t>
            </w:r>
          </w:p>
        </w:tc>
        <w:tc>
          <w:tcPr>
            <w:tcW w:type="dxa" w:w="1247"/>
          </w:tcPr>
          <w:p>
            <w:pPr>
              <w:spacing w:after="20"/>
            </w:pPr>
            <w:r/>
            <w:r>
              <w:rPr>
                <w:sz w:val="18"/>
              </w:rPr>
              <w:t>644</w:t>
            </w:r>
          </w:p>
        </w:tc>
        <w:tc>
          <w:tcPr>
            <w:tcW w:type="dxa" w:w="1134"/>
          </w:tcPr>
          <w:p>
            <w:pPr>
              <w:spacing w:after="20"/>
            </w:pPr>
            <w:r/>
            <w:r>
              <w:rPr>
                <w:sz w:val="18"/>
              </w:rPr>
              <w:t>13.194</w:t>
            </w:r>
          </w:p>
        </w:tc>
      </w:tr>
      <w:tr>
        <w:tc>
          <w:tcPr>
            <w:tcW w:type="dxa" w:w="1928"/>
          </w:tcPr>
          <w:p>
            <w:pPr>
              <w:spacing w:after="20"/>
            </w:pPr>
            <w:r/>
            <w:r>
              <w:rPr>
                <w:b/>
                <w:sz w:val="18"/>
              </w:rPr>
              <w:t>Total</w:t>
            </w:r>
          </w:p>
        </w:tc>
        <w:tc>
          <w:tcPr>
            <w:tcW w:type="dxa" w:w="1587"/>
          </w:tcPr>
          <w:p>
            <w:pPr>
              <w:spacing w:after="20"/>
            </w:pPr>
            <w:r/>
            <w:r>
              <w:rPr>
                <w:b/>
                <w:sz w:val="18"/>
              </w:rPr>
              <w:t>40.452 (60%)</w:t>
            </w:r>
          </w:p>
        </w:tc>
        <w:tc>
          <w:tcPr>
            <w:tcW w:type="dxa" w:w="1474"/>
          </w:tcPr>
          <w:p>
            <w:pPr>
              <w:spacing w:after="20"/>
            </w:pPr>
            <w:r/>
            <w:r>
              <w:rPr>
                <w:b/>
                <w:sz w:val="18"/>
              </w:rPr>
              <w:t>16.598 (25%)</w:t>
            </w:r>
          </w:p>
        </w:tc>
        <w:tc>
          <w:tcPr>
            <w:tcW w:type="dxa" w:w="1247"/>
          </w:tcPr>
          <w:p>
            <w:pPr>
              <w:spacing w:after="20"/>
            </w:pPr>
            <w:r/>
            <w:r>
              <w:rPr>
                <w:b/>
                <w:sz w:val="18"/>
              </w:rPr>
              <w:t>6.761 (10%)</w:t>
            </w:r>
          </w:p>
        </w:tc>
        <w:tc>
          <w:tcPr>
            <w:tcW w:type="dxa" w:w="1247"/>
          </w:tcPr>
          <w:p>
            <w:pPr>
              <w:spacing w:after="20"/>
            </w:pPr>
            <w:r/>
            <w:r>
              <w:rPr>
                <w:b/>
                <w:sz w:val="18"/>
              </w:rPr>
              <w:t>3.284 (5%)</w:t>
            </w:r>
          </w:p>
        </w:tc>
        <w:tc>
          <w:tcPr>
            <w:tcW w:type="dxa" w:w="1134"/>
          </w:tcPr>
          <w:p>
            <w:pPr>
              <w:spacing w:after="20"/>
            </w:pPr>
            <w:r/>
            <w:r>
              <w:rPr>
                <w:b/>
                <w:sz w:val="18"/>
              </w:rPr>
              <w:t>67.095</w:t>
            </w:r>
          </w:p>
        </w:tc>
      </w:tr>
    </w:tbl>
    <w:p>
      <w:pPr>
        <w:spacing w:after="40"/>
      </w:pPr>
    </w:p>
    <w:p>
      <w:pPr>
        <w:pStyle w:val="Heading2"/>
      </w:pPr>
      <w:r>
        <w:t>2.2 Cómo llega cada tipo y qué evidencia trae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928"/>
            <w:shd w:val="clear" w:color="auto" w:fill="D9E2F3"/>
          </w:tcPr>
          <w:p>
            <w:pPr>
              <w:spacing w:after="20"/>
            </w:pPr>
            <w:r/>
            <w:r>
              <w:rPr>
                <w:b/>
                <w:sz w:val="17"/>
              </w:rPr>
              <w:t>Tipo de queja</w:t>
            </w:r>
          </w:p>
        </w:tc>
        <w:tc>
          <w:tcPr>
            <w:tcW w:type="dxa" w:w="1304"/>
            <w:shd w:val="clear" w:color="auto" w:fill="D9E2F3"/>
          </w:tcPr>
          <w:p>
            <w:pPr>
              <w:spacing w:after="20"/>
            </w:pPr>
            <w:r/>
            <w:r>
              <w:rPr>
                <w:b/>
                <w:sz w:val="17"/>
              </w:rPr>
              <w:t>Trae monto</w:t>
            </w:r>
          </w:p>
        </w:tc>
        <w:tc>
          <w:tcPr>
            <w:tcW w:type="dxa" w:w="1304"/>
            <w:shd w:val="clear" w:color="auto" w:fill="D9E2F3"/>
          </w:tcPr>
          <w:p>
            <w:pPr>
              <w:spacing w:after="20"/>
            </w:pPr>
            <w:r/>
            <w:r>
              <w:rPr>
                <w:b/>
                <w:sz w:val="17"/>
              </w:rPr>
              <w:t>Trae producto</w:t>
            </w:r>
          </w:p>
        </w:tc>
        <w:tc>
          <w:tcPr>
            <w:tcW w:type="dxa" w:w="1474"/>
            <w:shd w:val="clear" w:color="auto" w:fill="D9E2F3"/>
          </w:tcPr>
          <w:p>
            <w:pPr>
              <w:spacing w:after="20"/>
            </w:pPr>
            <w:r/>
            <w:r>
              <w:rPr>
                <w:b/>
                <w:sz w:val="17"/>
              </w:rPr>
              <w:t>…y es de otro cliente</w:t>
            </w:r>
          </w:p>
        </w:tc>
        <w:tc>
          <w:tcPr>
            <w:tcW w:type="dxa" w:w="1304"/>
            <w:shd w:val="clear" w:color="auto" w:fill="D9E2F3"/>
          </w:tcPr>
          <w:p>
            <w:pPr>
              <w:spacing w:after="20"/>
            </w:pPr>
            <w:r/>
            <w:r>
              <w:rPr>
                <w:b/>
                <w:sz w:val="17"/>
              </w:rPr>
              <w:t>Trae sucursal</w:t>
            </w:r>
          </w:p>
        </w:tc>
        <w:tc>
          <w:tcPr>
            <w:tcW w:type="dxa" w:w="1361"/>
            <w:shd w:val="clear" w:color="auto" w:fill="D9E2F3"/>
          </w:tcPr>
          <w:p>
            <w:pPr>
              <w:spacing w:after="20"/>
            </w:pPr>
            <w:r/>
            <w:r>
              <w:rPr>
                <w:b/>
                <w:sz w:val="17"/>
              </w:rPr>
              <w:t>Texto libre</w:t>
            </w:r>
          </w:p>
        </w:tc>
      </w:tr>
      <w:tr>
        <w:tc>
          <w:tcPr>
            <w:tcW w:type="dxa" w:w="1928"/>
          </w:tcPr>
          <w:p>
            <w:pPr>
              <w:spacing w:after="20"/>
            </w:pPr>
            <w:r/>
            <w:r>
              <w:rPr>
                <w:b/>
                <w:sz w:val="17"/>
              </w:rPr>
              <w:t>Cargo no reconocido</w:t>
            </w:r>
          </w:p>
        </w:tc>
        <w:tc>
          <w:tcPr>
            <w:tcW w:type="dxa" w:w="1304"/>
          </w:tcPr>
          <w:p>
            <w:pPr>
              <w:spacing w:after="20"/>
            </w:pPr>
            <w:r/>
            <w:r>
              <w:rPr>
                <w:sz w:val="17"/>
              </w:rPr>
              <w:t>4.500 (33%)</w:t>
            </w:r>
          </w:p>
        </w:tc>
        <w:tc>
          <w:tcPr>
            <w:tcW w:type="dxa" w:w="1304"/>
          </w:tcPr>
          <w:p>
            <w:pPr>
              <w:spacing w:after="20"/>
            </w:pPr>
            <w:r/>
            <w:r>
              <w:rPr>
                <w:sz w:val="17"/>
              </w:rPr>
              <w:t>9.001 (66%)</w:t>
            </w:r>
          </w:p>
        </w:tc>
        <w:tc>
          <w:tcPr>
            <w:tcW w:type="dxa" w:w="1474"/>
          </w:tcPr>
          <w:p>
            <w:pPr>
              <w:spacing w:after="20"/>
            </w:pPr>
            <w:r/>
            <w:r>
              <w:rPr>
                <w:sz w:val="17"/>
              </w:rPr>
              <w:t>100%</w:t>
            </w:r>
          </w:p>
        </w:tc>
        <w:tc>
          <w:tcPr>
            <w:tcW w:type="dxa" w:w="1304"/>
          </w:tcPr>
          <w:p>
            <w:pPr>
              <w:spacing w:after="20"/>
            </w:pPr>
            <w:r/>
            <w:r>
              <w:rPr>
                <w:sz w:val="17"/>
              </w:rPr>
              <w:t>3.904 (29%)</w:t>
            </w:r>
          </w:p>
        </w:tc>
        <w:tc>
          <w:tcPr>
            <w:tcW w:type="dxa" w:w="1361"/>
          </w:tcPr>
          <w:p>
            <w:pPr>
              <w:spacing w:after="20"/>
            </w:pPr>
            <w:r/>
            <w:r>
              <w:rPr>
                <w:sz w:val="17"/>
              </w:rPr>
              <w:t>No (plantilla)</w:t>
            </w:r>
          </w:p>
        </w:tc>
      </w:tr>
      <w:tr>
        <w:tc>
          <w:tcPr>
            <w:tcW w:type="dxa" w:w="1928"/>
          </w:tcPr>
          <w:p>
            <w:pPr>
              <w:spacing w:after="20"/>
            </w:pPr>
            <w:r/>
            <w:r>
              <w:rPr>
                <w:b/>
                <w:sz w:val="17"/>
              </w:rPr>
              <w:t>Cobro indebido</w:t>
            </w:r>
          </w:p>
        </w:tc>
        <w:tc>
          <w:tcPr>
            <w:tcW w:type="dxa" w:w="1304"/>
          </w:tcPr>
          <w:p>
            <w:pPr>
              <w:spacing w:after="20"/>
            </w:pPr>
            <w:r/>
            <w:r>
              <w:rPr>
                <w:sz w:val="17"/>
              </w:rPr>
              <w:t>4.457 (33%)</w:t>
            </w:r>
          </w:p>
        </w:tc>
        <w:tc>
          <w:tcPr>
            <w:tcW w:type="dxa" w:w="1304"/>
          </w:tcPr>
          <w:p>
            <w:pPr>
              <w:spacing w:after="20"/>
            </w:pPr>
            <w:r/>
            <w:r>
              <w:rPr>
                <w:sz w:val="17"/>
              </w:rPr>
              <w:t>9.019 (67%)</w:t>
            </w:r>
          </w:p>
        </w:tc>
        <w:tc>
          <w:tcPr>
            <w:tcW w:type="dxa" w:w="1474"/>
          </w:tcPr>
          <w:p>
            <w:pPr>
              <w:spacing w:after="20"/>
            </w:pPr>
            <w:r/>
            <w:r>
              <w:rPr>
                <w:sz w:val="17"/>
              </w:rPr>
              <w:t>100%</w:t>
            </w:r>
          </w:p>
        </w:tc>
        <w:tc>
          <w:tcPr>
            <w:tcW w:type="dxa" w:w="1304"/>
          </w:tcPr>
          <w:p>
            <w:pPr>
              <w:spacing w:after="20"/>
            </w:pPr>
            <w:r/>
            <w:r>
              <w:rPr>
                <w:sz w:val="17"/>
              </w:rPr>
              <w:t>3.918 (29%)</w:t>
            </w:r>
          </w:p>
        </w:tc>
        <w:tc>
          <w:tcPr>
            <w:tcW w:type="dxa" w:w="1361"/>
          </w:tcPr>
          <w:p>
            <w:pPr>
              <w:spacing w:after="20"/>
            </w:pPr>
            <w:r/>
            <w:r>
              <w:rPr>
                <w:sz w:val="17"/>
              </w:rPr>
              <w:t>No (plantilla)</w:t>
            </w:r>
          </w:p>
        </w:tc>
      </w:tr>
      <w:tr>
        <w:tc>
          <w:tcPr>
            <w:tcW w:type="dxa" w:w="1928"/>
          </w:tcPr>
          <w:p>
            <w:pPr>
              <w:spacing w:after="20"/>
            </w:pPr>
            <w:r/>
            <w:r>
              <w:rPr>
                <w:b/>
                <w:sz w:val="17"/>
              </w:rPr>
              <w:t>Problema con app</w:t>
            </w:r>
          </w:p>
        </w:tc>
        <w:tc>
          <w:tcPr>
            <w:tcW w:type="dxa" w:w="1304"/>
          </w:tcPr>
          <w:p>
            <w:pPr>
              <w:spacing w:after="20"/>
            </w:pPr>
            <w:r/>
            <w:r>
              <w:rPr>
                <w:sz w:val="17"/>
              </w:rPr>
              <w:t>4.352 (32%)</w:t>
            </w:r>
          </w:p>
        </w:tc>
        <w:tc>
          <w:tcPr>
            <w:tcW w:type="dxa" w:w="1304"/>
          </w:tcPr>
          <w:p>
            <w:pPr>
              <w:spacing w:after="20"/>
            </w:pPr>
            <w:r/>
            <w:r>
              <w:rPr>
                <w:sz w:val="17"/>
              </w:rPr>
              <w:t>8.905 (66%)</w:t>
            </w:r>
          </w:p>
        </w:tc>
        <w:tc>
          <w:tcPr>
            <w:tcW w:type="dxa" w:w="1474"/>
          </w:tcPr>
          <w:p>
            <w:pPr>
              <w:spacing w:after="20"/>
            </w:pPr>
            <w:r/>
            <w:r>
              <w:rPr>
                <w:sz w:val="17"/>
              </w:rPr>
              <w:t>100%</w:t>
            </w:r>
          </w:p>
        </w:tc>
        <w:tc>
          <w:tcPr>
            <w:tcW w:type="dxa" w:w="1304"/>
          </w:tcPr>
          <w:p>
            <w:pPr>
              <w:spacing w:after="20"/>
            </w:pPr>
            <w:r/>
            <w:r>
              <w:rPr>
                <w:sz w:val="17"/>
              </w:rPr>
              <w:t>3.802 (28%)</w:t>
            </w:r>
          </w:p>
        </w:tc>
        <w:tc>
          <w:tcPr>
            <w:tcW w:type="dxa" w:w="1361"/>
          </w:tcPr>
          <w:p>
            <w:pPr>
              <w:spacing w:after="20"/>
            </w:pPr>
            <w:r/>
            <w:r>
              <w:rPr>
                <w:sz w:val="17"/>
              </w:rPr>
              <w:t>No (plantilla)</w:t>
            </w:r>
          </w:p>
        </w:tc>
      </w:tr>
      <w:tr>
        <w:tc>
          <w:tcPr>
            <w:tcW w:type="dxa" w:w="1928"/>
          </w:tcPr>
          <w:p>
            <w:pPr>
              <w:spacing w:after="20"/>
            </w:pPr>
            <w:r/>
            <w:r>
              <w:rPr>
                <w:b/>
                <w:sz w:val="17"/>
              </w:rPr>
              <w:t>Atención en sucursal</w:t>
            </w:r>
          </w:p>
        </w:tc>
        <w:tc>
          <w:tcPr>
            <w:tcW w:type="dxa" w:w="1304"/>
          </w:tcPr>
          <w:p>
            <w:pPr>
              <w:spacing w:after="20"/>
            </w:pPr>
            <w:r/>
            <w:r>
              <w:rPr>
                <w:sz w:val="17"/>
              </w:rPr>
              <w:t>4.223 (32%)</w:t>
            </w:r>
          </w:p>
        </w:tc>
        <w:tc>
          <w:tcPr>
            <w:tcW w:type="dxa" w:w="1304"/>
          </w:tcPr>
          <w:p>
            <w:pPr>
              <w:spacing w:after="20"/>
            </w:pPr>
            <w:r/>
            <w:r>
              <w:rPr>
                <w:sz w:val="17"/>
              </w:rPr>
              <w:t>8.808 (66%)</w:t>
            </w:r>
          </w:p>
        </w:tc>
        <w:tc>
          <w:tcPr>
            <w:tcW w:type="dxa" w:w="1474"/>
          </w:tcPr>
          <w:p>
            <w:pPr>
              <w:spacing w:after="20"/>
            </w:pPr>
            <w:r/>
            <w:r>
              <w:rPr>
                <w:sz w:val="17"/>
              </w:rPr>
              <w:t>100%</w:t>
            </w:r>
          </w:p>
        </w:tc>
        <w:tc>
          <w:tcPr>
            <w:tcW w:type="dxa" w:w="1304"/>
          </w:tcPr>
          <w:p>
            <w:pPr>
              <w:spacing w:after="20"/>
            </w:pPr>
            <w:r/>
            <w:r>
              <w:rPr>
                <w:sz w:val="17"/>
              </w:rPr>
              <w:t>3.816 (29%)</w:t>
            </w:r>
          </w:p>
        </w:tc>
        <w:tc>
          <w:tcPr>
            <w:tcW w:type="dxa" w:w="1361"/>
          </w:tcPr>
          <w:p>
            <w:pPr>
              <w:spacing w:after="20"/>
            </w:pPr>
            <w:r/>
            <w:r>
              <w:rPr>
                <w:sz w:val="17"/>
              </w:rPr>
              <w:t>No (plantilla)</w:t>
            </w:r>
          </w:p>
        </w:tc>
      </w:tr>
      <w:tr>
        <w:tc>
          <w:tcPr>
            <w:tcW w:type="dxa" w:w="1928"/>
          </w:tcPr>
          <w:p>
            <w:pPr>
              <w:spacing w:after="20"/>
            </w:pPr>
            <w:r/>
            <w:r>
              <w:rPr>
                <w:b/>
                <w:sz w:val="17"/>
              </w:rPr>
              <w:t>Calidad de servicio</w:t>
            </w:r>
          </w:p>
        </w:tc>
        <w:tc>
          <w:tcPr>
            <w:tcW w:type="dxa" w:w="1304"/>
          </w:tcPr>
          <w:p>
            <w:pPr>
              <w:spacing w:after="20"/>
            </w:pPr>
            <w:r/>
            <w:r>
              <w:rPr>
                <w:sz w:val="17"/>
              </w:rPr>
              <w:t>4.219 (32%)</w:t>
            </w:r>
          </w:p>
        </w:tc>
        <w:tc>
          <w:tcPr>
            <w:tcW w:type="dxa" w:w="1304"/>
          </w:tcPr>
          <w:p>
            <w:pPr>
              <w:spacing w:after="20"/>
            </w:pPr>
            <w:r/>
            <w:r>
              <w:rPr>
                <w:sz w:val="17"/>
              </w:rPr>
              <w:t>8.837 (67%)</w:t>
            </w:r>
          </w:p>
        </w:tc>
        <w:tc>
          <w:tcPr>
            <w:tcW w:type="dxa" w:w="1474"/>
          </w:tcPr>
          <w:p>
            <w:pPr>
              <w:spacing w:after="20"/>
            </w:pPr>
            <w:r/>
            <w:r>
              <w:rPr>
                <w:sz w:val="17"/>
              </w:rPr>
              <w:t>100%</w:t>
            </w:r>
          </w:p>
        </w:tc>
        <w:tc>
          <w:tcPr>
            <w:tcW w:type="dxa" w:w="1304"/>
          </w:tcPr>
          <w:p>
            <w:pPr>
              <w:spacing w:after="20"/>
            </w:pPr>
            <w:r/>
            <w:r>
              <w:rPr>
                <w:sz w:val="17"/>
              </w:rPr>
              <w:t>3.738 (28%)</w:t>
            </w:r>
          </w:p>
        </w:tc>
        <w:tc>
          <w:tcPr>
            <w:tcW w:type="dxa" w:w="1361"/>
          </w:tcPr>
          <w:p>
            <w:pPr>
              <w:spacing w:after="20"/>
            </w:pPr>
            <w:r/>
            <w:r>
              <w:rPr>
                <w:sz w:val="17"/>
              </w:rPr>
              <w:t>No (plantilla)</w:t>
            </w:r>
          </w:p>
        </w:tc>
      </w:tr>
    </w:tbl>
    <w:p>
      <w:pPr>
        <w:spacing w:after="40"/>
      </w:pPr>
    </w:p>
    <w:p>
      <w:r>
        <w:rPr>
          <w:b w:val="0"/>
          <w:i w:val="0"/>
        </w:rPr>
        <w:t>Montos reclamados (20.711 con monto, en USD): mediana 14, un cuarto supera 285, máximo 5.000; 4.723 superan 500 USD. Igual en los cinco tipos.</w:t>
      </w:r>
    </w:p>
    <w:p>
      <w:r>
        <w:rPr>
          <w:b/>
          <w:i w:val="0"/>
        </w:rPr>
        <w:t xml:space="preserve">Lo que esto significa para el tratamiento: </w:t>
      </w:r>
      <w:r>
        <w:t>ninguna queja llega con evidencia utilizable. El sistema tiene que construirla en la conversación y contra las tablas del cliente (sección 3, paso 'verificar').</w:t>
      </w:r>
    </w:p>
    <w:p>
      <w:pPr>
        <w:pStyle w:val="Heading2"/>
      </w:pPr>
      <w:r>
        <w:t>2.3 Qué pasa hoy con cada tipo (estado y criterios de urgencia)</w:t>
      </w:r>
    </w:p>
    <w:tbl>
      <w:tblPr>
        <w:tblStyle w:val="TableGrid"/>
        <w:tblW w:type="auto" w:w="0"/>
        <w:jc w:val="center"/>
        <w:tblLayout w:type="fixed"/>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1474"/>
            <w:shd w:val="clear" w:color="auto" w:fill="D9E2F3"/>
          </w:tcPr>
          <w:p>
            <w:pPr>
              <w:spacing w:after="20"/>
            </w:pPr>
            <w:r/>
            <w:r>
              <w:rPr>
                <w:b/>
                <w:sz w:val="15"/>
              </w:rPr>
              <w:t>Tipo de queja</w:t>
            </w:r>
          </w:p>
        </w:tc>
        <w:tc>
          <w:tcPr>
            <w:tcW w:type="dxa" w:w="794"/>
            <w:shd w:val="clear" w:color="auto" w:fill="D9E2F3"/>
          </w:tcPr>
          <w:p>
            <w:pPr>
              <w:spacing w:after="20"/>
            </w:pPr>
            <w:r/>
            <w:r>
              <w:rPr>
                <w:b/>
                <w:sz w:val="15"/>
              </w:rPr>
              <w:t>Nunca asignado</w:t>
            </w:r>
          </w:p>
        </w:tc>
        <w:tc>
          <w:tcPr>
            <w:tcW w:type="dxa" w:w="737"/>
            <w:shd w:val="clear" w:color="auto" w:fill="D9E2F3"/>
          </w:tcPr>
          <w:p>
            <w:pPr>
              <w:spacing w:after="20"/>
            </w:pPr>
            <w:r/>
            <w:r>
              <w:rPr>
                <w:b/>
                <w:sz w:val="15"/>
              </w:rPr>
              <w:t>En proceso</w:t>
            </w:r>
          </w:p>
        </w:tc>
        <w:tc>
          <w:tcPr>
            <w:tcW w:type="dxa" w:w="737"/>
            <w:shd w:val="clear" w:color="auto" w:fill="D9E2F3"/>
          </w:tcPr>
          <w:p>
            <w:pPr>
              <w:spacing w:after="20"/>
            </w:pPr>
            <w:r/>
            <w:r>
              <w:rPr>
                <w:b/>
                <w:sz w:val="15"/>
              </w:rPr>
              <w:t>Escalado</w:t>
            </w:r>
          </w:p>
        </w:tc>
        <w:tc>
          <w:tcPr>
            <w:tcW w:type="dxa" w:w="850"/>
            <w:shd w:val="clear" w:color="auto" w:fill="D9E2F3"/>
          </w:tcPr>
          <w:p>
            <w:pPr>
              <w:spacing w:after="20"/>
            </w:pPr>
            <w:r/>
            <w:r>
              <w:rPr>
                <w:b/>
                <w:sz w:val="15"/>
              </w:rPr>
              <w:t>Resuelto o cerrado</w:t>
            </w:r>
          </w:p>
        </w:tc>
        <w:tc>
          <w:tcPr>
            <w:tcW w:type="dxa" w:w="737"/>
            <w:shd w:val="clear" w:color="auto" w:fill="D9E2F3"/>
          </w:tcPr>
          <w:p>
            <w:pPr>
              <w:spacing w:after="20"/>
            </w:pPr>
            <w:r/>
            <w:r>
              <w:rPr>
                <w:b/>
                <w:sz w:val="15"/>
              </w:rPr>
              <w:t>Rechazado</w:t>
            </w:r>
          </w:p>
        </w:tc>
        <w:tc>
          <w:tcPr>
            <w:tcW w:type="dxa" w:w="737"/>
            <w:shd w:val="clear" w:color="auto" w:fill="D9E2F3"/>
          </w:tcPr>
          <w:p>
            <w:pPr>
              <w:spacing w:after="20"/>
            </w:pPr>
            <w:r/>
            <w:r>
              <w:rPr>
                <w:b/>
                <w:sz w:val="15"/>
              </w:rPr>
              <w:t>Fuera de SLA</w:t>
            </w:r>
          </w:p>
        </w:tc>
        <w:tc>
          <w:tcPr>
            <w:tcW w:type="dxa" w:w="737"/>
            <w:shd w:val="clear" w:color="auto" w:fill="D9E2F3"/>
          </w:tcPr>
          <w:p>
            <w:pPr>
              <w:spacing w:after="20"/>
            </w:pPr>
            <w:r/>
            <w:r>
              <w:rPr>
                <w:b/>
                <w:sz w:val="15"/>
              </w:rPr>
              <w:t>Vía regulador</w:t>
            </w:r>
          </w:p>
        </w:tc>
        <w:tc>
          <w:tcPr>
            <w:tcW w:type="dxa" w:w="850"/>
            <w:shd w:val="clear" w:color="auto" w:fill="D9E2F3"/>
          </w:tcPr>
          <w:p>
            <w:pPr>
              <w:spacing w:after="20"/>
            </w:pPr>
            <w:r/>
            <w:r>
              <w:rPr>
                <w:b/>
                <w:sz w:val="15"/>
              </w:rPr>
              <w:t>Reincidente (campo)</w:t>
            </w:r>
          </w:p>
        </w:tc>
        <w:tc>
          <w:tcPr>
            <w:tcW w:type="dxa" w:w="624"/>
            <w:shd w:val="clear" w:color="auto" w:fill="D9E2F3"/>
          </w:tcPr>
          <w:p>
            <w:pPr>
              <w:spacing w:after="20"/>
            </w:pPr>
            <w:r/>
            <w:r>
              <w:rPr>
                <w:b/>
                <w:sz w:val="15"/>
              </w:rPr>
              <w:t>Crítico</w:t>
            </w:r>
          </w:p>
        </w:tc>
        <w:tc>
          <w:tcPr>
            <w:tcW w:type="dxa" w:w="680"/>
            <w:shd w:val="clear" w:color="auto" w:fill="D9E2F3"/>
          </w:tcPr>
          <w:p>
            <w:pPr>
              <w:spacing w:after="20"/>
            </w:pPr>
            <w:r/>
            <w:r>
              <w:rPr>
                <w:b/>
                <w:sz w:val="15"/>
              </w:rPr>
              <w:t>&gt; 500 USD</w:t>
            </w:r>
          </w:p>
        </w:tc>
      </w:tr>
      <w:tr>
        <w:tc>
          <w:tcPr>
            <w:tcW w:type="dxa" w:w="1474"/>
          </w:tcPr>
          <w:p>
            <w:pPr>
              <w:spacing w:after="20"/>
            </w:pPr>
            <w:r/>
            <w:r>
              <w:rPr>
                <w:b/>
                <w:sz w:val="15"/>
              </w:rPr>
              <w:t>Cargo no reconocido</w:t>
            </w:r>
          </w:p>
        </w:tc>
        <w:tc>
          <w:tcPr>
            <w:tcW w:type="dxa" w:w="794"/>
          </w:tcPr>
          <w:p>
            <w:pPr>
              <w:spacing w:after="20"/>
            </w:pPr>
            <w:r/>
            <w:r>
              <w:rPr>
                <w:sz w:val="15"/>
              </w:rPr>
              <w:t>4.040</w:t>
            </w:r>
          </w:p>
        </w:tc>
        <w:tc>
          <w:tcPr>
            <w:tcW w:type="dxa" w:w="737"/>
          </w:tcPr>
          <w:p>
            <w:pPr>
              <w:spacing w:after="20"/>
            </w:pPr>
            <w:r/>
            <w:r>
              <w:rPr>
                <w:sz w:val="15"/>
              </w:rPr>
              <w:t>5.407</w:t>
            </w:r>
          </w:p>
        </w:tc>
        <w:tc>
          <w:tcPr>
            <w:tcW w:type="dxa" w:w="737"/>
          </w:tcPr>
          <w:p>
            <w:pPr>
              <w:spacing w:after="20"/>
            </w:pPr>
            <w:r/>
            <w:r>
              <w:rPr>
                <w:sz w:val="15"/>
              </w:rPr>
              <w:t>677</w:t>
            </w:r>
          </w:p>
        </w:tc>
        <w:tc>
          <w:tcPr>
            <w:tcW w:type="dxa" w:w="850"/>
          </w:tcPr>
          <w:p>
            <w:pPr>
              <w:spacing w:after="20"/>
            </w:pPr>
            <w:r/>
            <w:r>
              <w:rPr>
                <w:sz w:val="15"/>
              </w:rPr>
              <w:t>3.331</w:t>
            </w:r>
          </w:p>
        </w:tc>
        <w:tc>
          <w:tcPr>
            <w:tcW w:type="dxa" w:w="737"/>
          </w:tcPr>
          <w:p>
            <w:pPr>
              <w:spacing w:after="20"/>
            </w:pPr>
            <w:r/>
            <w:r>
              <w:rPr>
                <w:sz w:val="15"/>
              </w:rPr>
              <w:t>125</w:t>
            </w:r>
          </w:p>
        </w:tc>
        <w:tc>
          <w:tcPr>
            <w:tcW w:type="dxa" w:w="737"/>
          </w:tcPr>
          <w:p>
            <w:pPr>
              <w:spacing w:after="20"/>
            </w:pPr>
            <w:r/>
            <w:r>
              <w:rPr>
                <w:sz w:val="15"/>
              </w:rPr>
              <w:t>2.739</w:t>
            </w:r>
          </w:p>
        </w:tc>
        <w:tc>
          <w:tcPr>
            <w:tcW w:type="dxa" w:w="737"/>
          </w:tcPr>
          <w:p>
            <w:pPr>
              <w:spacing w:after="20"/>
            </w:pPr>
            <w:r/>
            <w:r>
              <w:rPr>
                <w:sz w:val="15"/>
              </w:rPr>
              <w:t>156</w:t>
            </w:r>
          </w:p>
        </w:tc>
        <w:tc>
          <w:tcPr>
            <w:tcW w:type="dxa" w:w="850"/>
          </w:tcPr>
          <w:p>
            <w:pPr>
              <w:spacing w:after="20"/>
            </w:pPr>
            <w:r/>
            <w:r>
              <w:rPr>
                <w:sz w:val="15"/>
              </w:rPr>
              <w:t>1.992</w:t>
            </w:r>
          </w:p>
        </w:tc>
        <w:tc>
          <w:tcPr>
            <w:tcW w:type="dxa" w:w="624"/>
          </w:tcPr>
          <w:p>
            <w:pPr>
              <w:spacing w:after="20"/>
            </w:pPr>
            <w:r/>
            <w:r>
              <w:rPr>
                <w:sz w:val="15"/>
              </w:rPr>
              <w:t>644</w:t>
            </w:r>
          </w:p>
        </w:tc>
        <w:tc>
          <w:tcPr>
            <w:tcW w:type="dxa" w:w="680"/>
          </w:tcPr>
          <w:p>
            <w:pPr>
              <w:spacing w:after="20"/>
            </w:pPr>
            <w:r/>
            <w:r>
              <w:rPr>
                <w:sz w:val="15"/>
              </w:rPr>
              <w:t>985</w:t>
            </w:r>
          </w:p>
        </w:tc>
      </w:tr>
      <w:tr>
        <w:tc>
          <w:tcPr>
            <w:tcW w:type="dxa" w:w="1474"/>
          </w:tcPr>
          <w:p>
            <w:pPr>
              <w:spacing w:after="20"/>
            </w:pPr>
            <w:r/>
            <w:r>
              <w:rPr>
                <w:b/>
                <w:sz w:val="15"/>
              </w:rPr>
              <w:t>Cobro indebido</w:t>
            </w:r>
          </w:p>
        </w:tc>
        <w:tc>
          <w:tcPr>
            <w:tcW w:type="dxa" w:w="794"/>
          </w:tcPr>
          <w:p>
            <w:pPr>
              <w:spacing w:after="20"/>
            </w:pPr>
            <w:r/>
            <w:r>
              <w:rPr>
                <w:sz w:val="15"/>
              </w:rPr>
              <w:t>4.028</w:t>
            </w:r>
          </w:p>
        </w:tc>
        <w:tc>
          <w:tcPr>
            <w:tcW w:type="dxa" w:w="737"/>
          </w:tcPr>
          <w:p>
            <w:pPr>
              <w:spacing w:after="20"/>
            </w:pPr>
            <w:r/>
            <w:r>
              <w:rPr>
                <w:sz w:val="15"/>
              </w:rPr>
              <w:t>5.468</w:t>
            </w:r>
          </w:p>
        </w:tc>
        <w:tc>
          <w:tcPr>
            <w:tcW w:type="dxa" w:w="737"/>
          </w:tcPr>
          <w:p>
            <w:pPr>
              <w:spacing w:after="20"/>
            </w:pPr>
            <w:r/>
            <w:r>
              <w:rPr>
                <w:sz w:val="15"/>
              </w:rPr>
              <w:t>700</w:t>
            </w:r>
          </w:p>
        </w:tc>
        <w:tc>
          <w:tcPr>
            <w:tcW w:type="dxa" w:w="850"/>
          </w:tcPr>
          <w:p>
            <w:pPr>
              <w:spacing w:after="20"/>
            </w:pPr>
            <w:r/>
            <w:r>
              <w:rPr>
                <w:sz w:val="15"/>
              </w:rPr>
              <w:t>3.224</w:t>
            </w:r>
          </w:p>
        </w:tc>
        <w:tc>
          <w:tcPr>
            <w:tcW w:type="dxa" w:w="737"/>
          </w:tcPr>
          <w:p>
            <w:pPr>
              <w:spacing w:after="20"/>
            </w:pPr>
            <w:r/>
            <w:r>
              <w:rPr>
                <w:sz w:val="15"/>
              </w:rPr>
              <w:t>133</w:t>
            </w:r>
          </w:p>
        </w:tc>
        <w:tc>
          <w:tcPr>
            <w:tcW w:type="dxa" w:w="737"/>
          </w:tcPr>
          <w:p>
            <w:pPr>
              <w:spacing w:after="20"/>
            </w:pPr>
            <w:r/>
            <w:r>
              <w:rPr>
                <w:sz w:val="15"/>
              </w:rPr>
              <w:t>2.680</w:t>
            </w:r>
          </w:p>
        </w:tc>
        <w:tc>
          <w:tcPr>
            <w:tcW w:type="dxa" w:w="737"/>
          </w:tcPr>
          <w:p>
            <w:pPr>
              <w:spacing w:after="20"/>
            </w:pPr>
            <w:r/>
            <w:r>
              <w:rPr>
                <w:sz w:val="15"/>
              </w:rPr>
              <w:t>140</w:t>
            </w:r>
          </w:p>
        </w:tc>
        <w:tc>
          <w:tcPr>
            <w:tcW w:type="dxa" w:w="850"/>
          </w:tcPr>
          <w:p>
            <w:pPr>
              <w:spacing w:after="20"/>
            </w:pPr>
            <w:r/>
            <w:r>
              <w:rPr>
                <w:sz w:val="15"/>
              </w:rPr>
              <w:t>2.064</w:t>
            </w:r>
          </w:p>
        </w:tc>
        <w:tc>
          <w:tcPr>
            <w:tcW w:type="dxa" w:w="624"/>
          </w:tcPr>
          <w:p>
            <w:pPr>
              <w:spacing w:after="20"/>
            </w:pPr>
            <w:r/>
            <w:r>
              <w:rPr>
                <w:sz w:val="15"/>
              </w:rPr>
              <w:t>686</w:t>
            </w:r>
          </w:p>
        </w:tc>
        <w:tc>
          <w:tcPr>
            <w:tcW w:type="dxa" w:w="680"/>
          </w:tcPr>
          <w:p>
            <w:pPr>
              <w:spacing w:after="20"/>
            </w:pPr>
            <w:r/>
            <w:r>
              <w:rPr>
                <w:sz w:val="15"/>
              </w:rPr>
              <w:t>980</w:t>
            </w:r>
          </w:p>
        </w:tc>
      </w:tr>
      <w:tr>
        <w:tc>
          <w:tcPr>
            <w:tcW w:type="dxa" w:w="1474"/>
          </w:tcPr>
          <w:p>
            <w:pPr>
              <w:spacing w:after="20"/>
            </w:pPr>
            <w:r/>
            <w:r>
              <w:rPr>
                <w:b/>
                <w:sz w:val="15"/>
              </w:rPr>
              <w:t>Problema con app</w:t>
            </w:r>
          </w:p>
        </w:tc>
        <w:tc>
          <w:tcPr>
            <w:tcW w:type="dxa" w:w="794"/>
          </w:tcPr>
          <w:p>
            <w:pPr>
              <w:spacing w:after="20"/>
            </w:pPr>
            <w:r/>
            <w:r>
              <w:rPr>
                <w:sz w:val="15"/>
              </w:rPr>
              <w:t>3.997</w:t>
            </w:r>
          </w:p>
        </w:tc>
        <w:tc>
          <w:tcPr>
            <w:tcW w:type="dxa" w:w="737"/>
          </w:tcPr>
          <w:p>
            <w:pPr>
              <w:spacing w:after="20"/>
            </w:pPr>
            <w:r/>
            <w:r>
              <w:rPr>
                <w:sz w:val="15"/>
              </w:rPr>
              <w:t>5.419</w:t>
            </w:r>
          </w:p>
        </w:tc>
        <w:tc>
          <w:tcPr>
            <w:tcW w:type="dxa" w:w="737"/>
          </w:tcPr>
          <w:p>
            <w:pPr>
              <w:spacing w:after="20"/>
            </w:pPr>
            <w:r/>
            <w:r>
              <w:rPr>
                <w:sz w:val="15"/>
              </w:rPr>
              <w:t>653</w:t>
            </w:r>
          </w:p>
        </w:tc>
        <w:tc>
          <w:tcPr>
            <w:tcW w:type="dxa" w:w="850"/>
          </w:tcPr>
          <w:p>
            <w:pPr>
              <w:spacing w:after="20"/>
            </w:pPr>
            <w:r/>
            <w:r>
              <w:rPr>
                <w:sz w:val="15"/>
              </w:rPr>
              <w:t>3.198</w:t>
            </w:r>
          </w:p>
        </w:tc>
        <w:tc>
          <w:tcPr>
            <w:tcW w:type="dxa" w:w="737"/>
          </w:tcPr>
          <w:p>
            <w:pPr>
              <w:spacing w:after="20"/>
            </w:pPr>
            <w:r/>
            <w:r>
              <w:rPr>
                <w:sz w:val="15"/>
              </w:rPr>
              <w:t>140</w:t>
            </w:r>
          </w:p>
        </w:tc>
        <w:tc>
          <w:tcPr>
            <w:tcW w:type="dxa" w:w="737"/>
          </w:tcPr>
          <w:p>
            <w:pPr>
              <w:spacing w:after="20"/>
            </w:pPr>
            <w:r/>
            <w:r>
              <w:rPr>
                <w:sz w:val="15"/>
              </w:rPr>
              <w:t>2.681</w:t>
            </w:r>
          </w:p>
        </w:tc>
        <w:tc>
          <w:tcPr>
            <w:tcW w:type="dxa" w:w="737"/>
          </w:tcPr>
          <w:p>
            <w:pPr>
              <w:spacing w:after="20"/>
            </w:pPr>
            <w:r/>
            <w:r>
              <w:rPr>
                <w:sz w:val="15"/>
              </w:rPr>
              <w:t>130</w:t>
            </w:r>
          </w:p>
        </w:tc>
        <w:tc>
          <w:tcPr>
            <w:tcW w:type="dxa" w:w="850"/>
          </w:tcPr>
          <w:p>
            <w:pPr>
              <w:spacing w:after="20"/>
            </w:pPr>
            <w:r/>
            <w:r>
              <w:rPr>
                <w:sz w:val="15"/>
              </w:rPr>
              <w:t>2.047</w:t>
            </w:r>
          </w:p>
        </w:tc>
        <w:tc>
          <w:tcPr>
            <w:tcW w:type="dxa" w:w="624"/>
          </w:tcPr>
          <w:p>
            <w:pPr>
              <w:spacing w:after="20"/>
            </w:pPr>
            <w:r/>
            <w:r>
              <w:rPr>
                <w:sz w:val="15"/>
              </w:rPr>
              <w:t>682</w:t>
            </w:r>
          </w:p>
        </w:tc>
        <w:tc>
          <w:tcPr>
            <w:tcW w:type="dxa" w:w="680"/>
          </w:tcPr>
          <w:p>
            <w:pPr>
              <w:spacing w:after="20"/>
            </w:pPr>
            <w:r/>
            <w:r>
              <w:rPr>
                <w:sz w:val="15"/>
              </w:rPr>
              <w:t>919</w:t>
            </w:r>
          </w:p>
        </w:tc>
      </w:tr>
      <w:tr>
        <w:tc>
          <w:tcPr>
            <w:tcW w:type="dxa" w:w="1474"/>
          </w:tcPr>
          <w:p>
            <w:pPr>
              <w:spacing w:after="20"/>
            </w:pPr>
            <w:r/>
            <w:r>
              <w:rPr>
                <w:b/>
                <w:sz w:val="15"/>
              </w:rPr>
              <w:t>Atención en sucursal</w:t>
            </w:r>
          </w:p>
        </w:tc>
        <w:tc>
          <w:tcPr>
            <w:tcW w:type="dxa" w:w="794"/>
          </w:tcPr>
          <w:p>
            <w:pPr>
              <w:spacing w:after="20"/>
            </w:pPr>
            <w:r/>
            <w:r>
              <w:rPr>
                <w:sz w:val="15"/>
              </w:rPr>
              <w:t>4.021</w:t>
            </w:r>
          </w:p>
        </w:tc>
        <w:tc>
          <w:tcPr>
            <w:tcW w:type="dxa" w:w="737"/>
          </w:tcPr>
          <w:p>
            <w:pPr>
              <w:spacing w:after="20"/>
            </w:pPr>
            <w:r/>
            <w:r>
              <w:rPr>
                <w:sz w:val="15"/>
              </w:rPr>
              <w:t>5.360</w:t>
            </w:r>
          </w:p>
        </w:tc>
        <w:tc>
          <w:tcPr>
            <w:tcW w:type="dxa" w:w="737"/>
          </w:tcPr>
          <w:p>
            <w:pPr>
              <w:spacing w:after="20"/>
            </w:pPr>
            <w:r/>
            <w:r>
              <w:rPr>
                <w:sz w:val="15"/>
              </w:rPr>
              <w:t>599</w:t>
            </w:r>
          </w:p>
        </w:tc>
        <w:tc>
          <w:tcPr>
            <w:tcW w:type="dxa" w:w="850"/>
          </w:tcPr>
          <w:p>
            <w:pPr>
              <w:spacing w:after="20"/>
            </w:pPr>
            <w:r/>
            <w:r>
              <w:rPr>
                <w:sz w:val="15"/>
              </w:rPr>
              <w:t>3.226</w:t>
            </w:r>
          </w:p>
        </w:tc>
        <w:tc>
          <w:tcPr>
            <w:tcW w:type="dxa" w:w="737"/>
          </w:tcPr>
          <w:p>
            <w:pPr>
              <w:spacing w:after="20"/>
            </w:pPr>
            <w:r/>
            <w:r>
              <w:rPr>
                <w:sz w:val="15"/>
              </w:rPr>
              <w:t>155</w:t>
            </w:r>
          </w:p>
        </w:tc>
        <w:tc>
          <w:tcPr>
            <w:tcW w:type="dxa" w:w="737"/>
          </w:tcPr>
          <w:p>
            <w:pPr>
              <w:spacing w:after="20"/>
            </w:pPr>
            <w:r/>
            <w:r>
              <w:rPr>
                <w:sz w:val="15"/>
              </w:rPr>
              <w:t>2.724</w:t>
            </w:r>
          </w:p>
        </w:tc>
        <w:tc>
          <w:tcPr>
            <w:tcW w:type="dxa" w:w="737"/>
          </w:tcPr>
          <w:p>
            <w:pPr>
              <w:spacing w:after="20"/>
            </w:pPr>
            <w:r/>
            <w:r>
              <w:rPr>
                <w:sz w:val="15"/>
              </w:rPr>
              <w:t>142</w:t>
            </w:r>
          </w:p>
        </w:tc>
        <w:tc>
          <w:tcPr>
            <w:tcW w:type="dxa" w:w="850"/>
          </w:tcPr>
          <w:p>
            <w:pPr>
              <w:spacing w:after="20"/>
            </w:pPr>
            <w:r/>
            <w:r>
              <w:rPr>
                <w:sz w:val="15"/>
              </w:rPr>
              <w:t>2.020</w:t>
            </w:r>
          </w:p>
        </w:tc>
        <w:tc>
          <w:tcPr>
            <w:tcW w:type="dxa" w:w="624"/>
          </w:tcPr>
          <w:p>
            <w:pPr>
              <w:spacing w:after="20"/>
            </w:pPr>
            <w:r/>
            <w:r>
              <w:rPr>
                <w:sz w:val="15"/>
              </w:rPr>
              <w:t>691</w:t>
            </w:r>
          </w:p>
        </w:tc>
        <w:tc>
          <w:tcPr>
            <w:tcW w:type="dxa" w:w="680"/>
          </w:tcPr>
          <w:p>
            <w:pPr>
              <w:spacing w:after="20"/>
            </w:pPr>
            <w:r/>
            <w:r>
              <w:rPr>
                <w:sz w:val="15"/>
              </w:rPr>
              <w:t>957</w:t>
            </w:r>
          </w:p>
        </w:tc>
      </w:tr>
      <w:tr>
        <w:tc>
          <w:tcPr>
            <w:tcW w:type="dxa" w:w="1474"/>
          </w:tcPr>
          <w:p>
            <w:pPr>
              <w:spacing w:after="20"/>
            </w:pPr>
            <w:r/>
            <w:r>
              <w:rPr>
                <w:b/>
                <w:sz w:val="15"/>
              </w:rPr>
              <w:t>Calidad de servicio</w:t>
            </w:r>
          </w:p>
        </w:tc>
        <w:tc>
          <w:tcPr>
            <w:tcW w:type="dxa" w:w="794"/>
          </w:tcPr>
          <w:p>
            <w:pPr>
              <w:spacing w:after="20"/>
            </w:pPr>
            <w:r/>
            <w:r>
              <w:rPr>
                <w:sz w:val="15"/>
              </w:rPr>
              <w:t>4.039</w:t>
            </w:r>
          </w:p>
        </w:tc>
        <w:tc>
          <w:tcPr>
            <w:tcW w:type="dxa" w:w="737"/>
          </w:tcPr>
          <w:p>
            <w:pPr>
              <w:spacing w:after="20"/>
            </w:pPr>
            <w:r/>
            <w:r>
              <w:rPr>
                <w:sz w:val="15"/>
              </w:rPr>
              <w:t>5.169</w:t>
            </w:r>
          </w:p>
        </w:tc>
        <w:tc>
          <w:tcPr>
            <w:tcW w:type="dxa" w:w="737"/>
          </w:tcPr>
          <w:p>
            <w:pPr>
              <w:spacing w:after="20"/>
            </w:pPr>
            <w:r/>
            <w:r>
              <w:rPr>
                <w:sz w:val="15"/>
              </w:rPr>
              <w:t>692</w:t>
            </w:r>
          </w:p>
        </w:tc>
        <w:tc>
          <w:tcPr>
            <w:tcW w:type="dxa" w:w="850"/>
          </w:tcPr>
          <w:p>
            <w:pPr>
              <w:spacing w:after="20"/>
            </w:pPr>
            <w:r/>
            <w:r>
              <w:rPr>
                <w:sz w:val="15"/>
              </w:rPr>
              <w:t>3.142</w:t>
            </w:r>
          </w:p>
        </w:tc>
        <w:tc>
          <w:tcPr>
            <w:tcW w:type="dxa" w:w="737"/>
          </w:tcPr>
          <w:p>
            <w:pPr>
              <w:spacing w:after="20"/>
            </w:pPr>
            <w:r/>
            <w:r>
              <w:rPr>
                <w:sz w:val="15"/>
              </w:rPr>
              <w:t>152</w:t>
            </w:r>
          </w:p>
        </w:tc>
        <w:tc>
          <w:tcPr>
            <w:tcW w:type="dxa" w:w="737"/>
          </w:tcPr>
          <w:p>
            <w:pPr>
              <w:spacing w:after="20"/>
            </w:pPr>
            <w:r/>
            <w:r>
              <w:rPr>
                <w:sz w:val="15"/>
              </w:rPr>
              <w:t>2.671</w:t>
            </w:r>
          </w:p>
        </w:tc>
        <w:tc>
          <w:tcPr>
            <w:tcW w:type="dxa" w:w="737"/>
          </w:tcPr>
          <w:p>
            <w:pPr>
              <w:spacing w:after="20"/>
            </w:pPr>
            <w:r/>
            <w:r>
              <w:rPr>
                <w:sz w:val="15"/>
              </w:rPr>
              <w:t>149</w:t>
            </w:r>
          </w:p>
        </w:tc>
        <w:tc>
          <w:tcPr>
            <w:tcW w:type="dxa" w:w="850"/>
          </w:tcPr>
          <w:p>
            <w:pPr>
              <w:spacing w:after="20"/>
            </w:pPr>
            <w:r/>
            <w:r>
              <w:rPr>
                <w:sz w:val="15"/>
              </w:rPr>
              <w:t>1.963</w:t>
            </w:r>
          </w:p>
        </w:tc>
        <w:tc>
          <w:tcPr>
            <w:tcW w:type="dxa" w:w="624"/>
          </w:tcPr>
          <w:p>
            <w:pPr>
              <w:spacing w:after="20"/>
            </w:pPr>
            <w:r/>
            <w:r>
              <w:rPr>
                <w:sz w:val="15"/>
              </w:rPr>
              <w:t>652</w:t>
            </w:r>
          </w:p>
        </w:tc>
        <w:tc>
          <w:tcPr>
            <w:tcW w:type="dxa" w:w="680"/>
          </w:tcPr>
          <w:p>
            <w:pPr>
              <w:spacing w:after="20"/>
            </w:pPr>
            <w:r/>
            <w:r>
              <w:rPr>
                <w:sz w:val="15"/>
              </w:rPr>
              <w:t>882</w:t>
            </w:r>
          </w:p>
        </w:tc>
      </w:tr>
      <w:tr>
        <w:tc>
          <w:tcPr>
            <w:tcW w:type="dxa" w:w="1474"/>
          </w:tcPr>
          <w:p>
            <w:pPr>
              <w:spacing w:after="20"/>
            </w:pPr>
            <w:r/>
            <w:r>
              <w:rPr>
                <w:b/>
                <w:sz w:val="15"/>
              </w:rPr>
              <w:t>Total</w:t>
            </w:r>
          </w:p>
        </w:tc>
        <w:tc>
          <w:tcPr>
            <w:tcW w:type="dxa" w:w="794"/>
          </w:tcPr>
          <w:p>
            <w:pPr>
              <w:spacing w:after="20"/>
            </w:pPr>
            <w:r/>
            <w:r>
              <w:rPr>
                <w:b/>
                <w:sz w:val="15"/>
              </w:rPr>
              <w:t>20.125</w:t>
            </w:r>
          </w:p>
        </w:tc>
        <w:tc>
          <w:tcPr>
            <w:tcW w:type="dxa" w:w="737"/>
          </w:tcPr>
          <w:p>
            <w:pPr>
              <w:spacing w:after="20"/>
            </w:pPr>
            <w:r/>
            <w:r>
              <w:rPr>
                <w:b/>
                <w:sz w:val="15"/>
              </w:rPr>
              <w:t>26.823</w:t>
            </w:r>
          </w:p>
        </w:tc>
        <w:tc>
          <w:tcPr>
            <w:tcW w:type="dxa" w:w="737"/>
          </w:tcPr>
          <w:p>
            <w:pPr>
              <w:spacing w:after="20"/>
            </w:pPr>
            <w:r/>
            <w:r>
              <w:rPr>
                <w:b/>
                <w:sz w:val="15"/>
              </w:rPr>
              <w:t>3.321</w:t>
            </w:r>
          </w:p>
        </w:tc>
        <w:tc>
          <w:tcPr>
            <w:tcW w:type="dxa" w:w="850"/>
          </w:tcPr>
          <w:p>
            <w:pPr>
              <w:spacing w:after="20"/>
            </w:pPr>
            <w:r/>
            <w:r>
              <w:rPr>
                <w:b/>
                <w:sz w:val="15"/>
              </w:rPr>
              <w:t>16.121</w:t>
            </w:r>
          </w:p>
        </w:tc>
        <w:tc>
          <w:tcPr>
            <w:tcW w:type="dxa" w:w="737"/>
          </w:tcPr>
          <w:p>
            <w:pPr>
              <w:spacing w:after="20"/>
            </w:pPr>
            <w:r/>
            <w:r>
              <w:rPr>
                <w:b/>
                <w:sz w:val="15"/>
              </w:rPr>
              <w:t>705</w:t>
            </w:r>
          </w:p>
        </w:tc>
        <w:tc>
          <w:tcPr>
            <w:tcW w:type="dxa" w:w="737"/>
          </w:tcPr>
          <w:p>
            <w:pPr>
              <w:spacing w:after="20"/>
            </w:pPr>
            <w:r/>
            <w:r>
              <w:rPr>
                <w:b/>
                <w:sz w:val="15"/>
              </w:rPr>
              <w:t>13.495</w:t>
            </w:r>
          </w:p>
        </w:tc>
        <w:tc>
          <w:tcPr>
            <w:tcW w:type="dxa" w:w="737"/>
          </w:tcPr>
          <w:p>
            <w:pPr>
              <w:spacing w:after="20"/>
            </w:pPr>
            <w:r/>
            <w:r>
              <w:rPr>
                <w:b/>
                <w:sz w:val="15"/>
              </w:rPr>
              <w:t>717</w:t>
            </w:r>
          </w:p>
        </w:tc>
        <w:tc>
          <w:tcPr>
            <w:tcW w:type="dxa" w:w="850"/>
          </w:tcPr>
          <w:p>
            <w:pPr>
              <w:spacing w:after="20"/>
            </w:pPr>
            <w:r/>
            <w:r>
              <w:rPr>
                <w:b/>
                <w:sz w:val="15"/>
              </w:rPr>
              <w:t>10.086</w:t>
            </w:r>
          </w:p>
        </w:tc>
        <w:tc>
          <w:tcPr>
            <w:tcW w:type="dxa" w:w="624"/>
          </w:tcPr>
          <w:p>
            <w:pPr>
              <w:spacing w:after="20"/>
            </w:pPr>
            <w:r/>
            <w:r>
              <w:rPr>
                <w:b/>
                <w:sz w:val="15"/>
              </w:rPr>
              <w:t>3.355</w:t>
            </w:r>
          </w:p>
        </w:tc>
        <w:tc>
          <w:tcPr>
            <w:tcW w:type="dxa" w:w="680"/>
          </w:tcPr>
          <w:p>
            <w:pPr>
              <w:spacing w:after="20"/>
            </w:pPr>
            <w:r/>
            <w:r>
              <w:rPr>
                <w:b/>
                <w:sz w:val="15"/>
              </w:rPr>
              <w:t>4.723</w:t>
            </w:r>
          </w:p>
        </w:tc>
      </w:tr>
    </w:tbl>
    <w:p>
      <w:pPr>
        <w:spacing w:after="40"/>
      </w:pPr>
    </w:p>
    <w:p>
      <w:r>
        <w:rPr>
          <w:b w:val="0"/>
          <w:i w:val="0"/>
        </w:rPr>
        <w:t>Todo se reparte igual entre los cinco tipos, y la prioridad no cambia nada: un caso crítico tarda lo mismo (15-16 días), incumple el plazo igual (19-21%) y sigue abierto igual (75%) que uno de prioridad baja. El banco clasifica pero no actúa distinto. Compensaciones: 4.641 casos (6,9%), 1.174.810 USD, mediana 253 USD.</w:t>
      </w:r>
    </w:p>
    <w:p>
      <w:r>
        <w:br w:type="page"/>
      </w:r>
    </w:p>
    <w:p>
      <w:pPr>
        <w:pStyle w:val="Heading2"/>
      </w:pPr>
      <w:r>
        <w:t>2.4 Lo que el dataset no permite saber (y cómo lo resuelve el sistema)</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835"/>
            <w:shd w:val="clear" w:color="auto" w:fill="D9E2F3"/>
          </w:tcPr>
          <w:p>
            <w:pPr>
              <w:spacing w:after="20"/>
            </w:pPr>
            <w:r/>
            <w:r>
              <w:rPr>
                <w:b/>
                <w:sz w:val="17"/>
              </w:rPr>
              <w:t>Lo que no se puede distinguir</w:t>
            </w:r>
          </w:p>
        </w:tc>
        <w:tc>
          <w:tcPr>
            <w:tcW w:type="dxa" w:w="3402"/>
            <w:shd w:val="clear" w:color="auto" w:fill="D9E2F3"/>
          </w:tcPr>
          <w:p>
            <w:pPr>
              <w:spacing w:after="20"/>
            </w:pPr>
            <w:r/>
            <w:r>
              <w:rPr>
                <w:b/>
                <w:sz w:val="17"/>
              </w:rPr>
              <w:t>Por qué</w:t>
            </w:r>
          </w:p>
        </w:tc>
        <w:tc>
          <w:tcPr>
            <w:tcW w:type="dxa" w:w="3118"/>
            <w:shd w:val="clear" w:color="auto" w:fill="D9E2F3"/>
          </w:tcPr>
          <w:p>
            <w:pPr>
              <w:spacing w:after="20"/>
            </w:pPr>
            <w:r/>
            <w:r>
              <w:rPr>
                <w:b/>
                <w:sz w:val="17"/>
              </w:rPr>
              <w:t>Cómo lo cubre el sistema</w:t>
            </w:r>
          </w:p>
        </w:tc>
      </w:tr>
      <w:tr>
        <w:tc>
          <w:tcPr>
            <w:tcW w:type="dxa" w:w="2835"/>
          </w:tcPr>
          <w:p>
            <w:pPr>
              <w:spacing w:after="20"/>
            </w:pPr>
            <w:r/>
            <w:r>
              <w:rPr>
                <w:sz w:val="17"/>
              </w:rPr>
              <w:t>El motivo de cada contacto del momento 1</w:t>
            </w:r>
          </w:p>
        </w:tc>
        <w:tc>
          <w:tcPr>
            <w:tcW w:type="dxa" w:w="3402"/>
          </w:tcPr>
          <w:p>
            <w:pPr>
              <w:spacing w:after="20"/>
            </w:pPr>
            <w:r/>
            <w:r>
              <w:rPr>
                <w:sz w:val="17"/>
              </w:rPr>
              <w:t>contact_reason es idéntico a la categoría ('Queja'); los transcripts (25%) son plantillas de consulta de saldo; los productos mencionados no existen o son ajenos</w:t>
            </w:r>
          </w:p>
        </w:tc>
        <w:tc>
          <w:tcPr>
            <w:tcW w:type="dxa" w:w="3118"/>
          </w:tcPr>
          <w:p>
            <w:pPr>
              <w:spacing w:after="20"/>
            </w:pPr>
            <w:r/>
            <w:r>
              <w:rPr>
                <w:sz w:val="17"/>
              </w:rPr>
              <w:t>El clasificador lo registra desde el texto del cliente; se usa la mezcla de los casos formales como estimación</w:t>
            </w:r>
          </w:p>
        </w:tc>
      </w:tr>
      <w:tr>
        <w:tc>
          <w:tcPr>
            <w:tcW w:type="dxa" w:w="2835"/>
          </w:tcPr>
          <w:p>
            <w:pPr>
              <w:spacing w:after="20"/>
            </w:pPr>
            <w:r/>
            <w:r>
              <w:rPr>
                <w:sz w:val="17"/>
              </w:rPr>
              <w:t>Dentro de 'Cobro indebido': duplicado, comisión no informada o monto distinto</w:t>
            </w:r>
          </w:p>
        </w:tc>
        <w:tc>
          <w:tcPr>
            <w:tcW w:type="dxa" w:w="3402"/>
          </w:tcPr>
          <w:p>
            <w:pPr>
              <w:spacing w:after="20"/>
            </w:pPr>
            <w:r/>
            <w:r>
              <w:rPr>
                <w:sz w:val="17"/>
              </w:rPr>
              <w:t>La descripción es la plantilla 'Queja relacionada con fees'</w:t>
            </w:r>
          </w:p>
        </w:tc>
        <w:tc>
          <w:tcPr>
            <w:tcW w:type="dxa" w:w="3118"/>
          </w:tcPr>
          <w:p>
            <w:pPr>
              <w:spacing w:after="20"/>
            </w:pPr>
            <w:r/>
            <w:r>
              <w:rPr>
                <w:sz w:val="17"/>
              </w:rPr>
              <w:t>Preguntas de completitud en la conversación + comparación con tarifa</w:t>
            </w:r>
          </w:p>
        </w:tc>
      </w:tr>
      <w:tr>
        <w:tc>
          <w:tcPr>
            <w:tcW w:type="dxa" w:w="2835"/>
          </w:tcPr>
          <w:p>
            <w:pPr>
              <w:spacing w:after="20"/>
            </w:pPr>
            <w:r/>
            <w:r>
              <w:rPr>
                <w:sz w:val="17"/>
              </w:rPr>
              <w:t>Dentro de 'Cargo no reconocido': fraude real, compra olvidada, comercio con otro nombre</w:t>
            </w:r>
          </w:p>
        </w:tc>
        <w:tc>
          <w:tcPr>
            <w:tcW w:type="dxa" w:w="3402"/>
          </w:tcPr>
          <w:p>
            <w:pPr>
              <w:spacing w:after="20"/>
            </w:pPr>
            <w:r/>
            <w:r>
              <w:rPr>
                <w:sz w:val="17"/>
              </w:rPr>
              <w:t>No hay enlace caso-transacción; el producto es ajeno; fraude y quejas no se conectan (0,21%)</w:t>
            </w:r>
          </w:p>
        </w:tc>
        <w:tc>
          <w:tcPr>
            <w:tcW w:type="dxa" w:w="3118"/>
          </w:tcPr>
          <w:p>
            <w:pPr>
              <w:spacing w:after="20"/>
            </w:pPr>
            <w:r/>
            <w:r>
              <w:rPr>
                <w:sz w:val="17"/>
              </w:rPr>
              <w:t>Búsqueda del cargo en las transacciones del cliente + regla del score de fraude</w:t>
            </w:r>
          </w:p>
        </w:tc>
      </w:tr>
      <w:tr>
        <w:tc>
          <w:tcPr>
            <w:tcW w:type="dxa" w:w="2835"/>
          </w:tcPr>
          <w:p>
            <w:pPr>
              <w:spacing w:after="20"/>
            </w:pPr>
            <w:r/>
            <w:r>
              <w:rPr>
                <w:sz w:val="17"/>
              </w:rPr>
              <w:t>Dentro de 'Problema con app': pantalla y error</w:t>
            </w:r>
          </w:p>
        </w:tc>
        <w:tc>
          <w:tcPr>
            <w:tcW w:type="dxa" w:w="3402"/>
          </w:tcPr>
          <w:p>
            <w:pPr>
              <w:spacing w:after="20"/>
            </w:pPr>
            <w:r/>
            <w:r>
              <w:rPr>
                <w:sz w:val="17"/>
              </w:rPr>
              <w:t>Los eventos digitales no se conectan en el tiempo con las quejas</w:t>
            </w:r>
          </w:p>
        </w:tc>
        <w:tc>
          <w:tcPr>
            <w:tcW w:type="dxa" w:w="3118"/>
          </w:tcPr>
          <w:p>
            <w:pPr>
              <w:spacing w:after="20"/>
            </w:pPr>
            <w:r/>
            <w:r>
              <w:rPr>
                <w:sz w:val="17"/>
              </w:rPr>
              <w:t>Se pide pantalla y fecha; el error se muestra con datos preparados (fixture)</w:t>
            </w:r>
          </w:p>
        </w:tc>
      </w:tr>
      <w:tr>
        <w:tc>
          <w:tcPr>
            <w:tcW w:type="dxa" w:w="2835"/>
          </w:tcPr>
          <w:p>
            <w:pPr>
              <w:spacing w:after="20"/>
            </w:pPr>
            <w:r/>
            <w:r>
              <w:rPr>
                <w:sz w:val="17"/>
              </w:rPr>
              <w:t>Si el caso se resolvió bien</w:t>
            </w:r>
          </w:p>
        </w:tc>
        <w:tc>
          <w:tcPr>
            <w:tcW w:type="dxa" w:w="3402"/>
          </w:tcPr>
          <w:p>
            <w:pPr>
              <w:spacing w:after="20"/>
            </w:pPr>
            <w:r/>
            <w:r>
              <w:rPr>
                <w:sz w:val="17"/>
              </w:rPr>
              <w:t>La satisfacción con la resolución es uniforme de 1 a 5</w:t>
            </w:r>
          </w:p>
        </w:tc>
        <w:tc>
          <w:tcPr>
            <w:tcW w:type="dxa" w:w="3118"/>
          </w:tcPr>
          <w:p>
            <w:pPr>
              <w:spacing w:after="20"/>
            </w:pPr>
            <w:r/>
            <w:r>
              <w:rPr>
                <w:sz w:val="17"/>
              </w:rPr>
              <w:t>'Segunda opinión' del cliente al cerrar</w:t>
            </w:r>
          </w:p>
        </w:tc>
      </w:tr>
      <w:tr>
        <w:tc>
          <w:tcPr>
            <w:tcW w:type="dxa" w:w="2835"/>
          </w:tcPr>
          <w:p>
            <w:pPr>
              <w:spacing w:after="20"/>
            </w:pPr>
            <w:r/>
            <w:r>
              <w:rPr>
                <w:sz w:val="17"/>
              </w:rPr>
              <w:t>Si el cliente es reincidente</w:t>
            </w:r>
          </w:p>
        </w:tc>
        <w:tc>
          <w:tcPr>
            <w:tcW w:type="dxa" w:w="3402"/>
          </w:tcPr>
          <w:p>
            <w:pPr>
              <w:spacing w:after="20"/>
            </w:pPr>
            <w:r/>
            <w:r>
              <w:rPr>
                <w:sz w:val="17"/>
              </w:rPr>
              <w:t>is_repeat_complainer (10.086) no coincide con el historial real (11.179 clientes con 2+)</w:t>
            </w:r>
          </w:p>
        </w:tc>
        <w:tc>
          <w:tcPr>
            <w:tcW w:type="dxa" w:w="3118"/>
          </w:tcPr>
          <w:p>
            <w:pPr>
              <w:spacing w:after="20"/>
            </w:pPr>
            <w:r/>
            <w:r>
              <w:rPr>
                <w:sz w:val="17"/>
              </w:rPr>
              <w:t>Se usa el historial real del cliente</w:t>
            </w:r>
          </w:p>
        </w:tc>
      </w:tr>
    </w:tbl>
    <w:p>
      <w:pPr>
        <w:spacing w:after="40"/>
      </w:pPr>
    </w:p>
    <w:p>
      <w:r>
        <w:br w:type="page"/>
      </w:r>
    </w:p>
    <w:p>
      <w:pPr>
        <w:pStyle w:val="Heading1"/>
      </w:pPr>
      <w:r>
        <w:t>3. Cómo se trata cada tipo de queja</w:t>
      </w:r>
    </w:p>
    <w:p>
      <w:pPr>
        <w:pStyle w:val="Heading2"/>
      </w:pPr>
      <w:r>
        <w:t>3.1 El flujo general (seis pasos)</w:t>
      </w:r>
    </w:p>
    <w:p>
      <w:pPr>
        <w:pStyle w:val="ListNumber"/>
        <w:spacing w:after="40"/>
      </w:pPr>
      <w:r>
        <w:rPr>
          <w:b/>
          <w:i w:val="0"/>
        </w:rPr>
        <w:t xml:space="preserve">Identificar. </w:t>
      </w:r>
      <w:r>
        <w:t>Sesión de prueba autenticada (documento + código de app). Sin sesión válida no se muestra ningún dato.</w:t>
      </w:r>
    </w:p>
    <w:p>
      <w:pPr>
        <w:pStyle w:val="ListNumber"/>
        <w:spacing w:after="40"/>
      </w:pPr>
      <w:r>
        <w:rPr>
          <w:b/>
          <w:i w:val="0"/>
        </w:rPr>
        <w:t xml:space="preserve">Entender. </w:t>
      </w:r>
      <w:r>
        <w:t>El clasificador local asigna subcategoría e intención (solicitud, reclamo, consulta de estado) con una confianza. ≥ 0,85 se acepta; entre 0,60 y 0,85 el modelo hace una pregunta con las dos opciones más probables; &lt; 0,60 dos veces → humano.</w:t>
      </w:r>
    </w:p>
    <w:p>
      <w:pPr>
        <w:pStyle w:val="ListNumber"/>
        <w:spacing w:after="40"/>
      </w:pPr>
      <w:r>
        <w:rPr>
          <w:b/>
          <w:i w:val="0"/>
        </w:rPr>
        <w:t xml:space="preserve">Verificar. </w:t>
      </w:r>
      <w:r>
        <w:t>Se piden solo los datos obligatorios de la subcategoría y se contrastan con las tablas del cliente (cargo existe y es suyo; tarjeta existe; sucursal existe). Esto es lo que hoy nunca ocurre (sección 2.2).</w:t>
      </w:r>
    </w:p>
    <w:p>
      <w:pPr>
        <w:pStyle w:val="ListNumber"/>
        <w:spacing w:after="40"/>
      </w:pPr>
      <w:r>
        <w:rPr>
          <w:b/>
          <w:i w:val="0"/>
        </w:rPr>
        <w:t xml:space="preserve">Decidir. </w:t>
      </w:r>
      <w:r>
        <w:t>Reglas en código eligen la ruta: A (resolver ahora), B (caso con promesa) o C (humano). El modelo nunca decide.</w:t>
      </w:r>
    </w:p>
    <w:p>
      <w:pPr>
        <w:pStyle w:val="ListNumber"/>
        <w:spacing w:after="40"/>
      </w:pPr>
      <w:r>
        <w:rPr>
          <w:b/>
          <w:i w:val="0"/>
        </w:rPr>
        <w:t xml:space="preserve">Actuar. </w:t>
      </w:r>
      <w:r>
        <w:t>Respuesta con datos exactos, apertura del caso con número y fecha, o paquete de derivación con cola y prioridad. Toda acción se verifica en el core simulado antes de contarla al cliente.</w:t>
      </w:r>
    </w:p>
    <w:p>
      <w:pPr>
        <w:pStyle w:val="ListNumber"/>
        <w:spacing w:after="40"/>
      </w:pPr>
      <w:r>
        <w:rPr>
          <w:b/>
          <w:i w:val="0"/>
        </w:rPr>
        <w:t xml:space="preserve">Seguir. </w:t>
      </w:r>
      <w:r>
        <w:t>Reloj de promesas: 24 h sin asignar → alerta; 80% del SLA → aviso al cliente; vencido → escalamiento. Al cerrar, 'segunda opinión' del cliente; si no está conforme, reabre con prioridad.</w:t>
      </w:r>
    </w:p>
    <w:p>
      <w:pPr>
        <w:pStyle w:val="Heading2"/>
      </w:pPr>
      <w:r>
        <w:t>3.2 Ruta por tipo de queja y por lo que pide el cliente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417"/>
            <w:shd w:val="clear" w:color="auto" w:fill="D9E2F3"/>
          </w:tcPr>
          <w:p>
            <w:pPr>
              <w:spacing w:after="20"/>
            </w:pPr>
            <w:r/>
            <w:r>
              <w:rPr>
                <w:b/>
                <w:sz w:val="15"/>
              </w:rPr>
              <w:t>Subcategoría</w:t>
            </w:r>
          </w:p>
        </w:tc>
        <w:tc>
          <w:tcPr>
            <w:tcW w:type="dxa" w:w="1531"/>
            <w:shd w:val="clear" w:color="auto" w:fill="D9E2F3"/>
          </w:tcPr>
          <w:p>
            <w:pPr>
              <w:spacing w:after="20"/>
            </w:pPr>
            <w:r/>
            <w:r>
              <w:rPr>
                <w:b/>
                <w:sz w:val="15"/>
              </w:rPr>
              <w:t>Datos obligatorios que se piden</w:t>
            </w:r>
          </w:p>
        </w:tc>
        <w:tc>
          <w:tcPr>
            <w:tcW w:type="dxa" w:w="1531"/>
            <w:shd w:val="clear" w:color="auto" w:fill="D9E2F3"/>
          </w:tcPr>
          <w:p>
            <w:pPr>
              <w:spacing w:after="20"/>
            </w:pPr>
            <w:r/>
            <w:r>
              <w:rPr>
                <w:b/>
                <w:sz w:val="15"/>
              </w:rPr>
              <w:t>Verificación contra datos</w:t>
            </w:r>
          </w:p>
        </w:tc>
        <w:tc>
          <w:tcPr>
            <w:tcW w:type="dxa" w:w="1701"/>
            <w:shd w:val="clear" w:color="auto" w:fill="D9E2F3"/>
          </w:tcPr>
          <w:p>
            <w:pPr>
              <w:spacing w:after="20"/>
            </w:pPr>
            <w:r/>
            <w:r>
              <w:rPr>
                <w:b/>
                <w:sz w:val="15"/>
              </w:rPr>
              <w:t>Ruta A (se resuelve ahora) si…</w:t>
            </w:r>
          </w:p>
        </w:tc>
        <w:tc>
          <w:tcPr>
            <w:tcW w:type="dxa" w:w="1701"/>
            <w:shd w:val="clear" w:color="auto" w:fill="D9E2F3"/>
          </w:tcPr>
          <w:p>
            <w:pPr>
              <w:spacing w:after="20"/>
            </w:pPr>
            <w:r/>
            <w:r>
              <w:rPr>
                <w:b/>
                <w:sz w:val="15"/>
              </w:rPr>
              <w:t>Ruta B (caso con promesa) si…</w:t>
            </w:r>
          </w:p>
        </w:tc>
        <w:tc>
          <w:tcPr>
            <w:tcW w:type="dxa" w:w="1474"/>
            <w:shd w:val="clear" w:color="auto" w:fill="D9E2F3"/>
          </w:tcPr>
          <w:p>
            <w:pPr>
              <w:spacing w:after="20"/>
            </w:pPr>
            <w:r/>
            <w:r>
              <w:rPr>
                <w:b/>
                <w:sz w:val="15"/>
              </w:rPr>
              <w:t>Ruta C (humano) si…</w:t>
            </w:r>
          </w:p>
        </w:tc>
      </w:tr>
      <w:tr>
        <w:tc>
          <w:tcPr>
            <w:tcW w:type="dxa" w:w="1417"/>
          </w:tcPr>
          <w:p>
            <w:pPr>
              <w:spacing w:after="20"/>
            </w:pPr>
            <w:r/>
            <w:r>
              <w:rPr>
                <w:b/>
                <w:sz w:val="15"/>
              </w:rPr>
              <w:t>Cargo no reconocido</w:t>
              <w:br/>
              <w:t>13.580 · 20%</w:t>
            </w:r>
          </w:p>
        </w:tc>
        <w:tc>
          <w:tcPr>
            <w:tcW w:type="dxa" w:w="1531"/>
          </w:tcPr>
          <w:p>
            <w:pPr>
              <w:spacing w:after="20"/>
            </w:pPr>
            <w:r/>
            <w:r>
              <w:rPr>
                <w:sz w:val="15"/>
              </w:rPr>
              <w:t>Fecha aproximada, monto o comercio; tarjeta (últimos 4)</w:t>
            </w:r>
          </w:p>
        </w:tc>
        <w:tc>
          <w:tcPr>
            <w:tcW w:type="dxa" w:w="1531"/>
          </w:tcPr>
          <w:p>
            <w:pPr>
              <w:spacing w:after="20"/>
            </w:pPr>
            <w:r/>
            <w:r>
              <w:rPr>
                <w:sz w:val="15"/>
              </w:rPr>
              <w:t>Cargo encontrado en transactions del cliente; estado, código, riesgo de fraude</w:t>
            </w:r>
          </w:p>
        </w:tc>
        <w:tc>
          <w:tcPr>
            <w:tcW w:type="dxa" w:w="1701"/>
          </w:tcPr>
          <w:p>
            <w:pPr>
              <w:spacing w:after="20"/>
            </w:pPr>
            <w:r/>
            <w:r>
              <w:rPr>
                <w:sz w:val="15"/>
              </w:rPr>
              <w:t>El cliente reconoce el cargo al ver comercio, fecha y monto; o el cargo ya fue revertido</w:t>
            </w:r>
          </w:p>
        </w:tc>
        <w:tc>
          <w:tcPr>
            <w:tcW w:type="dxa" w:w="1701"/>
          </w:tcPr>
          <w:p>
            <w:pPr>
              <w:spacing w:after="20"/>
            </w:pPr>
            <w:r/>
            <w:r>
              <w:rPr>
                <w:sz w:val="15"/>
              </w:rPr>
              <w:t>Cargo verificado, riesgo bajo, cliente no lo reconoce → caso 'Cargo no reconocido' con evidencia</w:t>
            </w:r>
          </w:p>
        </w:tc>
        <w:tc>
          <w:tcPr>
            <w:tcW w:type="dxa" w:w="1474"/>
          </w:tcPr>
          <w:p>
            <w:pPr>
              <w:spacing w:after="20"/>
            </w:pPr>
            <w:r/>
            <w:r>
              <w:rPr>
                <w:sz w:val="15"/>
              </w:rPr>
              <w:t>Score de fraude &gt; 30, tarjeta perdida/robada, monto &gt; 500 USD, reincidente → bloqueo con confirmación + cola de Fraudes (2 h)</w:t>
            </w:r>
          </w:p>
        </w:tc>
      </w:tr>
      <w:tr>
        <w:tc>
          <w:tcPr>
            <w:tcW w:type="dxa" w:w="1417"/>
          </w:tcPr>
          <w:p>
            <w:pPr>
              <w:spacing w:after="20"/>
            </w:pPr>
            <w:r/>
            <w:r>
              <w:rPr>
                <w:b/>
                <w:sz w:val="15"/>
              </w:rPr>
              <w:t>Cobro indebido</w:t>
              <w:br/>
              <w:t>13.553 · 20%</w:t>
            </w:r>
          </w:p>
        </w:tc>
        <w:tc>
          <w:tcPr>
            <w:tcW w:type="dxa" w:w="1531"/>
          </w:tcPr>
          <w:p>
            <w:pPr>
              <w:spacing w:after="20"/>
            </w:pPr>
            <w:r/>
            <w:r>
              <w:rPr>
                <w:sz w:val="15"/>
              </w:rPr>
              <w:t>Cargo + motivo (duplicado, comisión, monto distinto)</w:t>
            </w:r>
          </w:p>
        </w:tc>
        <w:tc>
          <w:tcPr>
            <w:tcW w:type="dxa" w:w="1531"/>
          </w:tcPr>
          <w:p>
            <w:pPr>
              <w:spacing w:after="20"/>
            </w:pPr>
            <w:r/>
            <w:r>
              <w:rPr>
                <w:sz w:val="15"/>
              </w:rPr>
              <w:t>Cargo encontrado; comparación con tarifa publicada (sintética); búsqueda de duplicado</w:t>
            </w:r>
          </w:p>
        </w:tc>
        <w:tc>
          <w:tcPr>
            <w:tcW w:type="dxa" w:w="1701"/>
          </w:tcPr>
          <w:p>
            <w:pPr>
              <w:spacing w:after="20"/>
            </w:pPr>
            <w:r/>
            <w:r>
              <w:rPr>
                <w:sz w:val="15"/>
              </w:rPr>
              <w:t>El cobro coincide con la tarifa publicada y el cliente acepta la explicación; o el duplicado ya se revirtió</w:t>
            </w:r>
          </w:p>
        </w:tc>
        <w:tc>
          <w:tcPr>
            <w:tcW w:type="dxa" w:w="1701"/>
          </w:tcPr>
          <w:p>
            <w:pPr>
              <w:spacing w:after="20"/>
            </w:pPr>
            <w:r/>
            <w:r>
              <w:rPr>
                <w:sz w:val="15"/>
              </w:rPr>
              <w:t>Cobro no coincide con tarifa o duplicado sin revertir → caso con evidencia</w:t>
            </w:r>
          </w:p>
        </w:tc>
        <w:tc>
          <w:tcPr>
            <w:tcW w:type="dxa" w:w="1474"/>
          </w:tcPr>
          <w:p>
            <w:pPr>
              <w:spacing w:after="20"/>
            </w:pPr>
            <w:r/>
            <w:r>
              <w:rPr>
                <w:sz w:val="15"/>
              </w:rPr>
              <w:t>Monto &gt; 500 USD, reincidente, regulador, pide compensación</w:t>
            </w:r>
          </w:p>
        </w:tc>
      </w:tr>
      <w:tr>
        <w:tc>
          <w:tcPr>
            <w:tcW w:type="dxa" w:w="1417"/>
          </w:tcPr>
          <w:p>
            <w:pPr>
              <w:spacing w:after="20"/>
            </w:pPr>
            <w:r/>
            <w:r>
              <w:rPr>
                <w:b/>
                <w:sz w:val="15"/>
              </w:rPr>
              <w:t>Problema con app</w:t>
              <w:br/>
              <w:t>13.407 · 20%</w:t>
            </w:r>
          </w:p>
        </w:tc>
        <w:tc>
          <w:tcPr>
            <w:tcW w:type="dxa" w:w="1531"/>
          </w:tcPr>
          <w:p>
            <w:pPr>
              <w:spacing w:after="20"/>
            </w:pPr>
            <w:r/>
            <w:r>
              <w:rPr>
                <w:sz w:val="15"/>
              </w:rPr>
              <w:t>Pantalla, fecha, plataforma</w:t>
            </w:r>
          </w:p>
        </w:tc>
        <w:tc>
          <w:tcPr>
            <w:tcW w:type="dxa" w:w="1531"/>
          </w:tcPr>
          <w:p>
            <w:pPr>
              <w:spacing w:after="20"/>
            </w:pPr>
            <w:r/>
            <w:r>
              <w:rPr>
                <w:sz w:val="15"/>
              </w:rPr>
              <w:t>Evento de error del cliente si existe; versión de app</w:t>
            </w:r>
          </w:p>
        </w:tc>
        <w:tc>
          <w:tcPr>
            <w:tcW w:type="dxa" w:w="1701"/>
          </w:tcPr>
          <w:p>
            <w:pPr>
              <w:spacing w:after="20"/>
            </w:pPr>
            <w:r/>
            <w:r>
              <w:rPr>
                <w:sz w:val="15"/>
              </w:rPr>
              <w:t>Hay guía para esa pantalla y el cliente confirma que se resolvió</w:t>
            </w:r>
          </w:p>
        </w:tc>
        <w:tc>
          <w:tcPr>
            <w:tcW w:type="dxa" w:w="1701"/>
          </w:tcPr>
          <w:p>
            <w:pPr>
              <w:spacing w:after="20"/>
            </w:pPr>
            <w:r/>
            <w:r>
              <w:rPr>
                <w:sz w:val="15"/>
              </w:rPr>
              <w:t>Guía no resuelve o error con dinero involucrado → caso a Soporte Técnico</w:t>
            </w:r>
          </w:p>
        </w:tc>
        <w:tc>
          <w:tcPr>
            <w:tcW w:type="dxa" w:w="1474"/>
          </w:tcPr>
          <w:p>
            <w:pPr>
              <w:spacing w:after="20"/>
            </w:pPr>
            <w:r/>
            <w:r>
              <w:rPr>
                <w:sz w:val="15"/>
              </w:rPr>
              <w:t>Error repetido tras la guía y dinero descontado, o reincidente</w:t>
            </w:r>
          </w:p>
        </w:tc>
      </w:tr>
      <w:tr>
        <w:tc>
          <w:tcPr>
            <w:tcW w:type="dxa" w:w="1417"/>
          </w:tcPr>
          <w:p>
            <w:pPr>
              <w:spacing w:after="20"/>
            </w:pPr>
            <w:r/>
            <w:r>
              <w:rPr>
                <w:b/>
                <w:sz w:val="15"/>
              </w:rPr>
              <w:t>Atención en sucursal</w:t>
              <w:br/>
              <w:t>13.361 · 20%</w:t>
            </w:r>
          </w:p>
        </w:tc>
        <w:tc>
          <w:tcPr>
            <w:tcW w:type="dxa" w:w="1531"/>
          </w:tcPr>
          <w:p>
            <w:pPr>
              <w:spacing w:after="20"/>
            </w:pPr>
            <w:r/>
            <w:r>
              <w:rPr>
                <w:sz w:val="15"/>
              </w:rPr>
              <w:t>Sucursal, fecha, qué pasó</w:t>
            </w:r>
          </w:p>
        </w:tc>
        <w:tc>
          <w:tcPr>
            <w:tcW w:type="dxa" w:w="1531"/>
          </w:tcPr>
          <w:p>
            <w:pPr>
              <w:spacing w:after="20"/>
            </w:pPr>
            <w:r/>
            <w:r>
              <w:rPr>
                <w:sz w:val="15"/>
              </w:rPr>
              <w:t>Sucursal existe y estaba abierta ese día</w:t>
            </w:r>
          </w:p>
        </w:tc>
        <w:tc>
          <w:tcPr>
            <w:tcW w:type="dxa" w:w="1701"/>
          </w:tcPr>
          <w:p>
            <w:pPr>
              <w:spacing w:after="20"/>
            </w:pPr>
            <w:r/>
            <w:r>
              <w:rPr>
                <w:sz w:val="15"/>
              </w:rPr>
              <w:t>(No aplica: siempre requiere gestión)</w:t>
            </w:r>
          </w:p>
        </w:tc>
        <w:tc>
          <w:tcPr>
            <w:tcW w:type="dxa" w:w="1701"/>
          </w:tcPr>
          <w:p>
            <w:pPr>
              <w:spacing w:after="20"/>
            </w:pPr>
            <w:r/>
            <w:r>
              <w:rPr>
                <w:sz w:val="15"/>
              </w:rPr>
              <w:t>Caso al supervisor de la sucursal con fecha y hecho registrado</w:t>
            </w:r>
          </w:p>
        </w:tc>
        <w:tc>
          <w:tcPr>
            <w:tcW w:type="dxa" w:w="1474"/>
          </w:tcPr>
          <w:p>
            <w:pPr>
              <w:spacing w:after="20"/>
            </w:pPr>
            <w:r/>
            <w:r>
              <w:rPr>
                <w:sz w:val="15"/>
              </w:rPr>
              <w:t>Queja sobre una persona identificable, regulador, reincidente</w:t>
            </w:r>
          </w:p>
        </w:tc>
      </w:tr>
      <w:tr>
        <w:tc>
          <w:tcPr>
            <w:tcW w:type="dxa" w:w="1417"/>
          </w:tcPr>
          <w:p>
            <w:pPr>
              <w:spacing w:after="20"/>
            </w:pPr>
            <w:r/>
            <w:r>
              <w:rPr>
                <w:b/>
                <w:sz w:val="15"/>
              </w:rPr>
              <w:t>Calidad de servicio</w:t>
              <w:br/>
              <w:t>13.194 · 20%</w:t>
            </w:r>
          </w:p>
        </w:tc>
        <w:tc>
          <w:tcPr>
            <w:tcW w:type="dxa" w:w="1531"/>
          </w:tcPr>
          <w:p>
            <w:pPr>
              <w:spacing w:after="20"/>
            </w:pPr>
            <w:r/>
            <w:r>
              <w:rPr>
                <w:sz w:val="15"/>
              </w:rPr>
              <w:t>Canal, fecha, qué pasó</w:t>
            </w:r>
          </w:p>
        </w:tc>
        <w:tc>
          <w:tcPr>
            <w:tcW w:type="dxa" w:w="1531"/>
          </w:tcPr>
          <w:p>
            <w:pPr>
              <w:spacing w:after="20"/>
            </w:pPr>
            <w:r/>
            <w:r>
              <w:rPr>
                <w:sz w:val="15"/>
              </w:rPr>
              <w:t>Contacto previo del cliente ese día si existe</w:t>
            </w:r>
          </w:p>
        </w:tc>
        <w:tc>
          <w:tcPr>
            <w:tcW w:type="dxa" w:w="1701"/>
          </w:tcPr>
          <w:p>
            <w:pPr>
              <w:spacing w:after="20"/>
            </w:pPr>
            <w:r/>
            <w:r>
              <w:rPr>
                <w:sz w:val="15"/>
              </w:rPr>
              <w:t>(No aplica)</w:t>
            </w:r>
          </w:p>
        </w:tc>
        <w:tc>
          <w:tcPr>
            <w:tcW w:type="dxa" w:w="1701"/>
          </w:tcPr>
          <w:p>
            <w:pPr>
              <w:spacing w:after="20"/>
            </w:pPr>
            <w:r/>
            <w:r>
              <w:rPr>
                <w:sz w:val="15"/>
              </w:rPr>
              <w:t>Caso a Quejas y Reclamos con el contacto previo adjunto</w:t>
            </w:r>
          </w:p>
        </w:tc>
        <w:tc>
          <w:tcPr>
            <w:tcW w:type="dxa" w:w="1474"/>
          </w:tcPr>
          <w:p>
            <w:pPr>
              <w:spacing w:after="20"/>
            </w:pPr>
            <w:r/>
            <w:r>
              <w:rPr>
                <w:sz w:val="15"/>
              </w:rPr>
              <w:t>Regulador, reincidente, disputa de una resolución anterior</w:t>
            </w:r>
          </w:p>
        </w:tc>
      </w:tr>
      <w:tr>
        <w:tc>
          <w:tcPr>
            <w:tcW w:type="dxa" w:w="1417"/>
          </w:tcPr>
          <w:p>
            <w:pPr>
              <w:spacing w:after="20"/>
            </w:pPr>
            <w:r/>
            <w:r>
              <w:rPr>
                <w:b/>
                <w:sz w:val="15"/>
              </w:rPr>
              <w:t>Solicitud (todas)</w:t>
              <w:br/>
              <w:t>6.761 · 10%</w:t>
            </w:r>
          </w:p>
        </w:tc>
        <w:tc>
          <w:tcPr>
            <w:tcW w:type="dxa" w:w="1531"/>
          </w:tcPr>
          <w:p>
            <w:pPr>
              <w:spacing w:after="20"/>
            </w:pPr>
            <w:r/>
            <w:r>
              <w:rPr>
                <w:sz w:val="15"/>
              </w:rPr>
              <w:t>Qué solicita</w:t>
            </w:r>
          </w:p>
        </w:tc>
        <w:tc>
          <w:tcPr>
            <w:tcW w:type="dxa" w:w="1531"/>
          </w:tcPr>
          <w:p>
            <w:pPr>
              <w:spacing w:after="20"/>
            </w:pPr>
            <w:r/>
            <w:r>
              <w:rPr>
                <w:sz w:val="15"/>
              </w:rPr>
              <w:t>Según lo solicitado (estado de caso, copia, información)</w:t>
            </w:r>
          </w:p>
        </w:tc>
        <w:tc>
          <w:tcPr>
            <w:tcW w:type="dxa" w:w="1701"/>
          </w:tcPr>
          <w:p>
            <w:pPr>
              <w:spacing w:after="20"/>
            </w:pPr>
            <w:r/>
            <w:r>
              <w:rPr>
                <w:sz w:val="15"/>
              </w:rPr>
              <w:t>Consulta de estado o información disponible en datos</w:t>
            </w:r>
          </w:p>
        </w:tc>
        <w:tc>
          <w:tcPr>
            <w:tcW w:type="dxa" w:w="1701"/>
          </w:tcPr>
          <w:p>
            <w:pPr>
              <w:spacing w:after="20"/>
            </w:pPr>
            <w:r/>
            <w:r>
              <w:rPr>
                <w:sz w:val="15"/>
              </w:rPr>
              <w:t>Solicitud que requiere trámite → caso simple, sin investigación</w:t>
            </w:r>
          </w:p>
        </w:tc>
        <w:tc>
          <w:tcPr>
            <w:tcW w:type="dxa" w:w="1474"/>
          </w:tcPr>
          <w:p>
            <w:pPr>
              <w:spacing w:after="20"/>
            </w:pPr>
            <w:r/>
            <w:r>
              <w:rPr>
                <w:sz w:val="15"/>
              </w:rPr>
              <w:t>(Rara vez)</w:t>
            </w:r>
          </w:p>
        </w:tc>
      </w:tr>
      <w:tr>
        <w:tc>
          <w:tcPr>
            <w:tcW w:type="dxa" w:w="1417"/>
          </w:tcPr>
          <w:p>
            <w:pPr>
              <w:spacing w:after="20"/>
            </w:pPr>
            <w:r/>
            <w:r>
              <w:rPr>
                <w:b/>
                <w:sz w:val="15"/>
              </w:rPr>
              <w:t>Sugerencia (todas)</w:t>
              <w:br/>
              <w:t>3.284 · 5%</w:t>
            </w:r>
          </w:p>
        </w:tc>
        <w:tc>
          <w:tcPr>
            <w:tcW w:type="dxa" w:w="1531"/>
          </w:tcPr>
          <w:p>
            <w:pPr>
              <w:spacing w:after="20"/>
            </w:pPr>
            <w:r/>
            <w:r>
              <w:rPr>
                <w:sz w:val="15"/>
              </w:rPr>
              <w:t>Ninguno</w:t>
            </w:r>
          </w:p>
        </w:tc>
        <w:tc>
          <w:tcPr>
            <w:tcW w:type="dxa" w:w="1531"/>
          </w:tcPr>
          <w:p>
            <w:pPr>
              <w:spacing w:after="20"/>
            </w:pPr>
            <w:r/>
            <w:r>
              <w:rPr>
                <w:sz w:val="15"/>
              </w:rPr>
              <w:t>Ninguna</w:t>
            </w:r>
          </w:p>
        </w:tc>
        <w:tc>
          <w:tcPr>
            <w:tcW w:type="dxa" w:w="1701"/>
          </w:tcPr>
          <w:p>
            <w:pPr>
              <w:spacing w:after="20"/>
            </w:pPr>
            <w:r/>
            <w:r>
              <w:rPr>
                <w:sz w:val="15"/>
              </w:rPr>
              <w:t>Se agradece y registra; se cierra en la conversación</w:t>
            </w:r>
          </w:p>
        </w:tc>
        <w:tc>
          <w:tcPr>
            <w:tcW w:type="dxa" w:w="1701"/>
          </w:tcPr>
          <w:p>
            <w:pPr>
              <w:spacing w:after="20"/>
            </w:pPr>
            <w:r/>
            <w:r>
              <w:rPr>
                <w:sz w:val="15"/>
              </w:rPr>
              <w:t>(No aplica)</w:t>
            </w:r>
          </w:p>
        </w:tc>
        <w:tc>
          <w:tcPr>
            <w:tcW w:type="dxa" w:w="1474"/>
          </w:tcPr>
          <w:p>
            <w:pPr>
              <w:spacing w:after="20"/>
            </w:pPr>
            <w:r/>
            <w:r>
              <w:rPr>
                <w:sz w:val="15"/>
              </w:rPr>
              <w:t>(No aplica)</w:t>
            </w:r>
          </w:p>
        </w:tc>
      </w:tr>
    </w:tbl>
    <w:p>
      <w:pPr>
        <w:spacing w:after="40"/>
      </w:pPr>
    </w:p>
    <w:p>
      <w:pPr>
        <w:pStyle w:val="Heading2"/>
      </w:pPr>
      <w:r>
        <w:t>3.3 Volúmenes por ruta</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14"/>
            <w:shd w:val="clear" w:color="auto" w:fill="D9E2F3"/>
          </w:tcPr>
          <w:p>
            <w:pPr>
              <w:spacing w:after="20"/>
            </w:pPr>
            <w:r/>
            <w:r>
              <w:rPr>
                <w:b/>
                <w:sz w:val="17"/>
              </w:rPr>
              <w:t>Ruta</w:t>
            </w:r>
          </w:p>
        </w:tc>
        <w:tc>
          <w:tcPr>
            <w:tcW w:type="dxa" w:w="3969"/>
            <w:shd w:val="clear" w:color="auto" w:fill="D9E2F3"/>
          </w:tcPr>
          <w:p>
            <w:pPr>
              <w:spacing w:after="20"/>
            </w:pPr>
            <w:r/>
            <w:r>
              <w:rPr>
                <w:b/>
                <w:sz w:val="17"/>
              </w:rPr>
              <w:t>Criterio</w:t>
            </w:r>
          </w:p>
        </w:tc>
        <w:tc>
          <w:tcPr>
            <w:tcW w:type="dxa" w:w="1474"/>
            <w:shd w:val="clear" w:color="auto" w:fill="D9E2F3"/>
          </w:tcPr>
          <w:p>
            <w:pPr>
              <w:spacing w:after="20"/>
            </w:pPr>
            <w:r/>
            <w:r>
              <w:rPr>
                <w:b/>
                <w:sz w:val="17"/>
              </w:rPr>
              <w:t>Reclamos en 3 años</w:t>
            </w:r>
          </w:p>
        </w:tc>
        <w:tc>
          <w:tcPr>
            <w:tcW w:type="dxa" w:w="964"/>
            <w:shd w:val="clear" w:color="auto" w:fill="D9E2F3"/>
          </w:tcPr>
          <w:p>
            <w:pPr>
              <w:spacing w:after="20"/>
            </w:pPr>
            <w:r/>
            <w:r>
              <w:rPr>
                <w:b/>
                <w:sz w:val="17"/>
              </w:rPr>
              <w:t>Por año</w:t>
            </w:r>
          </w:p>
        </w:tc>
        <w:tc>
          <w:tcPr>
            <w:tcW w:type="dxa" w:w="1134"/>
            <w:shd w:val="clear" w:color="auto" w:fill="D9E2F3"/>
          </w:tcPr>
          <w:p>
            <w:pPr>
              <w:spacing w:after="20"/>
            </w:pPr>
            <w:r/>
            <w:r>
              <w:rPr>
                <w:b/>
                <w:sz w:val="17"/>
              </w:rPr>
              <w:t>Por día hábil</w:t>
            </w:r>
          </w:p>
        </w:tc>
      </w:tr>
      <w:tr>
        <w:tc>
          <w:tcPr>
            <w:tcW w:type="dxa" w:w="1814"/>
          </w:tcPr>
          <w:p>
            <w:pPr>
              <w:spacing w:after="20"/>
            </w:pPr>
            <w:r/>
            <w:r>
              <w:rPr>
                <w:b/>
                <w:sz w:val="17"/>
              </w:rPr>
              <w:t>C · Humano ahora</w:t>
            </w:r>
          </w:p>
        </w:tc>
        <w:tc>
          <w:tcPr>
            <w:tcW w:type="dxa" w:w="3969"/>
          </w:tcPr>
          <w:p>
            <w:pPr>
              <w:spacing w:after="20"/>
            </w:pPr>
            <w:r/>
            <w:r>
              <w:rPr>
                <w:sz w:val="17"/>
              </w:rPr>
              <w:t>Regulador (717) o reincidente (10.086) o prioridad crítica (3.355) o monto &gt; 500 USD (4.723) o fraude con score &gt; 30</w:t>
            </w:r>
          </w:p>
        </w:tc>
        <w:tc>
          <w:tcPr>
            <w:tcW w:type="dxa" w:w="1474"/>
          </w:tcPr>
          <w:p>
            <w:pPr>
              <w:spacing w:after="20"/>
            </w:pPr>
            <w:r/>
            <w:r>
              <w:rPr>
                <w:sz w:val="17"/>
              </w:rPr>
              <w:t>17.253 (26%)</w:t>
            </w:r>
          </w:p>
        </w:tc>
        <w:tc>
          <w:tcPr>
            <w:tcW w:type="dxa" w:w="964"/>
          </w:tcPr>
          <w:p>
            <w:pPr>
              <w:spacing w:after="20"/>
            </w:pPr>
            <w:r/>
            <w:r>
              <w:rPr>
                <w:sz w:val="17"/>
              </w:rPr>
              <w:t>5.750</w:t>
            </w:r>
          </w:p>
        </w:tc>
        <w:tc>
          <w:tcPr>
            <w:tcW w:type="dxa" w:w="1134"/>
          </w:tcPr>
          <w:p>
            <w:pPr>
              <w:spacing w:after="20"/>
            </w:pPr>
            <w:r/>
            <w:r>
              <w:rPr>
                <w:sz w:val="17"/>
              </w:rPr>
              <w:t>≈ 16</w:t>
            </w:r>
          </w:p>
        </w:tc>
      </w:tr>
      <w:tr>
        <w:tc>
          <w:tcPr>
            <w:tcW w:type="dxa" w:w="1814"/>
          </w:tcPr>
          <w:p>
            <w:pPr>
              <w:spacing w:after="20"/>
            </w:pPr>
            <w:r/>
            <w:r>
              <w:rPr>
                <w:b/>
                <w:sz w:val="17"/>
              </w:rPr>
              <w:t>A · Se resuelve ahora</w:t>
            </w:r>
          </w:p>
        </w:tc>
        <w:tc>
          <w:tcPr>
            <w:tcW w:type="dxa" w:w="3969"/>
          </w:tcPr>
          <w:p>
            <w:pPr>
              <w:spacing w:after="20"/>
            </w:pPr>
            <w:r/>
            <w:r>
              <w:rPr>
                <w:sz w:val="17"/>
              </w:rPr>
              <w:t>Meta: sugerencias (3.284) + consultas de estado + cargos y cobros explicados con datos</w:t>
            </w:r>
          </w:p>
        </w:tc>
        <w:tc>
          <w:tcPr>
            <w:tcW w:type="dxa" w:w="1474"/>
          </w:tcPr>
          <w:p>
            <w:pPr>
              <w:spacing w:after="20"/>
            </w:pPr>
            <w:r/>
            <w:r>
              <w:rPr>
                <w:sz w:val="17"/>
              </w:rPr>
              <w:t>≈ 17.000-20.000 (25-30%)</w:t>
            </w:r>
          </w:p>
        </w:tc>
        <w:tc>
          <w:tcPr>
            <w:tcW w:type="dxa" w:w="964"/>
          </w:tcPr>
          <w:p>
            <w:pPr>
              <w:spacing w:after="20"/>
            </w:pPr>
            <w:r/>
            <w:r>
              <w:rPr>
                <w:sz w:val="17"/>
              </w:rPr>
              <w:t>≈ 6.000</w:t>
            </w:r>
          </w:p>
        </w:tc>
        <w:tc>
          <w:tcPr>
            <w:tcW w:type="dxa" w:w="1134"/>
          </w:tcPr>
          <w:p>
            <w:pPr>
              <w:spacing w:after="20"/>
            </w:pPr>
            <w:r/>
            <w:r>
              <w:rPr>
                <w:sz w:val="17"/>
              </w:rPr>
              <w:t>≈ 17</w:t>
            </w:r>
          </w:p>
        </w:tc>
      </w:tr>
      <w:tr>
        <w:tc>
          <w:tcPr>
            <w:tcW w:type="dxa" w:w="1814"/>
          </w:tcPr>
          <w:p>
            <w:pPr>
              <w:spacing w:after="20"/>
            </w:pPr>
            <w:r/>
            <w:r>
              <w:rPr>
                <w:b/>
                <w:sz w:val="17"/>
              </w:rPr>
              <w:t>B · Caso con promesa</w:t>
            </w:r>
          </w:p>
        </w:tc>
        <w:tc>
          <w:tcPr>
            <w:tcW w:type="dxa" w:w="3969"/>
          </w:tcPr>
          <w:p>
            <w:pPr>
              <w:spacing w:after="20"/>
            </w:pPr>
            <w:r/>
            <w:r>
              <w:rPr>
                <w:sz w:val="17"/>
              </w:rPr>
              <w:t>El resto</w:t>
            </w:r>
          </w:p>
        </w:tc>
        <w:tc>
          <w:tcPr>
            <w:tcW w:type="dxa" w:w="1474"/>
          </w:tcPr>
          <w:p>
            <w:pPr>
              <w:spacing w:after="20"/>
            </w:pPr>
            <w:r/>
            <w:r>
              <w:rPr>
                <w:sz w:val="17"/>
              </w:rPr>
              <w:t>≈ 30.000-33.000 (45-50%)</w:t>
            </w:r>
          </w:p>
        </w:tc>
        <w:tc>
          <w:tcPr>
            <w:tcW w:type="dxa" w:w="964"/>
          </w:tcPr>
          <w:p>
            <w:pPr>
              <w:spacing w:after="20"/>
            </w:pPr>
            <w:r/>
            <w:r>
              <w:rPr>
                <w:sz w:val="17"/>
              </w:rPr>
              <w:t>≈ 10.500</w:t>
            </w:r>
          </w:p>
        </w:tc>
        <w:tc>
          <w:tcPr>
            <w:tcW w:type="dxa" w:w="1134"/>
          </w:tcPr>
          <w:p>
            <w:pPr>
              <w:spacing w:after="20"/>
            </w:pPr>
            <w:r/>
            <w:r>
              <w:rPr>
                <w:sz w:val="17"/>
              </w:rPr>
              <w:t>≈ 29</w:t>
            </w:r>
          </w:p>
        </w:tc>
      </w:tr>
    </w:tbl>
    <w:p>
      <w:pPr>
        <w:spacing w:after="40"/>
      </w:pPr>
    </w:p>
    <w:p>
      <w:pPr>
        <w:shd w:val="clear" w:color="auto" w:fill="F2F2F2"/>
        <w:spacing w:after="160"/>
        <w:ind w:left="170"/>
      </w:pPr>
      <w:r>
        <w:rPr>
          <w:b/>
          <w:sz w:val="19"/>
        </w:rPr>
        <w:t xml:space="preserve">Nota: </w:t>
      </w:r>
      <w:r>
        <w:rPr>
          <w:i/>
          <w:sz w:val="19"/>
        </w:rPr>
        <w:t>La ruta C se calcula con la data (26%). Las rutas A y B son metas: la proporción real de quejas que se resuelven con datos se mide en la evaluación con el conjunto de prueba, porque el dataset no dice cuántos cargos 'no reconocidos' eran en realidad compras olvidadas.</w:t>
      </w:r>
    </w:p>
    <w:p>
      <w:pPr>
        <w:pStyle w:val="Heading2"/>
      </w:pPr>
      <w:r>
        <w:t>3.4 Vía rápida de fraude (dentro de la ruta C)</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9E2F3"/>
          </w:tcPr>
          <w:p>
            <w:pPr>
              <w:spacing w:after="20"/>
            </w:pPr>
            <w:r/>
            <w:r>
              <w:rPr>
                <w:b/>
                <w:sz w:val="18"/>
              </w:rPr>
              <w:t>Concepto</w:t>
            </w:r>
          </w:p>
        </w:tc>
        <w:tc>
          <w:tcPr>
            <w:tcW w:type="dxa" w:w="5953"/>
            <w:shd w:val="clear" w:color="auto" w:fill="D9E2F3"/>
          </w:tcPr>
          <w:p>
            <w:pPr>
              <w:spacing w:after="20"/>
            </w:pPr>
            <w:r/>
            <w:r>
              <w:rPr>
                <w:b/>
                <w:sz w:val="18"/>
              </w:rPr>
              <w:t>Número exacto</w:t>
            </w:r>
          </w:p>
        </w:tc>
      </w:tr>
      <w:tr>
        <w:tc>
          <w:tcPr>
            <w:tcW w:type="dxa" w:w="3402"/>
          </w:tcPr>
          <w:p>
            <w:pPr>
              <w:spacing w:after="20"/>
            </w:pPr>
            <w:r/>
            <w:r>
              <w:rPr>
                <w:sz w:val="18"/>
              </w:rPr>
              <w:t>Fraudes reales en 4.425.008 transacciones</w:t>
            </w:r>
          </w:p>
        </w:tc>
        <w:tc>
          <w:tcPr>
            <w:tcW w:type="dxa" w:w="5953"/>
          </w:tcPr>
          <w:p>
            <w:pPr>
              <w:spacing w:after="20"/>
            </w:pPr>
            <w:r/>
            <w:r>
              <w:rPr>
                <w:sz w:val="18"/>
              </w:rPr>
              <w:t>4.316 (0,098%): 1.439 por año, 3,9 por día</w:t>
            </w:r>
          </w:p>
        </w:tc>
      </w:tr>
      <w:tr>
        <w:tc>
          <w:tcPr>
            <w:tcW w:type="dxa" w:w="3402"/>
          </w:tcPr>
          <w:p>
            <w:pPr>
              <w:spacing w:after="20"/>
            </w:pPr>
            <w:r/>
            <w:r>
              <w:rPr>
                <w:sz w:val="18"/>
              </w:rPr>
              <w:t>Aprobados por el banco / rechazados / pendientes o revertidos</w:t>
            </w:r>
          </w:p>
        </w:tc>
        <w:tc>
          <w:tcPr>
            <w:tcW w:type="dxa" w:w="5953"/>
          </w:tcPr>
          <w:p>
            <w:pPr>
              <w:spacing w:after="20"/>
            </w:pPr>
            <w:r/>
            <w:r>
              <w:rPr>
                <w:sz w:val="18"/>
              </w:rPr>
              <w:t>3.986 (92,4%) / 215 / 115</w:t>
            </w:r>
          </w:p>
        </w:tc>
      </w:tr>
      <w:tr>
        <w:tc>
          <w:tcPr>
            <w:tcW w:type="dxa" w:w="3402"/>
          </w:tcPr>
          <w:p>
            <w:pPr>
              <w:spacing w:after="20"/>
            </w:pPr>
            <w:r/>
            <w:r>
              <w:rPr>
                <w:sz w:val="18"/>
              </w:rPr>
              <w:t>Clientes afectados</w:t>
            </w:r>
          </w:p>
        </w:tc>
        <w:tc>
          <w:tcPr>
            <w:tcW w:type="dxa" w:w="5953"/>
          </w:tcPr>
          <w:p>
            <w:pPr>
              <w:spacing w:after="20"/>
            </w:pPr>
            <w:r/>
            <w:r>
              <w:rPr>
                <w:sz w:val="18"/>
              </w:rPr>
              <w:t>4.233</w:t>
            </w:r>
          </w:p>
        </w:tc>
      </w:tr>
      <w:tr>
        <w:tc>
          <w:tcPr>
            <w:tcW w:type="dxa" w:w="3402"/>
          </w:tcPr>
          <w:p>
            <w:pPr>
              <w:spacing w:after="20"/>
            </w:pPr>
            <w:r/>
            <w:r>
              <w:rPr>
                <w:sz w:val="18"/>
              </w:rPr>
              <w:t>Monto aprobado en fraude (3 años)</w:t>
            </w:r>
          </w:p>
        </w:tc>
        <w:tc>
          <w:tcPr>
            <w:tcW w:type="dxa" w:w="5953"/>
          </w:tcPr>
          <w:p>
            <w:pPr>
              <w:spacing w:after="20"/>
            </w:pPr>
            <w:r/>
            <w:r>
              <w:rPr>
                <w:sz w:val="18"/>
              </w:rPr>
              <w:t>6.258.630 USD</w:t>
            </w:r>
          </w:p>
        </w:tc>
      </w:tr>
      <w:tr>
        <w:tc>
          <w:tcPr>
            <w:tcW w:type="dxa" w:w="3402"/>
          </w:tcPr>
          <w:p>
            <w:pPr>
              <w:spacing w:after="20"/>
            </w:pPr>
            <w:r/>
            <w:r>
              <w:rPr>
                <w:sz w:val="18"/>
              </w:rPr>
              <w:t>Transacciones con score &gt; 30</w:t>
            </w:r>
          </w:p>
        </w:tc>
        <w:tc>
          <w:tcPr>
            <w:tcW w:type="dxa" w:w="5953"/>
          </w:tcPr>
          <w:p>
            <w:pPr>
              <w:spacing w:after="20"/>
            </w:pPr>
            <w:r/>
            <w:r>
              <w:rPr>
                <w:sz w:val="18"/>
              </w:rPr>
              <w:t>2.373, y las 2.373 son fraude (precisión 100%)</w:t>
            </w:r>
          </w:p>
        </w:tc>
      </w:tr>
      <w:tr>
        <w:tc>
          <w:tcPr>
            <w:tcW w:type="dxa" w:w="3402"/>
          </w:tcPr>
          <w:p>
            <w:pPr>
              <w:spacing w:after="20"/>
            </w:pPr>
            <w:r/>
            <w:r>
              <w:rPr>
                <w:sz w:val="18"/>
              </w:rPr>
              <w:t>Fraudes que la regla detecta / no detecta</w:t>
            </w:r>
          </w:p>
        </w:tc>
        <w:tc>
          <w:tcPr>
            <w:tcW w:type="dxa" w:w="5953"/>
          </w:tcPr>
          <w:p>
            <w:pPr>
              <w:spacing w:after="20"/>
            </w:pPr>
            <w:r/>
            <w:r>
              <w:rPr>
                <w:sz w:val="18"/>
              </w:rPr>
              <w:t>2.373 (55%) / 1.943 (45%, sin ninguna otra señal)</w:t>
            </w:r>
          </w:p>
        </w:tc>
      </w:tr>
      <w:tr>
        <w:tc>
          <w:tcPr>
            <w:tcW w:type="dxa" w:w="3402"/>
          </w:tcPr>
          <w:p>
            <w:pPr>
              <w:spacing w:after="20"/>
            </w:pPr>
            <w:r/>
            <w:r>
              <w:rPr>
                <w:sz w:val="18"/>
              </w:rPr>
              <w:t>Fraude por tipo de producto</w:t>
            </w:r>
          </w:p>
        </w:tc>
        <w:tc>
          <w:tcPr>
            <w:tcW w:type="dxa" w:w="5953"/>
          </w:tcPr>
          <w:p>
            <w:pPr>
              <w:spacing w:after="20"/>
            </w:pPr>
            <w:r/>
            <w:r>
              <w:rPr>
                <w:sz w:val="18"/>
              </w:rPr>
              <w:t>0,10% de las transacciones en todos: ahorro 1.257, tarjeta de crédito 1.111, cuenta corriente 1.065, débito 437, préstamo personal 230, hipotecario 133, inversión 62, seguro 21</w:t>
            </w:r>
          </w:p>
        </w:tc>
      </w:tr>
      <w:tr>
        <w:tc>
          <w:tcPr>
            <w:tcW w:type="dxa" w:w="3402"/>
          </w:tcPr>
          <w:p>
            <w:pPr>
              <w:spacing w:after="20"/>
            </w:pPr>
            <w:r/>
            <w:r>
              <w:rPr>
                <w:sz w:val="18"/>
              </w:rPr>
              <w:t>Reclamos 'Cargo no reconocido' con fraude real previo (90 días)</w:t>
            </w:r>
          </w:p>
        </w:tc>
        <w:tc>
          <w:tcPr>
            <w:tcW w:type="dxa" w:w="5953"/>
          </w:tcPr>
          <w:p>
            <w:pPr>
              <w:spacing w:after="20"/>
            </w:pPr>
            <w:r/>
            <w:r>
              <w:rPr>
                <w:sz w:val="18"/>
              </w:rPr>
              <w:t>0,21%, igual que los reclamos de sucursal: no hay conexión</w:t>
            </w:r>
          </w:p>
        </w:tc>
      </w:tr>
    </w:tbl>
    <w:p>
      <w:pPr>
        <w:spacing w:after="40"/>
      </w:pPr>
    </w:p>
    <w:p>
      <w:r>
        <w:rPr>
          <w:b w:val="0"/>
          <w:i w:val="0"/>
        </w:rPr>
        <w:t>Flujo: el cliente dice “me robaron la tarjeta” / “no hice esta compra”, o el cargo identificado tiene score &gt; 30 → se listan los cargos recientes con su riesgo → se ofrece bloquear la tarjeta y se ejecuta solo con confirmación explícita, verificando el resultado en el core → se abre el caso 'Cargo no reconocido' con la evidencia → cola de Fraudes (96 agentes activos), prioridad alta, SLA interno 2 h. El chat nunca desbloquea, nunca promete reembolso.</w:t>
      </w:r>
    </w:p>
    <w:p>
      <w:r>
        <w:rPr>
          <w:b w:val="0"/>
          <w:i w:val="0"/>
        </w:rPr>
        <w:t>Extensión opcional (si sobra tiempo): aviso por push o correo de cada consumo, como exige la SBS en Perú y hacen Yape, Plin y BCP, con un botón “No reconozco este consumo” que abre el chat autenticado con el cargo precargado. Los cargos con score &gt; 30 llevan un aviso más fuerte. Volumen en este banco: 4.000 avisos al día; 2 al día con riesgo alto.</w:t>
      </w:r>
    </w:p>
    <w:p>
      <w:r>
        <w:br w:type="page"/>
      </w:r>
    </w:p>
    <w:p>
      <w:pPr>
        <w:pStyle w:val="Heading1"/>
      </w:pPr>
      <w:r>
        <w:t>4. Contactos que no son quejas: qué hace el sistema con ellos</w:t>
      </w:r>
    </w:p>
    <w:p>
      <w:r>
        <w:rPr>
          <w:b w:val="0"/>
          <w:i w:val="0"/>
        </w:rPr>
        <w:t>Las quejas son el 17% de los contactos. El otro 83% también va a llegar al chat, y el sistema debe saber qué hacer con cada uno sin salirse del alcance (un flujo profundo, no seis a medias).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381"/>
            <w:shd w:val="clear" w:color="auto" w:fill="D9E2F3"/>
          </w:tcPr>
          <w:p>
            <w:pPr>
              <w:spacing w:after="20"/>
            </w:pPr>
            <w:r/>
            <w:r>
              <w:rPr>
                <w:b/>
                <w:sz w:val="17"/>
              </w:rPr>
              <w:t>Motivo del contacto</w:t>
            </w:r>
          </w:p>
        </w:tc>
        <w:tc>
          <w:tcPr>
            <w:tcW w:type="dxa" w:w="1247"/>
            <w:shd w:val="clear" w:color="auto" w:fill="D9E2F3"/>
          </w:tcPr>
          <w:p>
            <w:pPr>
              <w:spacing w:after="20"/>
            </w:pPr>
            <w:r/>
            <w:r>
              <w:rPr>
                <w:b/>
                <w:sz w:val="17"/>
              </w:rPr>
              <w:t>Contactos (3 años)</w:t>
            </w:r>
          </w:p>
        </w:tc>
        <w:tc>
          <w:tcPr>
            <w:tcW w:type="dxa" w:w="567"/>
            <w:shd w:val="clear" w:color="auto" w:fill="D9E2F3"/>
          </w:tcPr>
          <w:p>
            <w:pPr>
              <w:spacing w:after="20"/>
            </w:pPr>
            <w:r/>
            <w:r>
              <w:rPr>
                <w:b/>
                <w:sz w:val="17"/>
              </w:rPr>
              <w:t>%</w:t>
            </w:r>
          </w:p>
        </w:tc>
        <w:tc>
          <w:tcPr>
            <w:tcW w:type="dxa" w:w="1020"/>
            <w:shd w:val="clear" w:color="auto" w:fill="D9E2F3"/>
          </w:tcPr>
          <w:p>
            <w:pPr>
              <w:spacing w:after="20"/>
            </w:pPr>
            <w:r/>
            <w:r>
              <w:rPr>
                <w:b/>
                <w:sz w:val="17"/>
              </w:rPr>
              <w:t>Se resuelve hoy</w:t>
            </w:r>
          </w:p>
        </w:tc>
        <w:tc>
          <w:tcPr>
            <w:tcW w:type="dxa" w:w="4139"/>
            <w:shd w:val="clear" w:color="auto" w:fill="D9E2F3"/>
          </w:tcPr>
          <w:p>
            <w:pPr>
              <w:spacing w:after="20"/>
            </w:pPr>
            <w:r/>
            <w:r>
              <w:rPr>
                <w:b/>
                <w:sz w:val="17"/>
              </w:rPr>
              <w:t>Qué hace Expediente Vivo</w:t>
            </w:r>
          </w:p>
        </w:tc>
      </w:tr>
      <w:tr>
        <w:tc>
          <w:tcPr>
            <w:tcW w:type="dxa" w:w="2381"/>
          </w:tcPr>
          <w:p>
            <w:pPr>
              <w:spacing w:after="20"/>
            </w:pPr>
            <w:r/>
            <w:r>
              <w:rPr>
                <w:b/>
                <w:sz w:val="17"/>
              </w:rPr>
              <w:t>Transaccional (movimientos, pagos, saldos)</w:t>
            </w:r>
          </w:p>
        </w:tc>
        <w:tc>
          <w:tcPr>
            <w:tcW w:type="dxa" w:w="1247"/>
          </w:tcPr>
          <w:p>
            <w:pPr>
              <w:spacing w:after="20"/>
            </w:pPr>
            <w:r/>
            <w:r>
              <w:rPr>
                <w:sz w:val="17"/>
              </w:rPr>
              <w:t>240.056</w:t>
            </w:r>
          </w:p>
        </w:tc>
        <w:tc>
          <w:tcPr>
            <w:tcW w:type="dxa" w:w="567"/>
          </w:tcPr>
          <w:p>
            <w:pPr>
              <w:spacing w:after="20"/>
            </w:pPr>
            <w:r/>
            <w:r>
              <w:rPr>
                <w:sz w:val="17"/>
              </w:rPr>
              <w:t>35%</w:t>
            </w:r>
          </w:p>
        </w:tc>
        <w:tc>
          <w:tcPr>
            <w:tcW w:type="dxa" w:w="1020"/>
          </w:tcPr>
          <w:p>
            <w:pPr>
              <w:spacing w:after="20"/>
            </w:pPr>
            <w:r/>
            <w:r>
              <w:rPr>
                <w:sz w:val="17"/>
              </w:rPr>
              <w:t>91,5%</w:t>
            </w:r>
          </w:p>
        </w:tc>
        <w:tc>
          <w:tcPr>
            <w:tcW w:type="dxa" w:w="4139"/>
          </w:tcPr>
          <w:p>
            <w:pPr>
              <w:spacing w:after="20"/>
            </w:pPr>
            <w:r/>
            <w:r>
              <w:rPr>
                <w:sz w:val="17"/>
              </w:rPr>
              <w:t>Lo atiende en modo consulta con las mismas herramientas (cargos, tarjetas, saldo): es la ruta A sin abrir caso. Si el cliente descubre un cargo que no reconoce, entra al flujo de queja</w:t>
            </w:r>
          </w:p>
        </w:tc>
      </w:tr>
      <w:tr>
        <w:tc>
          <w:tcPr>
            <w:tcW w:type="dxa" w:w="2381"/>
          </w:tcPr>
          <w:p>
            <w:pPr>
              <w:spacing w:after="20"/>
            </w:pPr>
            <w:r/>
            <w:r>
              <w:rPr>
                <w:b/>
                <w:sz w:val="17"/>
              </w:rPr>
              <w:t>Producto (cuentas, tarjetas, condiciones)</w:t>
            </w:r>
          </w:p>
        </w:tc>
        <w:tc>
          <w:tcPr>
            <w:tcW w:type="dxa" w:w="1247"/>
          </w:tcPr>
          <w:p>
            <w:pPr>
              <w:spacing w:after="20"/>
            </w:pPr>
            <w:r/>
            <w:r>
              <w:rPr>
                <w:sz w:val="17"/>
              </w:rPr>
              <w:t>150.863</w:t>
            </w:r>
          </w:p>
        </w:tc>
        <w:tc>
          <w:tcPr>
            <w:tcW w:type="dxa" w:w="567"/>
          </w:tcPr>
          <w:p>
            <w:pPr>
              <w:spacing w:after="20"/>
            </w:pPr>
            <w:r/>
            <w:r>
              <w:rPr>
                <w:sz w:val="17"/>
              </w:rPr>
              <w:t>22%</w:t>
            </w:r>
          </w:p>
        </w:tc>
        <w:tc>
          <w:tcPr>
            <w:tcW w:type="dxa" w:w="1020"/>
          </w:tcPr>
          <w:p>
            <w:pPr>
              <w:spacing w:after="20"/>
            </w:pPr>
            <w:r/>
            <w:r>
              <w:rPr>
                <w:sz w:val="17"/>
              </w:rPr>
              <w:t>89,6%</w:t>
            </w:r>
          </w:p>
        </w:tc>
        <w:tc>
          <w:tcPr>
            <w:tcW w:type="dxa" w:w="4139"/>
          </w:tcPr>
          <w:p>
            <w:pPr>
              <w:spacing w:after="20"/>
            </w:pPr>
            <w:r/>
            <w:r>
              <w:rPr>
                <w:sz w:val="17"/>
              </w:rPr>
              <w:t>Responde lo que está en datos (estado de tarjeta, vencimiento, productos del cliente); lo demás lo deriva al menú de autoservicio o a un humano</w:t>
            </w:r>
          </w:p>
        </w:tc>
      </w:tr>
      <w:tr>
        <w:tc>
          <w:tcPr>
            <w:tcW w:type="dxa" w:w="2381"/>
          </w:tcPr>
          <w:p>
            <w:pPr>
              <w:spacing w:after="20"/>
            </w:pPr>
            <w:r/>
            <w:r>
              <w:rPr>
                <w:b/>
                <w:sz w:val="17"/>
              </w:rPr>
              <w:t>Queja</w:t>
            </w:r>
          </w:p>
        </w:tc>
        <w:tc>
          <w:tcPr>
            <w:tcW w:type="dxa" w:w="1247"/>
          </w:tcPr>
          <w:p>
            <w:pPr>
              <w:spacing w:after="20"/>
            </w:pPr>
            <w:r/>
            <w:r>
              <w:rPr>
                <w:sz w:val="17"/>
              </w:rPr>
              <w:t>117.021</w:t>
            </w:r>
          </w:p>
        </w:tc>
        <w:tc>
          <w:tcPr>
            <w:tcW w:type="dxa" w:w="567"/>
          </w:tcPr>
          <w:p>
            <w:pPr>
              <w:spacing w:after="20"/>
            </w:pPr>
            <w:r/>
            <w:r>
              <w:rPr>
                <w:sz w:val="17"/>
              </w:rPr>
              <w:t>17%</w:t>
            </w:r>
          </w:p>
        </w:tc>
        <w:tc>
          <w:tcPr>
            <w:tcW w:type="dxa" w:w="1020"/>
          </w:tcPr>
          <w:p>
            <w:pPr>
              <w:spacing w:after="20"/>
            </w:pPr>
            <w:r/>
            <w:r>
              <w:rPr>
                <w:sz w:val="17"/>
              </w:rPr>
              <w:t>43,6%</w:t>
            </w:r>
          </w:p>
        </w:tc>
        <w:tc>
          <w:tcPr>
            <w:tcW w:type="dxa" w:w="4139"/>
          </w:tcPr>
          <w:p>
            <w:pPr>
              <w:spacing w:after="20"/>
            </w:pPr>
            <w:r/>
            <w:r>
              <w:rPr>
                <w:sz w:val="17"/>
              </w:rPr>
              <w:t>El flujo completo de este documento</w:t>
            </w:r>
          </w:p>
        </w:tc>
      </w:tr>
      <w:tr>
        <w:tc>
          <w:tcPr>
            <w:tcW w:type="dxa" w:w="2381"/>
          </w:tcPr>
          <w:p>
            <w:pPr>
              <w:spacing w:after="20"/>
            </w:pPr>
            <w:r/>
            <w:r>
              <w:rPr>
                <w:b/>
                <w:sz w:val="17"/>
              </w:rPr>
              <w:t>Técnico (app, web)</w:t>
            </w:r>
          </w:p>
        </w:tc>
        <w:tc>
          <w:tcPr>
            <w:tcW w:type="dxa" w:w="1247"/>
          </w:tcPr>
          <w:p>
            <w:pPr>
              <w:spacing w:after="20"/>
            </w:pPr>
            <w:r/>
            <w:r>
              <w:rPr>
                <w:sz w:val="17"/>
              </w:rPr>
              <w:t>102.899</w:t>
            </w:r>
          </w:p>
        </w:tc>
        <w:tc>
          <w:tcPr>
            <w:tcW w:type="dxa" w:w="567"/>
          </w:tcPr>
          <w:p>
            <w:pPr>
              <w:spacing w:after="20"/>
            </w:pPr>
            <w:r/>
            <w:r>
              <w:rPr>
                <w:sz w:val="17"/>
              </w:rPr>
              <w:t>15%</w:t>
            </w:r>
          </w:p>
        </w:tc>
        <w:tc>
          <w:tcPr>
            <w:tcW w:type="dxa" w:w="1020"/>
          </w:tcPr>
          <w:p>
            <w:pPr>
              <w:spacing w:after="20"/>
            </w:pPr>
            <w:r/>
            <w:r>
              <w:rPr>
                <w:sz w:val="17"/>
              </w:rPr>
              <w:t>69,9%</w:t>
            </w:r>
          </w:p>
        </w:tc>
        <w:tc>
          <w:tcPr>
            <w:tcW w:type="dxa" w:w="4139"/>
          </w:tcPr>
          <w:p>
            <w:pPr>
              <w:spacing w:after="20"/>
            </w:pPr>
            <w:r/>
            <w:r>
              <w:rPr>
                <w:sz w:val="17"/>
              </w:rPr>
              <w:t>Solo si es una queja de 'problema con app'; el soporte técnico puro se deriva a Soporte Técnico (89 agentes)</w:t>
            </w:r>
          </w:p>
        </w:tc>
      </w:tr>
      <w:tr>
        <w:tc>
          <w:tcPr>
            <w:tcW w:type="dxa" w:w="2381"/>
          </w:tcPr>
          <w:p>
            <w:pPr>
              <w:spacing w:after="20"/>
            </w:pPr>
            <w:r/>
            <w:r>
              <w:rPr>
                <w:b/>
                <w:sz w:val="17"/>
              </w:rPr>
              <w:t>Comercial (ventas, ofertas)</w:t>
            </w:r>
          </w:p>
        </w:tc>
        <w:tc>
          <w:tcPr>
            <w:tcW w:type="dxa" w:w="1247"/>
          </w:tcPr>
          <w:p>
            <w:pPr>
              <w:spacing w:after="20"/>
            </w:pPr>
            <w:r/>
            <w:r>
              <w:rPr>
                <w:sz w:val="17"/>
              </w:rPr>
              <w:t>54.879</w:t>
            </w:r>
          </w:p>
        </w:tc>
        <w:tc>
          <w:tcPr>
            <w:tcW w:type="dxa" w:w="567"/>
          </w:tcPr>
          <w:p>
            <w:pPr>
              <w:spacing w:after="20"/>
            </w:pPr>
            <w:r/>
            <w:r>
              <w:rPr>
                <w:sz w:val="17"/>
              </w:rPr>
              <w:t>8%</w:t>
            </w:r>
          </w:p>
        </w:tc>
        <w:tc>
          <w:tcPr>
            <w:tcW w:type="dxa" w:w="1020"/>
          </w:tcPr>
          <w:p>
            <w:pPr>
              <w:spacing w:after="20"/>
            </w:pPr>
            <w:r/>
            <w:r>
              <w:rPr>
                <w:sz w:val="17"/>
              </w:rPr>
              <w:t>65,2%</w:t>
            </w:r>
          </w:p>
        </w:tc>
        <w:tc>
          <w:tcPr>
            <w:tcW w:type="dxa" w:w="4139"/>
          </w:tcPr>
          <w:p>
            <w:pPr>
              <w:spacing w:after="20"/>
            </w:pPr>
            <w:r/>
            <w:r>
              <w:rPr>
                <w:sz w:val="17"/>
              </w:rPr>
              <w:t>Fuera de alcance: mensaje claro y derivación a Ventas (74 agentes). Nunca vende ni promete condiciones</w:t>
            </w:r>
          </w:p>
        </w:tc>
      </w:tr>
      <w:tr>
        <w:tc>
          <w:tcPr>
            <w:tcW w:type="dxa" w:w="2381"/>
          </w:tcPr>
          <w:p>
            <w:pPr>
              <w:spacing w:after="20"/>
            </w:pPr>
            <w:r/>
            <w:r>
              <w:rPr>
                <w:b/>
                <w:sz w:val="17"/>
              </w:rPr>
              <w:t>Retención (cliente que quiere irse)</w:t>
            </w:r>
          </w:p>
        </w:tc>
        <w:tc>
          <w:tcPr>
            <w:tcW w:type="dxa" w:w="1247"/>
          </w:tcPr>
          <w:p>
            <w:pPr>
              <w:spacing w:after="20"/>
            </w:pPr>
            <w:r/>
            <w:r>
              <w:rPr>
                <w:sz w:val="17"/>
              </w:rPr>
              <w:t>20.578</w:t>
            </w:r>
          </w:p>
        </w:tc>
        <w:tc>
          <w:tcPr>
            <w:tcW w:type="dxa" w:w="567"/>
          </w:tcPr>
          <w:p>
            <w:pPr>
              <w:spacing w:after="20"/>
            </w:pPr>
            <w:r/>
            <w:r>
              <w:rPr>
                <w:sz w:val="17"/>
              </w:rPr>
              <w:t>3%</w:t>
            </w:r>
          </w:p>
        </w:tc>
        <w:tc>
          <w:tcPr>
            <w:tcW w:type="dxa" w:w="1020"/>
          </w:tcPr>
          <w:p>
            <w:pPr>
              <w:spacing w:after="20"/>
            </w:pPr>
            <w:r/>
            <w:r>
              <w:rPr>
                <w:sz w:val="17"/>
              </w:rPr>
              <w:t>60,2%</w:t>
            </w:r>
          </w:p>
        </w:tc>
        <w:tc>
          <w:tcPr>
            <w:tcW w:type="dxa" w:w="4139"/>
          </w:tcPr>
          <w:p>
            <w:pPr>
              <w:spacing w:after="20"/>
            </w:pPr>
            <w:r/>
            <w:r>
              <w:rPr>
                <w:sz w:val="17"/>
              </w:rPr>
              <w:t>Fuera de alcance: se detecta la intención y se deriva de inmediato a Retención (85 agentes), con lo que el cliente dijo</w:t>
            </w:r>
          </w:p>
        </w:tc>
      </w:tr>
    </w:tbl>
    <w:p>
      <w:pPr>
        <w:spacing w:after="40"/>
      </w:pPr>
    </w:p>
    <w:p>
      <w:r>
        <w:rPr>
          <w:b/>
          <w:i w:val="0"/>
        </w:rPr>
        <w:t xml:space="preserve">Por qué así: </w:t>
      </w:r>
      <w:r>
        <w:t>el brief pide un flujo coherente y profundo, y el caso 'ambiguo o no soportado' es obligatorio. Que el sistema reconozca lo que no atiende y lo derive bien (con contexto, a la cola correcta) cuenta como comportamiento correcto, no como falla. Además, Transaccional es el motivo que hoy mejor se resuelve (91,5%): las consultas de saldo y movimientos salen 'gratis' con las herramientas que ya existen para las quejas, así que el chat sirve para el 52% de los contactos (Transaccional + Queja) desde el primer día.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Análisis de quejas y flujo de atención · Expediente Vivo · página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