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 meeting notes processed by Azure Open AI and Azure Speech services. Date: 11-Sep-2023 15:26:33</w:t>
        <w:br/>
        <w:br/>
        <w:t>Classification: Finance</w:t>
        <w:br/>
        <w:br/>
        <w:t>People Names:</w:t>
        <w:br/>
        <w:t xml:space="preserve">John Doe </w:t>
        <w:br/>
        <w:br/>
        <w:t>Organizations:</w:t>
        <w:br/>
        <w:t xml:space="preserve">Fintech Plus </w:t>
        <w:br/>
        <w:t>Pay Plus</w:t>
        <w:br/>
        <w:br/>
        <w:t>Summary:</w:t>
        <w:br/>
        <w:t>Fintech Plus Sync had a successful Q2 with a revenue of 125 million, a 25% increase year over year, and a gross profit margin of 58%. Their net income rose to 16 million, total assets reached 1.5 billion, and their debt to equity ratio stood at 1.5. They saw organic user growth and had a LTV CAC ratio of 3.5%. They have a value at risk model in place and are expecting a 8% quarter over quarter revenue growth in the next quarter, driven by blockchain and AI. Additionally, they are excited about their subsidiary's upcoming IPO, which is expected to raise 200 million.</w:t>
        <w:br/>
        <w:br/>
        <w:t xml:space="preserve">Main Points: </w:t>
        <w:br/>
        <w:t>1. Q2 2023 revenue of 125 million, a 25% increase year over year.</w:t>
        <w:br/>
        <w:t>2. Gross profit margin of 58%, with a 30% EBITDA margin</w:t>
        <w:br/>
        <w:t>3. Net income for the quarter rose to 16 million, up from 10 million the previous year</w:t>
        <w:br/>
        <w:t xml:space="preserve">4. Investing in asset-backed securities and corporate bonds </w:t>
        <w:br/>
        <w:t xml:space="preserve">5. Total assets of 1.5 billion, total liabilities of 900 million, and equity base of 600 million </w:t>
        <w:br/>
        <w:t xml:space="preserve">6. Debt to equity ratio of 1.5, a healthy figure </w:t>
        <w:br/>
        <w:t xml:space="preserve">7. Organic user growth with customer acquisition cost dropping by 15% and lifetime value growing by 25% </w:t>
        <w:br/>
        <w:t xml:space="preserve">8. LTV CAC ratio of 3.5% </w:t>
        <w:br/>
        <w:t>9. Risk management with a 99% confidence level and a maximum loss of 5 million</w:t>
        <w:br/>
        <w:t xml:space="preserve">10. Forecast of 8% quarter over quarter growth in Q3 driven by blockchain and AI </w:t>
        <w:br/>
        <w:t xml:space="preserve">11. Upcoming IPO of Fintech subsidiary Pay Plus, expected to raise 200 million </w:t>
        <w:br/>
        <w:t>12. Continued faith from shareholders</w:t>
        <w:br/>
        <w:br/>
        <w:t xml:space="preserve">Action Items: </w:t>
        <w:br/>
        <w:t xml:space="preserve">1. Diversify asset backed securities portfolio </w:t>
        <w:br/>
        <w:t xml:space="preserve">2. Invest 25 million in AAA rated corporate bonds </w:t>
        <w:br/>
        <w:t xml:space="preserve">3. Expand high yield savings product line </w:t>
        <w:br/>
        <w:t>4. Launch Robo advisor platform</w:t>
        <w:br/>
        <w:t xml:space="preserve">5. Adopt a conservative approach to managing leverage </w:t>
        <w:br/>
        <w:t xml:space="preserve">6. Invest in collateralized debt obligations and residential mortgage-backed securities </w:t>
        <w:br/>
        <w:t xml:space="preserve">7. Implement value at risk model with 99% confidence level </w:t>
        <w:br/>
        <w:t xml:space="preserve">8. Launch blockchain chain solutions and AI driven predictive analytics </w:t>
        <w:br/>
        <w:t xml:space="preserve">9. Prepare for Pay Plus IPO </w:t>
        <w:br/>
        <w:t>10. Set aggressive growth strategies for Q3</w:t>
        <w:br/>
        <w:br/>
        <w:t>The sentiment of this text is generally positive. The text indicates strong financial performance for the company, including high revenue, gross profit margins, net income, and addressable market growth. The company is also diversifying its asset-backed securities portfolio, investing in high-rated corporate bonds, and growing customer acquisition cost and lifetime value. The overall tone of the text conveys confidence in the company's success and a positive outlook for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