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ptos" w:cs="Aptos" w:eastAsia="Aptos" w:hAnsi="Aptos"/>
          <w:b/>
          <w:bCs/>
          <w:color w:val="0078D4"/>
          <w:spacing w:val="120"/>
          <w:sz w:val="18"/>
          <w:szCs w:val="18"/>
        </w:rPr>
        <w:t xml:space="preserve">PROPOSED SESSION</w:t>
      </w:r>
    </w:p>
    <w:p>
      <w:pPr>
        <w:pBdr>
          <w:bottom w:val="single" w:color="0078D4" w:sz="16" w:space="8"/>
        </w:pBdr>
        <w:spacing w:after="280"/>
      </w:pPr>
      <w:r>
        <w:rPr>
          <w:rFonts w:ascii="Aptos Display" w:cs="Aptos Display" w:eastAsia="Aptos Display" w:hAnsi="Aptos Display"/>
          <w:b/>
          <w:bCs/>
          <w:color w:val="164E63"/>
          <w:sz w:val="42"/>
          <w:szCs w:val="42"/>
        </w:rPr>
        <w:br/>
        <w:t xml:space="preserve">From Prompt to Proven Architecture:</w:t>
      </w:r>
      <w:r>
        <w:rPr>
          <w:rFonts w:ascii="Aptos Display" w:cs="Aptos Display" w:eastAsia="Aptos Display" w:hAnsi="Aptos Display"/>
          <w:b/>
          <w:bCs/>
          <w:color w:val="164E63"/>
          <w:sz w:val="42"/>
          <w:szCs w:val="42"/>
        </w:rPr>
        <w:br/>
        <w:t xml:space="preserve">Building and Evaluating an AI-Powered Azure Design Experience</w:t>
      </w:r>
    </w:p>
    <w:p>
      <w:pPr>
        <w:spacing w:after="240"/>
      </w:pPr>
      <w:r>
        <w:rPr>
          <w:rFonts w:ascii="Aptos Display" w:cs="Aptos Display" w:eastAsia="Aptos Display" w:hAnsi="Aptos Display"/>
          <w:b/>
          <w:bCs/>
          <w:color w:val="0078D4"/>
          <w:sz w:val="26"/>
          <w:szCs w:val="26"/>
        </w:rPr>
        <w:t xml:space="preserve">AI &amp; ML Connected Community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3FA" w:val="clear"/>
            <w:tcMar>
              <w:top w:type="dxa" w:w="120"/>
              <w:left w:type="dxa" w:w="160"/>
              <w:bottom w:type="dxa" w:w="120"/>
              <w:right w:type="dxa" w:w="160"/>
            </w:tcMar>
            <w:vAlign w:val="center"/>
          </w:tcPr>
          <w:p>
            <w:pPr>
              <w:spacing w:after="25"/>
            </w:pPr>
            <w:r>
              <w:rPr>
                <w:rFonts w:ascii="Aptos" w:cs="Aptos" w:eastAsia="Aptos" w:hAnsi="Aptos"/>
                <w:b/>
                <w:bCs/>
                <w:color w:val="0078D4"/>
                <w:sz w:val="16"/>
                <w:szCs w:val="16"/>
              </w:rPr>
              <w:t xml:space="preserve">DATE</w:t>
            </w:r>
          </w:p>
          <w:p>
            <w:r>
              <w:rPr>
                <w:rFonts w:ascii="Aptos" w:cs="Aptos" w:eastAsia="Aptos" w:hAnsi="Aptos"/>
                <w:color w:val="172033"/>
                <w:sz w:val="21"/>
                <w:szCs w:val="21"/>
              </w:rPr>
              <w:t xml:space="preserve">To be confirmed</w:t>
            </w:r>
          </w:p>
        </w:tc>
        <w:tc>
          <w:tcPr>
            <w:tcW w:type="dxa" w:w="3120"/>
            <w:tcBorders>
              <w:top w:val="none" w:color="FFFFFF" w:sz="0"/>
              <w:left w:val="none" w:color="FFFFFF" w:sz="0"/>
              <w:bottom w:val="none" w:color="FFFFFF" w:sz="0"/>
              <w:right w:val="none" w:color="FFFFFF" w:sz="0"/>
            </w:tcBorders>
            <w:tcMar>
              <w:top w:type="dxa" w:w="120"/>
              <w:left w:type="dxa" w:w="160"/>
              <w:bottom w:type="dxa" w:w="120"/>
              <w:right w:type="dxa" w:w="160"/>
            </w:tcMar>
            <w:vAlign w:val="center"/>
          </w:tcPr>
          <w:p>
            <w:pPr>
              <w:spacing w:after="25"/>
            </w:pPr>
            <w:r>
              <w:rPr>
                <w:rFonts w:ascii="Aptos" w:cs="Aptos" w:eastAsia="Aptos" w:hAnsi="Aptos"/>
                <w:b/>
                <w:bCs/>
                <w:color w:val="0078D4"/>
                <w:sz w:val="16"/>
                <w:szCs w:val="16"/>
              </w:rPr>
              <w:t xml:space="preserve">TIME</w:t>
            </w:r>
          </w:p>
          <w:p>
            <w:r>
              <w:rPr>
                <w:rFonts w:ascii="Aptos" w:cs="Aptos" w:eastAsia="Aptos" w:hAnsi="Aptos"/>
                <w:color w:val="172033"/>
                <w:sz w:val="21"/>
                <w:szCs w:val="21"/>
              </w:rPr>
              <w:t xml:space="preserve">60-minute session</w:t>
            </w:r>
          </w:p>
        </w:tc>
        <w:tc>
          <w:tcPr>
            <w:tcW w:type="dxa" w:w="3120"/>
            <w:tcBorders>
              <w:top w:val="none" w:color="FFFFFF" w:sz="0"/>
              <w:left w:val="none" w:color="FFFFFF" w:sz="0"/>
              <w:bottom w:val="none" w:color="FFFFFF" w:sz="0"/>
              <w:right w:val="none" w:color="FFFFFF" w:sz="0"/>
            </w:tcBorders>
            <w:shd w:fill="E8F3FA" w:val="clear"/>
            <w:tcMar>
              <w:top w:type="dxa" w:w="120"/>
              <w:left w:type="dxa" w:w="160"/>
              <w:bottom w:type="dxa" w:w="120"/>
              <w:right w:type="dxa" w:w="160"/>
            </w:tcMar>
            <w:vAlign w:val="center"/>
          </w:tcPr>
          <w:p>
            <w:pPr>
              <w:spacing w:after="25"/>
            </w:pPr>
            <w:r>
              <w:rPr>
                <w:rFonts w:ascii="Aptos" w:cs="Aptos" w:eastAsia="Aptos" w:hAnsi="Aptos"/>
                <w:b/>
                <w:bCs/>
                <w:color w:val="0078D4"/>
                <w:sz w:val="16"/>
                <w:szCs w:val="16"/>
              </w:rPr>
              <w:t xml:space="preserve">PRESENTER</w:t>
            </w:r>
          </w:p>
          <w:p>
            <w:r>
              <w:rPr>
                <w:rFonts w:ascii="Aptos" w:cs="Aptos" w:eastAsia="Aptos" w:hAnsi="Aptos"/>
                <w:color w:val="172033"/>
                <w:sz w:val="21"/>
                <w:szCs w:val="21"/>
              </w:rPr>
              <w:t xml:space="preserve">Arturo Quiroga</w:t>
            </w:r>
          </w:p>
        </w:tc>
      </w:tr>
    </w:tbl>
    <w:p>
      <w:pPr>
        <w:spacing w:after="70"/>
      </w:pPr>
    </w:p>
    <w:p>
      <w:pPr>
        <w:pStyle w:val="Heading1"/>
      </w:pPr>
      <w:r>
        <w:rPr>
          <w:rFonts w:ascii="Aptos Display" w:cs="Aptos Display" w:eastAsia="Aptos Display" w:hAnsi="Aptos Display"/>
          <w:b/>
          <w:bCs/>
          <w:color w:val="164E63"/>
          <w:sz w:val="30"/>
          <w:szCs w:val="30"/>
        </w:rPr>
        <w:t xml:space="preserve">Abstract</w:t>
      </w:r>
    </w:p>
    <w:p>
      <w:r>
        <w:rPr>
          <w:rFonts w:ascii="Aptos" w:cs="Aptos" w:eastAsia="Aptos" w:hAnsi="Aptos"/>
          <w:color w:val="172033"/>
          <w:sz w:val="22"/>
          <w:szCs w:val="22"/>
        </w:rPr>
        <w:t xml:space="preserve">How do you turn a natural-language architecture idea into an editable, validated, and implementation-ready Azure design without treating the model’s first answer as final?</w:t>
      </w:r>
    </w:p>
    <w:p>
      <w:r>
        <w:rPr>
          <w:rFonts w:ascii="Aptos" w:cs="Aptos" w:eastAsia="Aptos" w:hAnsi="Aptos"/>
          <w:color w:val="172033"/>
          <w:sz w:val="22"/>
          <w:szCs w:val="22"/>
        </w:rPr>
        <w:t xml:space="preserve">In this session, Arturo Quiroga will demonstrate the Azure Architecture Diagram Builder, an AI-assisted experience for generating and refining Azure architectures from prompts, sketches, infrastructure code, and existing Azure environments. The walkthrough will show how architects can move from an initial concept to an editable topology, apply Well-Architected guidance, compare model-generated recommendations, inspect regional PAYG estimates, and produce deployment artifacts.</w:t>
      </w:r>
    </w:p>
    <w:p>
      <w:r>
        <w:rPr>
          <w:rFonts w:ascii="Aptos" w:cs="Aptos" w:eastAsia="Aptos" w:hAnsi="Aptos"/>
          <w:color w:val="172033"/>
          <w:sz w:val="22"/>
          <w:szCs w:val="22"/>
        </w:rPr>
        <w:t xml:space="preserve">The session will also cover the evaluation approach used to improve the experience over time, including deterministic contract tests, model comparisons, architecture-quality scoring, human review, telemetry, and feedback loops. The discussion will distinguish measured evidence from inference and share practical lessons from building a multi-model AI application with Microsoft Foundry, Azure Container Apps, MCP, and Azure services.</w:t>
      </w:r>
    </w:p>
    <w:p>
      <w:r>
        <w:rPr>
          <w:rFonts w:ascii="Aptos" w:cs="Aptos" w:eastAsia="Aptos" w:hAnsi="Aptos"/>
          <w:color w:val="172033"/>
          <w:sz w:val="22"/>
          <w:szCs w:val="22"/>
        </w:rPr>
        <w:t xml:space="preserve">A live demonstration will illustrate how evaluation and iterative refinement can improve an architecture rather than relying on a single model response.</w:t>
      </w:r>
    </w:p>
    <w:p>
      <w:r>
        <w:br w:type="page"/>
      </w:r>
    </w:p>
    <w:p>
      <w:pPr>
        <w:pStyle w:val="Heading1"/>
      </w:pPr>
      <w:r>
        <w:rPr>
          <w:rFonts w:ascii="Aptos Display" w:cs="Aptos Display" w:eastAsia="Aptos Display" w:hAnsi="Aptos Display"/>
          <w:b/>
          <w:bCs/>
          <w:color w:val="164E63"/>
          <w:sz w:val="30"/>
          <w:szCs w:val="30"/>
        </w:rPr>
        <w:t xml:space="preserve">Agenda</w:t>
      </w:r>
    </w:p>
    <w:p>
      <w:pPr>
        <w:spacing w:after="160"/>
      </w:pPr>
      <w:r>
        <w:rPr>
          <w:rFonts w:ascii="Aptos" w:cs="Aptos" w:eastAsia="Aptos" w:hAnsi="Aptos"/>
          <w:b/>
          <w:bCs/>
          <w:color w:val="0078D4"/>
          <w:sz w:val="20"/>
          <w:szCs w:val="20"/>
        </w:rPr>
        <w:t xml:space="preserve">60-minute session</w:t>
      </w:r>
      <w:r>
        <w:rPr>
          <w:rFonts w:ascii="Aptos" w:cs="Aptos" w:eastAsia="Aptos" w:hAnsi="Aptos"/>
          <w:color w:val="52606D"/>
          <w:sz w:val="20"/>
          <w:szCs w:val="20"/>
        </w:rPr>
        <w:t xml:space="preserve">  |  Presented by Arturo Quiroga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0"/>
        <w:gridCol w:w="7940"/>
      </w:tblGrid>
      <w:tr>
        <w:trPr>
          <w:tblHeader/>
        </w:trPr>
        <w:tc>
          <w:tcPr>
            <w:tcW w:type="dxa" w:w="1420"/>
            <w:tcBorders>
              <w:top w:val="single" w:color="CDD6E0" w:sz="1"/>
              <w:left w:val="single" w:color="CDD6E0" w:sz="1"/>
              <w:bottom w:val="single" w:color="CDD6E0" w:sz="1"/>
              <w:right w:val="single" w:color="CDD6E0" w:sz="1"/>
            </w:tcBorders>
            <w:shd w:fill="164E63" w:val="clear"/>
            <w:tcMar>
              <w:top w:type="dxa" w:w="100"/>
              <w:left w:type="dxa" w:w="130"/>
              <w:bottom w:type="dxa" w:w="100"/>
              <w:right w:type="dxa" w:w="130"/>
            </w:tcMar>
            <w:vAlign w:val="center"/>
          </w:tcPr>
          <w:p>
            <w:pPr>
              <w:jc w:val="center"/>
            </w:pPr>
            <w:r>
              <w:rPr>
                <w:rFonts w:ascii="Aptos" w:cs="Aptos" w:eastAsia="Aptos" w:hAnsi="Aptos"/>
                <w:b/>
                <w:bCs/>
                <w:color w:val="FFFFFF"/>
                <w:sz w:val="19"/>
                <w:szCs w:val="19"/>
              </w:rPr>
              <w:t xml:space="preserve">Duration</w:t>
            </w:r>
          </w:p>
        </w:tc>
        <w:tc>
          <w:tcPr>
            <w:tcW w:type="dxa" w:w="7940"/>
            <w:tcBorders>
              <w:top w:val="single" w:color="CDD6E0" w:sz="1"/>
              <w:left w:val="single" w:color="CDD6E0" w:sz="1"/>
              <w:bottom w:val="single" w:color="CDD6E0" w:sz="1"/>
              <w:right w:val="single" w:color="CDD6E0" w:sz="1"/>
            </w:tcBorders>
            <w:shd w:fill="164E63" w:val="clear"/>
            <w:tcMar>
              <w:top w:type="dxa" w:w="100"/>
              <w:left w:type="dxa" w:w="130"/>
              <w:bottom w:type="dxa" w:w="100"/>
              <w:right w:type="dxa" w:w="130"/>
            </w:tcMar>
            <w:vAlign w:val="center"/>
          </w:tcPr>
          <w:p>
            <w:pPr>
              <w:jc w:val="left"/>
            </w:pPr>
            <w:r>
              <w:rPr>
                <w:rFonts w:ascii="Aptos" w:cs="Aptos" w:eastAsia="Aptos" w:hAnsi="Aptos"/>
                <w:b/>
                <w:bCs/>
                <w:color w:val="FFFFFF"/>
                <w:sz w:val="19"/>
                <w:szCs w:val="19"/>
              </w:rPr>
              <w:t xml:space="preserve">Session segment</w:t>
            </w:r>
          </w:p>
        </w:tc>
      </w:tr>
      <w:tr>
        <w:tc>
          <w:tcPr>
            <w:tcW w:type="dxa" w:w="1420"/>
            <w:tcBorders>
              <w:top w:val="single" w:color="CDD6E0" w:sz="1"/>
              <w:left w:val="single" w:color="CDD6E0" w:sz="1"/>
              <w:bottom w:val="single" w:color="CDD6E0" w:sz="1"/>
              <w:right w:val="single" w:color="CDD6E0" w:sz="1"/>
            </w:tcBorders>
            <w:shd w:fill="E8F3FA" w:val="clear"/>
            <w:tcMar>
              <w:top w:type="dxa" w:w="100"/>
              <w:left w:type="dxa" w:w="130"/>
              <w:bottom w:type="dxa" w:w="100"/>
              <w:right w:type="dxa" w:w="130"/>
            </w:tcMar>
            <w:vAlign w:val="center"/>
          </w:tcPr>
          <w:p>
            <w:pPr>
              <w:jc w:val="center"/>
            </w:pPr>
            <w:r>
              <w:rPr>
                <w:rFonts w:ascii="Aptos" w:cs="Aptos" w:eastAsia="Aptos" w:hAnsi="Aptos"/>
                <w:b/>
                <w:bCs/>
                <w:color w:val="0078D4"/>
                <w:sz w:val="19"/>
                <w:szCs w:val="19"/>
              </w:rPr>
              <w:t xml:space="preserve">5 min</w:t>
            </w:r>
          </w:p>
        </w:tc>
        <w:tc>
          <w:tcPr>
            <w:tcW w:type="dxa" w:w="7940"/>
            <w:tcBorders>
              <w:top w:val="single" w:color="CDD6E0" w:sz="1"/>
              <w:left w:val="single" w:color="CDD6E0" w:sz="1"/>
              <w:bottom w:val="single" w:color="CDD6E0" w:sz="1"/>
              <w:right w:val="single" w:color="CDD6E0" w:sz="1"/>
            </w:tcBorders>
            <w:shd w:fill="E8F3FA" w:val="clear"/>
            <w:tcMar>
              <w:top w:type="dxa" w:w="100"/>
              <w:left w:type="dxa" w:w="130"/>
              <w:bottom w:type="dxa" w:w="100"/>
              <w:right w:type="dxa" w:w="130"/>
            </w:tcMar>
            <w:vAlign w:val="center"/>
          </w:tcPr>
          <w:p>
            <w:pPr>
              <w:jc w:val="left"/>
            </w:pPr>
            <w:r>
              <w:rPr>
                <w:rFonts w:ascii="Aptos" w:cs="Aptos" w:eastAsia="Aptos" w:hAnsi="Aptos"/>
                <w:b w:val="false"/>
                <w:bCs w:val="false"/>
                <w:color w:val="172033"/>
                <w:sz w:val="19"/>
                <w:szCs w:val="19"/>
              </w:rPr>
              <w:t xml:space="preserve">Why architecture work needs more than a single prompt and response</w:t>
            </w:r>
          </w:p>
        </w:tc>
      </w:tr>
      <w:tr>
        <w:tc>
          <w:tcPr>
            <w:tcW w:type="dxa" w:w="1420"/>
            <w:tcBorders>
              <w:top w:val="single" w:color="CDD6E0" w:sz="1"/>
              <w:left w:val="single" w:color="CDD6E0" w:sz="1"/>
              <w:bottom w:val="single" w:color="CDD6E0" w:sz="1"/>
              <w:right w:val="single" w:color="CDD6E0" w:sz="1"/>
            </w:tcBorders>
            <w:shd w:fill="FFFFFF" w:val="clear"/>
            <w:tcMar>
              <w:top w:type="dxa" w:w="100"/>
              <w:left w:type="dxa" w:w="130"/>
              <w:bottom w:type="dxa" w:w="100"/>
              <w:right w:type="dxa" w:w="130"/>
            </w:tcMar>
            <w:vAlign w:val="center"/>
          </w:tcPr>
          <w:p>
            <w:pPr>
              <w:jc w:val="center"/>
            </w:pPr>
            <w:r>
              <w:rPr>
                <w:rFonts w:ascii="Aptos" w:cs="Aptos" w:eastAsia="Aptos" w:hAnsi="Aptos"/>
                <w:b/>
                <w:bCs/>
                <w:color w:val="0078D4"/>
                <w:sz w:val="19"/>
                <w:szCs w:val="19"/>
              </w:rPr>
              <w:t xml:space="preserve">10 min</w:t>
            </w:r>
          </w:p>
        </w:tc>
        <w:tc>
          <w:tcPr>
            <w:tcW w:type="dxa" w:w="7940"/>
            <w:tcBorders>
              <w:top w:val="single" w:color="CDD6E0" w:sz="1"/>
              <w:left w:val="single" w:color="CDD6E0" w:sz="1"/>
              <w:bottom w:val="single" w:color="CDD6E0" w:sz="1"/>
              <w:right w:val="single" w:color="CDD6E0" w:sz="1"/>
            </w:tcBorders>
            <w:shd w:fill="FFFFFF" w:val="clear"/>
            <w:tcMar>
              <w:top w:type="dxa" w:w="100"/>
              <w:left w:type="dxa" w:w="130"/>
              <w:bottom w:type="dxa" w:w="100"/>
              <w:right w:type="dxa" w:w="130"/>
            </w:tcMar>
            <w:vAlign w:val="center"/>
          </w:tcPr>
          <w:p>
            <w:pPr>
              <w:jc w:val="left"/>
            </w:pPr>
            <w:r>
              <w:rPr>
                <w:rFonts w:ascii="Aptos" w:cs="Aptos" w:eastAsia="Aptos" w:hAnsi="Aptos"/>
                <w:b w:val="false"/>
                <w:bCs w:val="false"/>
                <w:color w:val="172033"/>
                <w:sz w:val="19"/>
                <w:szCs w:val="19"/>
              </w:rPr>
              <w:t xml:space="preserve">Product architecture and multi-model AI orchestration</w:t>
            </w:r>
          </w:p>
        </w:tc>
      </w:tr>
      <w:tr>
        <w:tc>
          <w:tcPr>
            <w:tcW w:type="dxa" w:w="1420"/>
            <w:tcBorders>
              <w:top w:val="single" w:color="CDD6E0" w:sz="1"/>
              <w:left w:val="single" w:color="CDD6E0" w:sz="1"/>
              <w:bottom w:val="single" w:color="CDD6E0" w:sz="1"/>
              <w:right w:val="single" w:color="CDD6E0" w:sz="1"/>
            </w:tcBorders>
            <w:shd w:fill="E8F3FA" w:val="clear"/>
            <w:tcMar>
              <w:top w:type="dxa" w:w="100"/>
              <w:left w:type="dxa" w:w="130"/>
              <w:bottom w:type="dxa" w:w="100"/>
              <w:right w:type="dxa" w:w="130"/>
            </w:tcMar>
            <w:vAlign w:val="center"/>
          </w:tcPr>
          <w:p>
            <w:pPr>
              <w:jc w:val="center"/>
            </w:pPr>
            <w:r>
              <w:rPr>
                <w:rFonts w:ascii="Aptos" w:cs="Aptos" w:eastAsia="Aptos" w:hAnsi="Aptos"/>
                <w:b/>
                <w:bCs/>
                <w:color w:val="0078D4"/>
                <w:sz w:val="19"/>
                <w:szCs w:val="19"/>
              </w:rPr>
              <w:t xml:space="preserve">15 min</w:t>
            </w:r>
          </w:p>
        </w:tc>
        <w:tc>
          <w:tcPr>
            <w:tcW w:type="dxa" w:w="7940"/>
            <w:tcBorders>
              <w:top w:val="single" w:color="CDD6E0" w:sz="1"/>
              <w:left w:val="single" w:color="CDD6E0" w:sz="1"/>
              <w:bottom w:val="single" w:color="CDD6E0" w:sz="1"/>
              <w:right w:val="single" w:color="CDD6E0" w:sz="1"/>
            </w:tcBorders>
            <w:shd w:fill="E8F3FA" w:val="clear"/>
            <w:tcMar>
              <w:top w:type="dxa" w:w="100"/>
              <w:left w:type="dxa" w:w="130"/>
              <w:bottom w:type="dxa" w:w="100"/>
              <w:right w:type="dxa" w:w="130"/>
            </w:tcMar>
            <w:vAlign w:val="center"/>
          </w:tcPr>
          <w:p>
            <w:pPr>
              <w:jc w:val="left"/>
            </w:pPr>
            <w:r>
              <w:rPr>
                <w:rFonts w:ascii="Aptos" w:cs="Aptos" w:eastAsia="Aptos" w:hAnsi="Aptos"/>
                <w:b w:val="false"/>
                <w:bCs w:val="false"/>
                <w:color w:val="172033"/>
                <w:sz w:val="19"/>
                <w:szCs w:val="19"/>
              </w:rPr>
              <w:t xml:space="preserve">Live demonstration: prompt to editable Azure architecture</w:t>
            </w:r>
          </w:p>
        </w:tc>
      </w:tr>
      <w:tr>
        <w:tc>
          <w:tcPr>
            <w:tcW w:type="dxa" w:w="1420"/>
            <w:tcBorders>
              <w:top w:val="single" w:color="CDD6E0" w:sz="1"/>
              <w:left w:val="single" w:color="CDD6E0" w:sz="1"/>
              <w:bottom w:val="single" w:color="CDD6E0" w:sz="1"/>
              <w:right w:val="single" w:color="CDD6E0" w:sz="1"/>
            </w:tcBorders>
            <w:shd w:fill="FFFFFF" w:val="clear"/>
            <w:tcMar>
              <w:top w:type="dxa" w:w="100"/>
              <w:left w:type="dxa" w:w="130"/>
              <w:bottom w:type="dxa" w:w="100"/>
              <w:right w:type="dxa" w:w="130"/>
            </w:tcMar>
            <w:vAlign w:val="center"/>
          </w:tcPr>
          <w:p>
            <w:pPr>
              <w:jc w:val="center"/>
            </w:pPr>
            <w:r>
              <w:rPr>
                <w:rFonts w:ascii="Aptos" w:cs="Aptos" w:eastAsia="Aptos" w:hAnsi="Aptos"/>
                <w:b/>
                <w:bCs/>
                <w:color w:val="0078D4"/>
                <w:sz w:val="19"/>
                <w:szCs w:val="19"/>
              </w:rPr>
              <w:t xml:space="preserve">10 min</w:t>
            </w:r>
          </w:p>
        </w:tc>
        <w:tc>
          <w:tcPr>
            <w:tcW w:type="dxa" w:w="7940"/>
            <w:tcBorders>
              <w:top w:val="single" w:color="CDD6E0" w:sz="1"/>
              <w:left w:val="single" w:color="CDD6E0" w:sz="1"/>
              <w:bottom w:val="single" w:color="CDD6E0" w:sz="1"/>
              <w:right w:val="single" w:color="CDD6E0" w:sz="1"/>
            </w:tcBorders>
            <w:shd w:fill="FFFFFF" w:val="clear"/>
            <w:tcMar>
              <w:top w:type="dxa" w:w="100"/>
              <w:left w:type="dxa" w:w="130"/>
              <w:bottom w:type="dxa" w:w="100"/>
              <w:right w:type="dxa" w:w="130"/>
            </w:tcMar>
            <w:vAlign w:val="center"/>
          </w:tcPr>
          <w:p>
            <w:pPr>
              <w:jc w:val="left"/>
            </w:pPr>
            <w:r>
              <w:rPr>
                <w:rFonts w:ascii="Aptos" w:cs="Aptos" w:eastAsia="Aptos" w:hAnsi="Aptos"/>
                <w:b w:val="false"/>
                <w:bCs w:val="false"/>
                <w:color w:val="172033"/>
                <w:sz w:val="19"/>
                <w:szCs w:val="19"/>
              </w:rPr>
              <w:t xml:space="preserve">Validation, model comparison, and iterative refinement</w:t>
            </w:r>
          </w:p>
        </w:tc>
      </w:tr>
      <w:tr>
        <w:tc>
          <w:tcPr>
            <w:tcW w:type="dxa" w:w="1420"/>
            <w:tcBorders>
              <w:top w:val="single" w:color="CDD6E0" w:sz="1"/>
              <w:left w:val="single" w:color="CDD6E0" w:sz="1"/>
              <w:bottom w:val="single" w:color="CDD6E0" w:sz="1"/>
              <w:right w:val="single" w:color="CDD6E0" w:sz="1"/>
            </w:tcBorders>
            <w:shd w:fill="E8F3FA" w:val="clear"/>
            <w:tcMar>
              <w:top w:type="dxa" w:w="100"/>
              <w:left w:type="dxa" w:w="130"/>
              <w:bottom w:type="dxa" w:w="100"/>
              <w:right w:type="dxa" w:w="130"/>
            </w:tcMar>
            <w:vAlign w:val="center"/>
          </w:tcPr>
          <w:p>
            <w:pPr>
              <w:jc w:val="center"/>
            </w:pPr>
            <w:r>
              <w:rPr>
                <w:rFonts w:ascii="Aptos" w:cs="Aptos" w:eastAsia="Aptos" w:hAnsi="Aptos"/>
                <w:b/>
                <w:bCs/>
                <w:color w:val="0078D4"/>
                <w:sz w:val="19"/>
                <w:szCs w:val="19"/>
              </w:rPr>
              <w:t xml:space="preserve">10 min</w:t>
            </w:r>
          </w:p>
        </w:tc>
        <w:tc>
          <w:tcPr>
            <w:tcW w:type="dxa" w:w="7940"/>
            <w:tcBorders>
              <w:top w:val="single" w:color="CDD6E0" w:sz="1"/>
              <w:left w:val="single" w:color="CDD6E0" w:sz="1"/>
              <w:bottom w:val="single" w:color="CDD6E0" w:sz="1"/>
              <w:right w:val="single" w:color="CDD6E0" w:sz="1"/>
            </w:tcBorders>
            <w:shd w:fill="E8F3FA" w:val="clear"/>
            <w:tcMar>
              <w:top w:type="dxa" w:w="100"/>
              <w:left w:type="dxa" w:w="130"/>
              <w:bottom w:type="dxa" w:w="100"/>
              <w:right w:type="dxa" w:w="130"/>
            </w:tcMar>
            <w:vAlign w:val="center"/>
          </w:tcPr>
          <w:p>
            <w:pPr>
              <w:jc w:val="left"/>
            </w:pPr>
            <w:r>
              <w:rPr>
                <w:rFonts w:ascii="Aptos" w:cs="Aptos" w:eastAsia="Aptos" w:hAnsi="Aptos"/>
                <w:b w:val="false"/>
                <w:bCs w:val="false"/>
                <w:color w:val="172033"/>
                <w:sz w:val="19"/>
                <w:szCs w:val="19"/>
              </w:rPr>
              <w:t xml:space="preserve">Evaluation framework, feedback signals, and measured results</w:t>
            </w:r>
          </w:p>
        </w:tc>
      </w:tr>
      <w:tr>
        <w:tc>
          <w:tcPr>
            <w:tcW w:type="dxa" w:w="1420"/>
            <w:tcBorders>
              <w:top w:val="single" w:color="CDD6E0" w:sz="1"/>
              <w:left w:val="single" w:color="CDD6E0" w:sz="1"/>
              <w:bottom w:val="single" w:color="CDD6E0" w:sz="1"/>
              <w:right w:val="single" w:color="CDD6E0" w:sz="1"/>
            </w:tcBorders>
            <w:shd w:fill="FFFFFF" w:val="clear"/>
            <w:tcMar>
              <w:top w:type="dxa" w:w="100"/>
              <w:left w:type="dxa" w:w="130"/>
              <w:bottom w:type="dxa" w:w="100"/>
              <w:right w:type="dxa" w:w="130"/>
            </w:tcMar>
            <w:vAlign w:val="center"/>
          </w:tcPr>
          <w:p>
            <w:pPr>
              <w:jc w:val="center"/>
            </w:pPr>
            <w:r>
              <w:rPr>
                <w:rFonts w:ascii="Aptos" w:cs="Aptos" w:eastAsia="Aptos" w:hAnsi="Aptos"/>
                <w:b/>
                <w:bCs/>
                <w:color w:val="0078D4"/>
                <w:sz w:val="19"/>
                <w:szCs w:val="19"/>
              </w:rPr>
              <w:t xml:space="preserve">5 min</w:t>
            </w:r>
          </w:p>
        </w:tc>
        <w:tc>
          <w:tcPr>
            <w:tcW w:type="dxa" w:w="7940"/>
            <w:tcBorders>
              <w:top w:val="single" w:color="CDD6E0" w:sz="1"/>
              <w:left w:val="single" w:color="CDD6E0" w:sz="1"/>
              <w:bottom w:val="single" w:color="CDD6E0" w:sz="1"/>
              <w:right w:val="single" w:color="CDD6E0" w:sz="1"/>
            </w:tcBorders>
            <w:shd w:fill="FFFFFF" w:val="clear"/>
            <w:tcMar>
              <w:top w:type="dxa" w:w="100"/>
              <w:left w:type="dxa" w:w="130"/>
              <w:bottom w:type="dxa" w:w="100"/>
              <w:right w:type="dxa" w:w="130"/>
            </w:tcMar>
            <w:vAlign w:val="center"/>
          </w:tcPr>
          <w:p>
            <w:pPr>
              <w:jc w:val="left"/>
            </w:pPr>
            <w:r>
              <w:rPr>
                <w:rFonts w:ascii="Aptos" w:cs="Aptos" w:eastAsia="Aptos" w:hAnsi="Aptos"/>
                <w:b w:val="false"/>
                <w:bCs w:val="false"/>
                <w:color w:val="172033"/>
                <w:sz w:val="19"/>
                <w:szCs w:val="19"/>
              </w:rPr>
              <w:t xml:space="preserve">Lessons learned, limitations, and roadmap</w:t>
            </w:r>
          </w:p>
        </w:tc>
      </w:tr>
      <w:tr>
        <w:tc>
          <w:tcPr>
            <w:tcW w:type="dxa" w:w="1420"/>
            <w:tcBorders>
              <w:top w:val="single" w:color="CDD6E0" w:sz="1"/>
              <w:left w:val="single" w:color="CDD6E0" w:sz="1"/>
              <w:bottom w:val="single" w:color="CDD6E0" w:sz="1"/>
              <w:right w:val="single" w:color="CDD6E0" w:sz="1"/>
            </w:tcBorders>
            <w:shd w:fill="E8F3FA" w:val="clear"/>
            <w:tcMar>
              <w:top w:type="dxa" w:w="100"/>
              <w:left w:type="dxa" w:w="130"/>
              <w:bottom w:type="dxa" w:w="100"/>
              <w:right w:type="dxa" w:w="130"/>
            </w:tcMar>
            <w:vAlign w:val="center"/>
          </w:tcPr>
          <w:p>
            <w:pPr>
              <w:jc w:val="center"/>
            </w:pPr>
            <w:r>
              <w:rPr>
                <w:rFonts w:ascii="Aptos" w:cs="Aptos" w:eastAsia="Aptos" w:hAnsi="Aptos"/>
                <w:b/>
                <w:bCs/>
                <w:color w:val="0078D4"/>
                <w:sz w:val="19"/>
                <w:szCs w:val="19"/>
              </w:rPr>
              <w:t xml:space="preserve">5 min</w:t>
            </w:r>
          </w:p>
        </w:tc>
        <w:tc>
          <w:tcPr>
            <w:tcW w:type="dxa" w:w="7940"/>
            <w:tcBorders>
              <w:top w:val="single" w:color="CDD6E0" w:sz="1"/>
              <w:left w:val="single" w:color="CDD6E0" w:sz="1"/>
              <w:bottom w:val="single" w:color="CDD6E0" w:sz="1"/>
              <w:right w:val="single" w:color="CDD6E0" w:sz="1"/>
            </w:tcBorders>
            <w:shd w:fill="E8F3FA" w:val="clear"/>
            <w:tcMar>
              <w:top w:type="dxa" w:w="100"/>
              <w:left w:type="dxa" w:w="130"/>
              <w:bottom w:type="dxa" w:w="100"/>
              <w:right w:type="dxa" w:w="130"/>
            </w:tcMar>
            <w:vAlign w:val="center"/>
          </w:tcPr>
          <w:p>
            <w:pPr>
              <w:jc w:val="left"/>
            </w:pPr>
            <w:r>
              <w:rPr>
                <w:rFonts w:ascii="Aptos" w:cs="Aptos" w:eastAsia="Aptos" w:hAnsi="Aptos"/>
                <w:b w:val="false"/>
                <w:bCs w:val="false"/>
                <w:color w:val="172033"/>
                <w:sz w:val="19"/>
                <w:szCs w:val="19"/>
              </w:rPr>
              <w:t xml:space="preserve">Questions and discussion</w:t>
            </w:r>
          </w:p>
        </w:tc>
      </w:tr>
    </w:tbl>
    <w:p>
      <w:pPr>
        <w:pStyle w:val="Heading2"/>
      </w:pPr>
      <w:r>
        <w:t xml:space="preserve">Topics Covered</w:t>
      </w:r>
    </w:p>
    <w:p>
      <w:pPr>
        <w:pStyle w:val="ListParagraph"/>
        <w:numPr>
          <w:ilvl w:val="0"/>
          <w:numId w:val="2"/>
        </w:numPr>
        <w:spacing w:after="90"/>
      </w:pPr>
      <w:r>
        <w:rPr>
          <w:rFonts w:ascii="Aptos" w:cs="Aptos" w:eastAsia="Aptos" w:hAnsi="Aptos"/>
          <w:color w:val="172033"/>
          <w:sz w:val="22"/>
          <w:szCs w:val="22"/>
        </w:rPr>
        <w:t xml:space="preserve">Generating Azure architecture diagrams from natural language and visual inputs</w:t>
      </w:r>
    </w:p>
    <w:p>
      <w:pPr>
        <w:pStyle w:val="ListParagraph"/>
        <w:numPr>
          <w:ilvl w:val="0"/>
          <w:numId w:val="2"/>
        </w:numPr>
        <w:spacing w:after="90"/>
      </w:pPr>
      <w:r>
        <w:rPr>
          <w:rFonts w:ascii="Aptos" w:cs="Aptos" w:eastAsia="Aptos" w:hAnsi="Aptos"/>
          <w:color w:val="172033"/>
          <w:sz w:val="22"/>
          <w:szCs w:val="22"/>
        </w:rPr>
        <w:t xml:space="preserve">Refining AI output through conversation and direct canvas editing</w:t>
      </w:r>
    </w:p>
    <w:p>
      <w:pPr>
        <w:pStyle w:val="ListParagraph"/>
        <w:numPr>
          <w:ilvl w:val="0"/>
          <w:numId w:val="2"/>
        </w:numPr>
        <w:spacing w:after="90"/>
      </w:pPr>
      <w:r>
        <w:rPr>
          <w:rFonts w:ascii="Aptos" w:cs="Aptos" w:eastAsia="Aptos" w:hAnsi="Aptos"/>
          <w:color w:val="172033"/>
          <w:sz w:val="22"/>
          <w:szCs w:val="22"/>
        </w:rPr>
        <w:t xml:space="preserve">Applying Azure Well-Architected Framework validation and comparing model recommendations</w:t>
      </w:r>
    </w:p>
    <w:p>
      <w:pPr>
        <w:pStyle w:val="ListParagraph"/>
        <w:numPr>
          <w:ilvl w:val="0"/>
          <w:numId w:val="2"/>
        </w:numPr>
        <w:spacing w:after="90"/>
      </w:pPr>
      <w:r>
        <w:rPr>
          <w:rFonts w:ascii="Aptos" w:cs="Aptos" w:eastAsia="Aptos" w:hAnsi="Aptos"/>
          <w:color w:val="172033"/>
          <w:sz w:val="22"/>
          <w:szCs w:val="22"/>
        </w:rPr>
        <w:t xml:space="preserve">Designing deterministic, model-based, and human-review evaluations</w:t>
      </w:r>
    </w:p>
    <w:p>
      <w:pPr>
        <w:pStyle w:val="ListParagraph"/>
        <w:numPr>
          <w:ilvl w:val="0"/>
          <w:numId w:val="2"/>
        </w:numPr>
        <w:spacing w:after="90"/>
      </w:pPr>
      <w:r>
        <w:rPr>
          <w:rFonts w:ascii="Aptos" w:cs="Aptos" w:eastAsia="Aptos" w:hAnsi="Aptos"/>
          <w:color w:val="172033"/>
          <w:sz w:val="22"/>
          <w:szCs w:val="22"/>
        </w:rPr>
        <w:t xml:space="preserve">Using feedback and telemetry without overstating what the evidence proves</w:t>
      </w:r>
    </w:p>
    <w:p>
      <w:pPr>
        <w:pStyle w:val="ListParagraph"/>
        <w:numPr>
          <w:ilvl w:val="0"/>
          <w:numId w:val="2"/>
        </w:numPr>
        <w:spacing w:after="90"/>
      </w:pPr>
      <w:r>
        <w:rPr>
          <w:rFonts w:ascii="Aptos" w:cs="Aptos" w:eastAsia="Aptos" w:hAnsi="Aptos"/>
          <w:color w:val="172033"/>
          <w:sz w:val="22"/>
          <w:szCs w:val="22"/>
        </w:rPr>
        <w:t xml:space="preserve">Presenting regional PAYG estimates with transparent assumptions and provenance</w:t>
      </w:r>
    </w:p>
    <w:p>
      <w:pPr>
        <w:pStyle w:val="ListParagraph"/>
        <w:numPr>
          <w:ilvl w:val="0"/>
          <w:numId w:val="2"/>
        </w:numPr>
        <w:spacing w:after="90"/>
      </w:pPr>
      <w:r>
        <w:rPr>
          <w:rFonts w:ascii="Aptos" w:cs="Aptos" w:eastAsia="Aptos" w:hAnsi="Aptos"/>
          <w:color w:val="172033"/>
          <w:sz w:val="22"/>
          <w:szCs w:val="22"/>
        </w:rPr>
        <w:t xml:space="preserve">Exposing architecture capabilities through MCP and producing implementation artifacts</w:t>
      </w:r>
    </w:p>
    <w:p>
      <w:pPr>
        <w:pStyle w:val="Heading2"/>
      </w:pPr>
      <w:r>
        <w:t xml:space="preserve">Learning Objectives</w:t>
      </w:r>
    </w:p>
    <w:p>
      <w:pPr>
        <w:pStyle w:val="ListParagraph"/>
        <w:numPr>
          <w:ilvl w:val="0"/>
          <w:numId w:val="3"/>
        </w:numPr>
        <w:spacing w:after="90"/>
      </w:pPr>
      <w:r>
        <w:rPr>
          <w:rFonts w:ascii="Aptos" w:cs="Aptos" w:eastAsia="Aptos" w:hAnsi="Aptos"/>
          <w:color w:val="172033"/>
          <w:sz w:val="22"/>
          <w:szCs w:val="22"/>
        </w:rPr>
        <w:t xml:space="preserve">Structure an AI-assisted architecture workflow beyond a single prompt and response</w:t>
      </w:r>
    </w:p>
    <w:p>
      <w:pPr>
        <w:pStyle w:val="ListParagraph"/>
        <w:numPr>
          <w:ilvl w:val="0"/>
          <w:numId w:val="3"/>
        </w:numPr>
        <w:spacing w:after="90"/>
      </w:pPr>
      <w:r>
        <w:rPr>
          <w:rFonts w:ascii="Aptos" w:cs="Aptos" w:eastAsia="Aptos" w:hAnsi="Aptos"/>
          <w:color w:val="172033"/>
          <w:sz w:val="22"/>
          <w:szCs w:val="22"/>
        </w:rPr>
        <w:t xml:space="preserve">Combine deterministic tests, model evaluations, and human review effectively</w:t>
      </w:r>
    </w:p>
    <w:p>
      <w:pPr>
        <w:pStyle w:val="ListParagraph"/>
        <w:numPr>
          <w:ilvl w:val="0"/>
          <w:numId w:val="3"/>
        </w:numPr>
        <w:spacing w:after="90"/>
      </w:pPr>
      <w:r>
        <w:rPr>
          <w:rFonts w:ascii="Aptos" w:cs="Aptos" w:eastAsia="Aptos" w:hAnsi="Aptos"/>
          <w:color w:val="172033"/>
          <w:sz w:val="22"/>
          <w:szCs w:val="22"/>
        </w:rPr>
        <w:t xml:space="preserve">Preserve provenance and communicate uncertainty in AI-generated recommendations</w:t>
      </w:r>
    </w:p>
    <w:p>
      <w:pPr>
        <w:pStyle w:val="ListParagraph"/>
        <w:numPr>
          <w:ilvl w:val="0"/>
          <w:numId w:val="3"/>
        </w:numPr>
        <w:spacing w:after="90"/>
      </w:pPr>
      <w:r>
        <w:rPr>
          <w:rFonts w:ascii="Aptos" w:cs="Aptos" w:eastAsia="Aptos" w:hAnsi="Aptos"/>
          <w:color w:val="172033"/>
          <w:sz w:val="22"/>
          <w:szCs w:val="22"/>
        </w:rPr>
        <w:t xml:space="preserve">Use MCP and Azure services to build an extensible architecture-assistant experience</w:t>
      </w:r>
    </w:p>
    <w:p>
      <w:pPr>
        <w:pStyle w:val="ListParagraph"/>
        <w:numPr>
          <w:ilvl w:val="0"/>
          <w:numId w:val="3"/>
        </w:numPr>
        <w:spacing w:after="90"/>
      </w:pPr>
      <w:r>
        <w:rPr>
          <w:rFonts w:ascii="Aptos" w:cs="Aptos" w:eastAsia="Aptos" w:hAnsi="Aptos"/>
          <w:color w:val="172033"/>
          <w:sz w:val="22"/>
          <w:szCs w:val="22"/>
        </w:rPr>
        <w:t xml:space="preserve">Turn model output into editable, testable, and deployable artifacts</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E2EA" w:sz="5" w:space="1"/>
      </w:pBdr>
      <w:tabs>
        <w:tab w:val="right" w:pos="9360"/>
      </w:tabs>
    </w:pPr>
    <w:r>
      <w:rPr>
        <w:rFonts w:ascii="Aptos" w:cs="Aptos" w:eastAsia="Aptos" w:hAnsi="Aptos"/>
        <w:color w:val="52606D"/>
        <w:sz w:val="17"/>
        <w:szCs w:val="17"/>
      </w:rPr>
      <w:t xml:space="preserve">AI &amp; ML Connected Community Call</w:t>
    </w:r>
    <w:r>
      <w:rPr>
        <w:rFonts w:ascii="Aptos" w:cs="Aptos" w:eastAsia="Aptos" w:hAnsi="Aptos"/>
        <w:color w:val="52606D"/>
        <w:sz w:val="17"/>
        <w:szCs w:val="17"/>
      </w:rPr>
      <w:t xml:space="preserve">	Page </w:t>
    </w:r>
    <w:r>
      <w:rPr>
        <w:rFonts w:ascii="Aptos" w:cs="Aptos" w:eastAsia="Aptos" w:hAnsi="Aptos"/>
        <w:color w:val="52606D"/>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2033"/>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20"/>
      <w:outlineLvl w:val="0"/>
    </w:pPr>
    <w:rPr>
      <w:rFonts w:ascii="Aptos Display" w:cs="Aptos Display" w:eastAsia="Aptos Display" w:hAnsi="Aptos Display"/>
      <w:b/>
      <w:bCs/>
      <w:color w:val="164E63"/>
      <w:sz w:val="30"/>
      <w:szCs w:val="30"/>
    </w:rPr>
  </w:style>
  <w:style w:type="paragraph" w:styleId="Heading2">
    <w:name w:val="Heading 2"/>
    <w:basedOn w:val="Normal"/>
    <w:next w:val="Normal"/>
    <w:qFormat/>
    <w:pPr>
      <w:spacing w:after="100" w:before="180"/>
      <w:outlineLvl w:val="1"/>
    </w:pPr>
    <w:rPr>
      <w:rFonts w:ascii="Aptos Display" w:cs="Aptos Display" w:eastAsia="Aptos Display" w:hAnsi="Aptos Display"/>
      <w:b/>
      <w:bCs/>
      <w:color w:val="164E6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Prompt to Proven Architecture: Building and Evaluating an AI-Powered Azure Design Experience</dc:title>
  <dc:subject>Proposed AI &amp; ML Connected Community Call agenda</dc:subject>
  <dc:creator>Arturo Quiroga</dc:creator>
  <cp:keywords>AI, machine learning, Azure architecture, evaluation, MCP, Microsoft Foundry</cp:keywords>
  <dc:description>Presentation abstract, agenda, topics, and learning objectives.</dc:description>
  <cp:lastModifiedBy>Un-named</cp:lastModifiedBy>
  <cp:revision>1</cp:revision>
  <dcterms:created xsi:type="dcterms:W3CDTF">2026-08-14T14:23:48.892Z</dcterms:created>
  <dcterms:modified xsi:type="dcterms:W3CDTF">2026-08-14T14:23:48.894Z</dcterms:modified>
</cp:coreProperties>
</file>

<file path=docProps/custom.xml><?xml version="1.0" encoding="utf-8"?>
<Properties xmlns="http://schemas.openxmlformats.org/officeDocument/2006/custom-properties" xmlns:vt="http://schemas.openxmlformats.org/officeDocument/2006/docPropsVTypes"/>
</file>