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Scope Change Register</w:t>
      </w:r>
    </w:p>
    <w:p>
      <w:pPr>
        <w:spacing w:after="40"/>
      </w:pPr>
      <w:r>
        <w:rPr>
          <w:rFonts w:ascii="Arial" w:cs="Arial" w:eastAsia="Arial" w:hAnsi="Arial"/>
          <w:color w:val="2563EB"/>
          <w:sz w:val="22"/>
          <w:szCs w:val="22"/>
        </w:rPr>
        <w:t xml:space="preserve">EMPA-ReMarkets — Bid Intelligence Platform</w:t>
      </w:r>
    </w:p>
    <w:p>
      <w:pPr>
        <w:spacing w:after="80"/>
      </w:pPr>
      <w:r>
        <w:rPr>
          <w:rFonts w:ascii="Arial" w:cs="Arial" w:eastAsia="Arial" w:hAnsi="Arial"/>
          <w:b/>
          <w:bCs/>
          <w:i w:val="false"/>
          <w:iCs w:val="false"/>
          <w:color w:val="1F2937"/>
          <w:sz w:val="21"/>
          <w:szCs w:val="21"/>
        </w:rPr>
        <w:t xml:space="preserve">Option B — Blazor Web App + .NET 10</w:t>
      </w:r>
    </w:p>
    <w:p>
      <w:pPr>
        <w:spacing w:after="240"/>
      </w:pPr>
      <w:r>
        <w:rPr>
          <w:rFonts w:ascii="Arial" w:cs="Arial" w:eastAsia="Arial" w:hAnsi="Arial"/>
          <w:b w:val="false"/>
          <w:bCs w:val="false"/>
          <w:i w:val="false"/>
          <w:iCs w:val="false"/>
          <w:color w:val="1F2937"/>
          <w:sz w:val="19"/>
          <w:szCs w:val="19"/>
        </w:rPr>
        <w:t xml:space="preserve">This document tracks all scope changes to the estimation driven by client Q&amp;A answers, stakeholder feedback, and discovery findings. Each change is linked to the specific client response that triggered it.</w:t>
      </w:r>
    </w:p>
    <w:p>
      <w:pPr>
        <w:pStyle w:val="Heading1"/>
      </w:pPr>
      <w:r>
        <w:rPr>
          <w:rFonts w:ascii="Arial" w:cs="Arial" w:eastAsia="Arial" w:hAnsi="Arial"/>
        </w:rPr>
        <w:t xml:space="preserve">Baseline Estimation</w:t>
      </w:r>
    </w:p>
    <w:p>
      <w:pPr>
        <w:spacing w:after="120"/>
      </w:pPr>
      <w:r>
        <w:rPr>
          <w:rFonts w:ascii="Arial" w:cs="Arial" w:eastAsia="Arial" w:hAnsi="Arial"/>
          <w:b w:val="false"/>
          <w:bCs w:val="false"/>
          <w:i/>
          <w:iCs/>
          <w:color w:val="1F2937"/>
          <w:sz w:val="19"/>
          <w:szCs w:val="19"/>
        </w:rPr>
        <w:t xml:space="preserve">Initial estimation before client Q&amp;A. Act-on-Behalf and Split Allocations already in MVP as client-requested.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Metric</w:t>
            </w:r>
          </w:p>
        </w:tc>
        <w:tc>
          <w:tcPr>
            <w:tcW w:type="dxa" w:w="396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Value</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Baseline Date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2026-02-20</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MVP Hours (Auth Option A)</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~806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Post-MVP Hours</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~117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Learning Curve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~56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Full Scope (MVP + Post-MVP + Learning)</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~980 hrs</w:t>
            </w:r>
          </w:p>
        </w:tc>
      </w:tr>
    </w:tbl>
    <w:p>
      <w:pPr>
        <w:spacing w:after="300"/>
      </w:pPr>
    </w:p>
    <w:p>
      <w:pPr>
        <w:pStyle w:val="Heading1"/>
      </w:pPr>
      <w:r>
        <w:rPr>
          <w:rFonts w:ascii="Arial" w:cs="Arial" w:eastAsia="Arial" w:hAnsi="Arial"/>
        </w:rPr>
        <w:t xml:space="preserve">SC-001: Client Q&amp;A — Answers A1–A10</w:t>
      </w:r>
    </w:p>
    <w:p>
      <w:pPr>
        <w:spacing w:after="200"/>
      </w:pPr>
      <w:r>
        <w:rPr>
          <w:rFonts w:ascii="Arial" w:cs="Arial" w:eastAsia="Arial" w:hAnsi="Arial"/>
          <w:b/>
          <w:bCs/>
          <w:i w:val="false"/>
          <w:iCs w:val="false"/>
          <w:color w:val="1F2937"/>
          <w:sz w:val="20"/>
          <w:szCs w:val="20"/>
        </w:rPr>
        <w:t xml:space="preserve">Date: </w:t>
      </w:r>
      <w:r>
        <w:rPr>
          <w:rFonts w:ascii="Arial" w:cs="Arial" w:eastAsia="Arial" w:hAnsi="Arial"/>
          <w:b w:val="false"/>
          <w:bCs w:val="false"/>
          <w:i w:val="false"/>
          <w:iCs w:val="false"/>
          <w:color w:val="1F2937"/>
          <w:sz w:val="20"/>
          <w:szCs w:val="20"/>
        </w:rPr>
        <w:t xml:space="preserve">2026-02-23</w:t>
      </w:r>
      <w:r>
        <w:rPr>
          <w:rFonts w:ascii="Arial" w:cs="Arial" w:eastAsia="Arial" w:hAnsi="Arial"/>
          <w:b w:val="false"/>
          <w:bCs w:val="false"/>
          <w:i w:val="false"/>
          <w:iCs w:val="false"/>
          <w:color w:val="1F2937"/>
          <w:sz w:val="20"/>
          <w:szCs w:val="20"/>
        </w:rPr>
        <w:t xml:space="preserve">    |    11 changes    |    Net impact: </w:t>
      </w:r>
      <w:r>
        <w:rPr>
          <w:rFonts w:ascii="Arial" w:cs="Arial" w:eastAsia="Arial" w:hAnsi="Arial"/>
          <w:b/>
          <w:bCs/>
          <w:i w:val="false"/>
          <w:iCs w:val="false"/>
          <w:color w:val="DC2626"/>
          <w:sz w:val="20"/>
          <w:szCs w:val="20"/>
        </w:rPr>
        <w:t xml:space="preserve">+184 hrs</w:t>
      </w:r>
    </w:p>
    <w:p>
      <w:pPr>
        <w:spacing w:after="80"/>
      </w:pPr>
      <w:r>
        <w:rPr>
          <w:rFonts w:ascii="Arial" w:cs="Arial" w:eastAsia="Arial" w:hAnsi="Arial"/>
          <w:b/>
          <w:bCs/>
          <w:i w:val="false"/>
          <w:iCs w:val="false"/>
          <w:color w:val="2563EB"/>
          <w:sz w:val="18"/>
          <w:szCs w:val="18"/>
        </w:rPr>
        <w:t xml:space="preserve">CONFIRMED  </w:t>
      </w:r>
      <w:r>
        <w:rPr>
          <w:rFonts w:ascii="Arial" w:cs="Arial" w:eastAsia="Arial" w:hAnsi="Arial"/>
          <w:b/>
          <w:bCs/>
          <w:i w:val="false"/>
          <w:iCs w:val="false"/>
          <w:color w:val="1B3A5C"/>
          <w:sz w:val="24"/>
          <w:szCs w:val="24"/>
        </w:rPr>
        <w:t xml:space="preserve">A1 — Offer Lifecycle States</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"Offers follow the lifecycle: Draft → Scheduled → Active → Closed → Allocating → Approved → Exported. Reversed and Cancelled are terminal states reachable from Approved."</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Confirmed offer lifecycle already modeled in estimation. State transitions covered in item #16.</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#16 State transitions (24 hrs) — already included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0 hrs</w:t>
            </w:r>
          </w:p>
        </w:tc>
      </w:tr>
    </w:tbl>
    <w:p>
      <w:pPr>
        <w:pBdr>
          <w:bottom w:val="single" w:color="E5E7EB" w:sz="2" w:space="8"/>
        </w:pBdr>
        <w:spacing w:before="160" w:after="160"/>
      </w:pPr>
    </w:p>
    <w:p>
      <w:pPr>
        <w:spacing w:after="80"/>
      </w:pPr>
      <w:r>
        <w:rPr>
          <w:rFonts w:ascii="Arial" w:cs="Arial" w:eastAsia="Arial" w:hAnsi="Arial"/>
          <w:b/>
          <w:bCs/>
          <w:i w:val="false"/>
          <w:iCs w:val="false"/>
          <w:color w:val="2563EB"/>
          <w:sz w:val="18"/>
          <w:szCs w:val="18"/>
        </w:rPr>
        <w:t xml:space="preserve">CONFIRMED  </w:t>
      </w:r>
      <w:r>
        <w:rPr>
          <w:rFonts w:ascii="Arial" w:cs="Arial" w:eastAsia="Arial" w:hAnsi="Arial"/>
          <w:b/>
          <w:bCs/>
          <w:i w:val="false"/>
          <w:iCs w:val="false"/>
          <w:color w:val="1B3A5C"/>
          <w:sz w:val="24"/>
          <w:szCs w:val="24"/>
        </w:rPr>
        <w:t xml:space="preserve">A2 — Role Definitions</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"Five roles confirmed: Sales Rep, Sales Manager, Admin, Finance, Executive. Sales Reps enter bids and act on behalf of customers. Sales Managers approve allocations. Admin has full system access. Finance and Executive have read-only access to reports and exports."</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Confirmed 5-role structure already in estimation. Azure AD Groups (Option A) maps directly to these roles.</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#5 Azure AD Group setup — 5 groups (15 hrs) — already included</w:t>
      </w:r>
    </w:p>
    <w:p>
      <w:pPr>
        <w:pStyle w:val="ListParagraph"/>
        <w:numPr>
          <w:ilvl w:val="0"/>
          <w:numId w:val="2"/>
        </w:numPr>
      </w:pPr>
      <w:r>
        <w:rPr>
          <w:rFonts w:ascii="Arial" w:cs="Arial" w:eastAsia="Arial" w:hAnsi="Arial"/>
          <w:sz w:val="20"/>
          <w:szCs w:val="20"/>
        </w:rPr>
        <w:t xml:space="preserve">#7 AuthorizeView components (14 hrs) — already included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0 hrs</w:t>
            </w:r>
          </w:p>
        </w:tc>
      </w:tr>
    </w:tbl>
    <w:p>
      <w:pPr>
        <w:pBdr>
          <w:bottom w:val="single" w:color="E5E7EB" w:sz="2" w:space="8"/>
        </w:pBdr>
        <w:spacing w:before="160" w:after="160"/>
      </w:pPr>
    </w:p>
    <w:p>
      <w:pPr>
        <w:spacing w:after="80"/>
      </w:pPr>
      <w:r>
        <w:rPr>
          <w:rFonts w:ascii="Arial" w:cs="Arial" w:eastAsia="Arial" w:hAnsi="Arial"/>
          <w:b/>
          <w:bCs/>
          <w:i w:val="false"/>
          <w:iCs w:val="false"/>
          <w:color w:val="059669"/>
          <w:sz w:val="18"/>
          <w:szCs w:val="18"/>
        </w:rPr>
        <w:t xml:space="preserve">NEW  </w:t>
      </w:r>
      <w:r>
        <w:rPr>
          <w:rFonts w:ascii="Arial" w:cs="Arial" w:eastAsia="Arial" w:hAnsi="Arial"/>
          <w:b/>
          <w:bCs/>
          <w:i w:val="false"/>
          <w:iCs w:val="false"/>
          <w:color w:val="1B3A5C"/>
          <w:sz w:val="24"/>
          <w:szCs w:val="24"/>
        </w:rPr>
        <w:t xml:space="preserve">A3 — Inventory Identity</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"Each inventory item is identified by a composite key: PartNumber + Condition + Location + Grade. Master description is maintained separately — net-new items populate master automatically; existing items retain source description only; master changes require Admin/Manager action."</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Added inventory identity logic — composite uniqueness enforcement + master vs source description management</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#12 Inventory identity — composite uniqueness (40 hrs)</w:t>
      </w:r>
    </w:p>
    <w:p>
      <w:pPr>
        <w:pStyle w:val="ListParagraph"/>
        <w:numPr>
          <w:ilvl w:val="0"/>
          <w:numId w:val="2"/>
        </w:numPr>
      </w:pPr>
      <w:r>
        <w:rPr>
          <w:rFonts w:ascii="Arial" w:cs="Arial" w:eastAsia="Arial" w:hAnsi="Arial"/>
          <w:sz w:val="20"/>
          <w:szCs w:val="20"/>
        </w:rPr>
        <w:t xml:space="preserve">#13 Inventory adjustment records (21 hrs)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DC2626"/>
                <w:sz w:val="18"/>
                <w:szCs w:val="18"/>
              </w:rPr>
              <w:t xml:space="preserve">+61 hrs</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DC2626"/>
                <w:sz w:val="18"/>
                <w:szCs w:val="18"/>
              </w:rPr>
              <w:t xml:space="preserve">+61 hrs</w:t>
            </w:r>
          </w:p>
        </w:tc>
      </w:tr>
    </w:tbl>
    <w:p>
      <w:pPr>
        <w:pBdr>
          <w:bottom w:val="single" w:color="E5E7EB" w:sz="2" w:space="8"/>
        </w:pBdr>
        <w:spacing w:before="160" w:after="160"/>
      </w:pPr>
    </w:p>
    <w:p>
      <w:pPr>
        <w:spacing w:after="80"/>
      </w:pPr>
      <w:r>
        <w:rPr>
          <w:rFonts w:ascii="Arial" w:cs="Arial" w:eastAsia="Arial" w:hAnsi="Arial"/>
          <w:b/>
          <w:bCs/>
          <w:i w:val="false"/>
          <w:iCs w:val="false"/>
          <w:color w:val="2563EB"/>
          <w:sz w:val="18"/>
          <w:szCs w:val="18"/>
        </w:rPr>
        <w:t xml:space="preserve">CONFIRMED  </w:t>
      </w:r>
      <w:r>
        <w:rPr>
          <w:rFonts w:ascii="Arial" w:cs="Arial" w:eastAsia="Arial" w:hAnsi="Arial"/>
          <w:b/>
          <w:bCs/>
          <w:i w:val="false"/>
          <w:iCs w:val="false"/>
          <w:color w:val="1B3A5C"/>
          <w:sz w:val="24"/>
          <w:szCs w:val="24"/>
        </w:rPr>
        <w:t xml:space="preserve">A4 — CSV Upload Format</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"Inventory uploads are CSV files with standard columns: PartNumber, Description, Quantity, Condition, Location, Grade, Cost. Uploads always create new adjustment records — never overwrite existing inventory."</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Confirmed CSV upload format and behavior already modeled in estimation. Parsing + validation covered in item #11.</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#11 Bulk CSV/Excel upload (48 hrs) — already included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0 hrs</w:t>
            </w:r>
          </w:p>
        </w:tc>
      </w:tr>
    </w:tbl>
    <w:p>
      <w:pPr>
        <w:pBdr>
          <w:bottom w:val="single" w:color="E5E7EB" w:sz="2" w:space="8"/>
        </w:pBdr>
        <w:spacing w:before="160" w:after="160"/>
      </w:pPr>
    </w:p>
    <w:p>
      <w:pPr>
        <w:spacing w:after="80"/>
      </w:pPr>
      <w:r>
        <w:rPr>
          <w:rFonts w:ascii="Arial" w:cs="Arial" w:eastAsia="Arial" w:hAnsi="Arial"/>
          <w:b/>
          <w:bCs/>
          <w:i w:val="false"/>
          <w:iCs w:val="false"/>
          <w:color w:val="059669"/>
          <w:sz w:val="18"/>
          <w:szCs w:val="18"/>
        </w:rPr>
        <w:t xml:space="preserve">NEW  </w:t>
      </w:r>
      <w:r>
        <w:rPr>
          <w:rFonts w:ascii="Arial" w:cs="Arial" w:eastAsia="Arial" w:hAnsi="Arial"/>
          <w:b/>
          <w:bCs/>
          <w:i w:val="false"/>
          <w:iCs w:val="false"/>
          <w:color w:val="1B3A5C"/>
          <w:sz w:val="24"/>
          <w:szCs w:val="24"/>
        </w:rPr>
        <w:t xml:space="preserve">A5 — Bid Uniqueness</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"One active bid per customer per line item per offer. When a bid is updated, the system creates a new revision (rev 2, rev 3, etc.) — previous revisions are retained for audit but only the latest is active."</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Added bid uniqueness enforcement + revision tracking (one active bid per customer/line/offer, previous revisions retained for audit)</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#20 Bid uniqueness enforcement + revision tracking (15 hrs)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DC2626"/>
                <w:sz w:val="18"/>
                <w:szCs w:val="18"/>
              </w:rPr>
              <w:t xml:space="preserve">+15 hrs</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DC2626"/>
                <w:sz w:val="18"/>
                <w:szCs w:val="18"/>
              </w:rPr>
              <w:t xml:space="preserve">+15 hrs</w:t>
            </w:r>
          </w:p>
        </w:tc>
      </w:tr>
    </w:tbl>
    <w:p>
      <w:pPr>
        <w:pBdr>
          <w:bottom w:val="single" w:color="E5E7EB" w:sz="2" w:space="8"/>
        </w:pBdr>
        <w:spacing w:before="160" w:after="160"/>
      </w:pPr>
    </w:p>
    <w:p>
      <w:pPr>
        <w:spacing w:after="80"/>
      </w:pPr>
      <w:r>
        <w:rPr>
          <w:rFonts w:ascii="Arial" w:cs="Arial" w:eastAsia="Arial" w:hAnsi="Arial"/>
          <w:b/>
          <w:bCs/>
          <w:i w:val="false"/>
          <w:iCs w:val="false"/>
          <w:color w:val="2563EB"/>
          <w:sz w:val="18"/>
          <w:szCs w:val="18"/>
        </w:rPr>
        <w:t xml:space="preserve">CONFIRMED  </w:t>
      </w:r>
      <w:r>
        <w:rPr>
          <w:rFonts w:ascii="Arial" w:cs="Arial" w:eastAsia="Arial" w:hAnsi="Arial"/>
          <w:b/>
          <w:bCs/>
          <w:i w:val="false"/>
          <w:iCs w:val="false"/>
          <w:color w:val="1B3A5C"/>
          <w:sz w:val="24"/>
          <w:szCs w:val="24"/>
        </w:rPr>
        <w:t xml:space="preserve">A6 — Pricing Types</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"Three bid types confirmed: standard bid (customer offers a price), BIN (Buy It Now — fixed price set by REMarkets), and target pricing (REMarkets sets a target, customers bid against it). All three are per line item."</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Confirmed three bid types already modeled in estimation. Covered in item #21.</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#21 Bid types support — bid/BIN/target pricing (18 hrs) — already included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0 hrs</w:t>
            </w:r>
          </w:p>
        </w:tc>
      </w:tr>
    </w:tbl>
    <w:p>
      <w:pPr>
        <w:pBdr>
          <w:bottom w:val="single" w:color="E5E7EB" w:sz="2" w:space="8"/>
        </w:pBdr>
        <w:spacing w:before="160" w:after="160"/>
      </w:pPr>
    </w:p>
    <w:p>
      <w:pPr>
        <w:spacing w:after="80"/>
      </w:pPr>
      <w:r>
        <w:rPr>
          <w:rFonts w:ascii="Arial" w:cs="Arial" w:eastAsia="Arial" w:hAnsi="Arial"/>
          <w:b/>
          <w:bCs/>
          <w:i w:val="false"/>
          <w:iCs w:val="false"/>
          <w:color w:val="059669"/>
          <w:sz w:val="18"/>
          <w:szCs w:val="18"/>
        </w:rPr>
        <w:t xml:space="preserve">NEW  </w:t>
      </w:r>
      <w:r>
        <w:rPr>
          <w:rFonts w:ascii="Arial" w:cs="Arial" w:eastAsia="Arial" w:hAnsi="Arial"/>
          <w:b/>
          <w:bCs/>
          <w:i w:val="false"/>
          <w:iCs w:val="false"/>
          <w:color w:val="1B3A5C"/>
          <w:sz w:val="24"/>
          <w:szCs w:val="24"/>
        </w:rPr>
        <w:t xml:space="preserve">A7 — Tie-Breaker Resolution</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"When two or more bids tie on price/quantity, the system surfaces the tie to the Sales Manager. Manager resolves manually by selecting the winning bid — no automatic tie-breaking logic."</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Added tie detection logic + resolution UI (system surfaces tied bids, manager picks winner manually)</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#31 Tie detection logic + resolution UI (12 hrs)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DC2626"/>
                <w:sz w:val="18"/>
                <w:szCs w:val="18"/>
              </w:rPr>
              <w:t xml:space="preserve">+12 hrs</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DC2626"/>
                <w:sz w:val="18"/>
                <w:szCs w:val="18"/>
              </w:rPr>
              <w:t xml:space="preserve">+12 hrs</w:t>
            </w:r>
          </w:p>
        </w:tc>
      </w:tr>
    </w:tbl>
    <w:p>
      <w:pPr>
        <w:pBdr>
          <w:bottom w:val="single" w:color="E5E7EB" w:sz="2" w:space="8"/>
        </w:pBdr>
        <w:spacing w:before="160" w:after="160"/>
      </w:pPr>
    </w:p>
    <w:p>
      <w:pPr>
        <w:spacing w:after="80"/>
      </w:pPr>
      <w:r>
        <w:rPr>
          <w:rFonts w:ascii="Arial" w:cs="Arial" w:eastAsia="Arial" w:hAnsi="Arial"/>
          <w:b/>
          <w:bCs/>
          <w:i w:val="false"/>
          <w:iCs w:val="false"/>
          <w:color w:val="059669"/>
          <w:sz w:val="18"/>
          <w:szCs w:val="18"/>
        </w:rPr>
        <w:t xml:space="preserve">NEW  </w:t>
      </w:r>
      <w:r>
        <w:rPr>
          <w:rFonts w:ascii="Arial" w:cs="Arial" w:eastAsia="Arial" w:hAnsi="Arial"/>
          <w:b/>
          <w:bCs/>
          <w:i w:val="false"/>
          <w:iCs w:val="false"/>
          <w:color w:val="1B3A5C"/>
          <w:sz w:val="24"/>
          <w:szCs w:val="24"/>
        </w:rPr>
        <w:t xml:space="preserve">A8 — Allocation Reversal</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"Full reversal must be supported in Phase 1. When an allocation is reversed: inventory returns to Available status, the allocation is marked as Reversed (with reason code), and the export is locked/invalidated."</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Added full allocation reversal support — return inventory to Available, mark Reversed, lock/regenerate export, require reason code with audit trail</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#29 Allocation reversal logic (40 hrs)</w:t>
      </w:r>
    </w:p>
    <w:p>
      <w:pPr>
        <w:pStyle w:val="ListParagraph"/>
        <w:numPr>
          <w:ilvl w:val="0"/>
          <w:numId w:val="2"/>
        </w:numPr>
      </w:pPr>
      <w:r>
        <w:rPr>
          <w:rFonts w:ascii="Arial" w:cs="Arial" w:eastAsia="Arial" w:hAnsi="Arial"/>
          <w:sz w:val="20"/>
          <w:szCs w:val="20"/>
        </w:rPr>
        <w:t xml:space="preserve">#30 Reversal reason code + audit trail (12 hrs)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DC2626"/>
                <w:sz w:val="18"/>
                <w:szCs w:val="18"/>
              </w:rPr>
              <w:t xml:space="preserve">+52 hrs</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DC2626"/>
                <w:sz w:val="18"/>
                <w:szCs w:val="18"/>
              </w:rPr>
              <w:t xml:space="preserve">+52 hrs</w:t>
            </w:r>
          </w:p>
        </w:tc>
      </w:tr>
    </w:tbl>
    <w:p>
      <w:pPr>
        <w:pBdr>
          <w:bottom w:val="single" w:color="E5E7EB" w:sz="2" w:space="8"/>
        </w:pBdr>
        <w:spacing w:before="160" w:after="160"/>
      </w:pPr>
    </w:p>
    <w:p>
      <w:pPr>
        <w:spacing w:after="80"/>
      </w:pPr>
      <w:r>
        <w:rPr>
          <w:rFonts w:ascii="Arial" w:cs="Arial" w:eastAsia="Arial" w:hAnsi="Arial"/>
          <w:b/>
          <w:bCs/>
          <w:i w:val="false"/>
          <w:iCs w:val="false"/>
          <w:color w:val="D97706"/>
          <w:sz w:val="18"/>
          <w:szCs w:val="18"/>
        </w:rPr>
        <w:t xml:space="preserve">MODIFIED  </w:t>
      </w:r>
      <w:r>
        <w:rPr>
          <w:rFonts w:ascii="Arial" w:cs="Arial" w:eastAsia="Arial" w:hAnsi="Arial"/>
          <w:b/>
          <w:bCs/>
          <w:i w:val="false"/>
          <w:iCs w:val="false"/>
          <w:color w:val="1B3A5C"/>
          <w:sz w:val="24"/>
          <w:szCs w:val="24"/>
        </w:rPr>
        <w:t xml:space="preserve">A9 — Approval Thresholds</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"All allocations are manager-approved in Phase 1. No automatic approval thresholds. However, the system should show a visual 'below floor' warning when pricing is below a configurable floor — visual only, no auto-reject."</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Simplified approval from configurable thresholds (21 hrs) to visual-only 'below floor' indicator (12 hrs). Thresholds moved to future phase.</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#27 changed: Approval thresholds (21 hrs) → Visual pricing indicators (12 hrs)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DC2626"/>
                <w:sz w:val="18"/>
                <w:szCs w:val="18"/>
              </w:rPr>
              <w:t xml:space="preserve">+12 hrs</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59669"/>
                <w:sz w:val="18"/>
                <w:szCs w:val="18"/>
              </w:rPr>
              <w:t xml:space="preserve">-21 hrs</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059669"/>
                <w:sz w:val="18"/>
                <w:szCs w:val="18"/>
              </w:rPr>
              <w:t xml:space="preserve">-9 hrs</w:t>
            </w:r>
          </w:p>
        </w:tc>
      </w:tr>
    </w:tbl>
    <w:p>
      <w:pPr>
        <w:pBdr>
          <w:bottom w:val="single" w:color="E5E7EB" w:sz="2" w:space="8"/>
        </w:pBdr>
        <w:spacing w:before="160" w:after="160"/>
      </w:pPr>
    </w:p>
    <w:p>
      <w:pPr>
        <w:spacing w:after="80"/>
      </w:pPr>
      <w:r>
        <w:rPr>
          <w:rFonts w:ascii="Arial" w:cs="Arial" w:eastAsia="Arial" w:hAnsi="Arial"/>
          <w:b/>
          <w:bCs/>
          <w:i w:val="false"/>
          <w:iCs w:val="false"/>
          <w:color w:val="2563EB"/>
          <w:sz w:val="18"/>
          <w:szCs w:val="18"/>
        </w:rPr>
        <w:t xml:space="preserve">CONFIRMED  </w:t>
      </w:r>
      <w:r>
        <w:rPr>
          <w:rFonts w:ascii="Arial" w:cs="Arial" w:eastAsia="Arial" w:hAnsi="Arial"/>
          <w:b/>
          <w:bCs/>
          <w:i w:val="false"/>
          <w:iCs w:val="false"/>
          <w:color w:val="1B3A5C"/>
          <w:sz w:val="24"/>
          <w:szCs w:val="24"/>
        </w:rPr>
        <w:t xml:space="preserve">A10 — Export Format</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"Phase 1 export is CSV only. Approved allocations are exported as a flat CSV file with standard columns for the downstream order management system. PDF exports are a nice-to-have for post-MVP."</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Confirmed CSV export already in MVP (item #37). PDF export stays in Post-MVP (item #43) as planned.</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#37 CSV export from approved allocations (10 hrs) — already included</w:t>
      </w:r>
    </w:p>
    <w:p>
      <w:pPr>
        <w:pStyle w:val="ListParagraph"/>
        <w:numPr>
          <w:ilvl w:val="0"/>
          <w:numId w:val="2"/>
        </w:numPr>
      </w:pPr>
      <w:r>
        <w:rPr>
          <w:rFonts w:ascii="Arial" w:cs="Arial" w:eastAsia="Arial" w:hAnsi="Arial"/>
          <w:sz w:val="20"/>
          <w:szCs w:val="20"/>
        </w:rPr>
        <w:t xml:space="preserve">#43 PDF export — Post-MVP (21 hrs) — already included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0 hrs</w:t>
            </w:r>
          </w:p>
        </w:tc>
      </w:tr>
    </w:tbl>
    <w:p>
      <w:pPr>
        <w:pBdr>
          <w:bottom w:val="single" w:color="E5E7EB" w:sz="2" w:space="8"/>
        </w:pBdr>
        <w:spacing w:before="160" w:after="160"/>
      </w:pPr>
    </w:p>
    <w:p>
      <w:pPr>
        <w:spacing w:after="80"/>
      </w:pPr>
      <w:r>
        <w:rPr>
          <w:rFonts w:ascii="Arial" w:cs="Arial" w:eastAsia="Arial" w:hAnsi="Arial"/>
          <w:b/>
          <w:bCs/>
          <w:i w:val="false"/>
          <w:iCs w:val="false"/>
          <w:color w:val="D97706"/>
          <w:sz w:val="18"/>
          <w:szCs w:val="18"/>
        </w:rPr>
        <w:t xml:space="preserve">MODIFIED  </w:t>
      </w:r>
      <w:r>
        <w:rPr>
          <w:rFonts w:ascii="Arial" w:cs="Arial" w:eastAsia="Arial" w:hAnsi="Arial"/>
          <w:b/>
          <w:bCs/>
          <w:i w:val="false"/>
          <w:iCs w:val="false"/>
          <w:color w:val="1B3A5C"/>
          <w:sz w:val="24"/>
          <w:szCs w:val="24"/>
        </w:rPr>
        <w:t xml:space="preserve">Bug Buffer Recalculation</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Bug buffer recalculated at 10% of new MVP hours (~900 hrs pre-buffer = 90 hrs, up from 75 hrs)</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#41 Bug fixing buffer: 75 hrs → 90 hrs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DC2626"/>
                <w:sz w:val="18"/>
                <w:szCs w:val="18"/>
              </w:rPr>
              <w:t xml:space="preserve">+15 hrs</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DC2626"/>
                <w:sz w:val="18"/>
                <w:szCs w:val="18"/>
              </w:rPr>
              <w:t xml:space="preserve">+15 hrs</w:t>
            </w:r>
          </w:p>
        </w:tc>
      </w:tr>
    </w:tbl>
    <w:p>
      <w:pPr>
        <w:pBdr>
          <w:bottom w:val="single" w:color="E5E7EB" w:sz="2" w:space="8"/>
        </w:pBdr>
        <w:spacing w:before="160" w:after="160"/>
      </w:pPr>
    </w:p>
    <w:p>
      <w:pPr>
        <w:pStyle w:val="Heading2"/>
      </w:pPr>
      <w:r>
        <w:rPr>
          <w:rFonts w:ascii="Arial" w:cs="Arial" w:eastAsia="Arial" w:hAnsi="Arial"/>
        </w:rPr>
        <w:t xml:space="preserve">Batch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Metric</w:t>
            </w:r>
          </w:p>
        </w:tc>
        <w:tc>
          <w:tcPr>
            <w:tcW w:type="dxa" w:w="228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Before</w:t>
            </w:r>
          </w:p>
        </w:tc>
        <w:tc>
          <w:tcPr>
            <w:tcW w:type="dxa" w:w="228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After</w:t>
            </w:r>
          </w:p>
        </w:tc>
      </w:tr>
      <w:tr>
        <w:tc>
          <w:tcPr>
            <w:tcW w:type="dxa" w:w="48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MVP Hours (Auth Option A)</w:t>
            </w:r>
          </w:p>
        </w:tc>
        <w:tc>
          <w:tcPr>
            <w:tcW w:type="dxa" w:w="228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1F2937"/>
                <w:sz w:val="18"/>
                <w:szCs w:val="18"/>
              </w:rPr>
              <w:t xml:space="preserve">~806 hrs</w:t>
            </w:r>
          </w:p>
        </w:tc>
        <w:tc>
          <w:tcPr>
            <w:tcW w:type="dxa" w:w="228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right"/>
            </w:pPr>
            <w:r>
              <w:rPr>
                <w:rFonts w:ascii="Arial" w:cs="Arial" w:eastAsia="Arial" w:hAnsi="Arial"/>
                <w:b/>
                <w:bCs/>
                <w:i w:val="false"/>
                <w:iCs w:val="false"/>
                <w:color w:val="1F2937"/>
                <w:sz w:val="18"/>
                <w:szCs w:val="18"/>
              </w:rPr>
              <w:t xml:space="preserve">~990 hrs</w:t>
            </w:r>
          </w:p>
        </w:tc>
      </w:tr>
      <w:tr>
        <w:tc>
          <w:tcPr>
            <w:tcW w:type="dxa" w:w="48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Full Scope (MVP + Post-MVP + Learning)</w:t>
            </w:r>
          </w:p>
        </w:tc>
        <w:tc>
          <w:tcPr>
            <w:tcW w:type="dxa" w:w="228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1F2937"/>
                <w:sz w:val="18"/>
                <w:szCs w:val="18"/>
              </w:rPr>
              <w:t xml:space="preserve">~980 hrs</w:t>
            </w:r>
          </w:p>
        </w:tc>
        <w:tc>
          <w:tcPr>
            <w:tcW w:type="dxa" w:w="228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right"/>
            </w:pPr>
            <w:r>
              <w:rPr>
                <w:rFonts w:ascii="Arial" w:cs="Arial" w:eastAsia="Arial" w:hAnsi="Arial"/>
                <w:b/>
                <w:bCs/>
                <w:i w:val="false"/>
                <w:iCs w:val="false"/>
                <w:color w:val="1F2937"/>
                <w:sz w:val="18"/>
                <w:szCs w:val="18"/>
              </w:rPr>
              <w:t xml:space="preserve">~1163 hrs</w:t>
            </w:r>
          </w:p>
        </w:tc>
      </w:tr>
      <w:tr>
        <w:tc>
          <w:tcPr>
            <w:tcW w:type="dxa" w:w="480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Total Hours Added</w:t>
            </w:r>
          </w:p>
        </w:tc>
        <w:tc>
          <w:tcPr>
            <w:tcW w:type="dxa" w:w="228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
            </w:r>
          </w:p>
        </w:tc>
        <w:tc>
          <w:tcPr>
            <w:tcW w:type="dxa" w:w="228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right"/>
            </w:pPr>
            <w:r>
              <w:rPr>
                <w:rFonts w:ascii="Arial" w:cs="Arial" w:eastAsia="Arial" w:hAnsi="Arial"/>
                <w:b/>
                <w:bCs/>
                <w:i w:val="false"/>
                <w:iCs w:val="false"/>
                <w:color w:val="DC2626"/>
                <w:sz w:val="18"/>
                <w:szCs w:val="18"/>
              </w:rPr>
              <w:t xml:space="preserve">+167 hrs</w:t>
            </w:r>
          </w:p>
        </w:tc>
      </w:tr>
      <w:tr>
        <w:tc>
          <w:tcPr>
            <w:tcW w:type="dxa" w:w="480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Total Hours Removed</w:t>
            </w:r>
          </w:p>
        </w:tc>
        <w:tc>
          <w:tcPr>
            <w:tcW w:type="dxa" w:w="228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
            </w:r>
          </w:p>
        </w:tc>
        <w:tc>
          <w:tcPr>
            <w:tcW w:type="dxa" w:w="228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059669"/>
                <w:sz w:val="18"/>
                <w:szCs w:val="18"/>
              </w:rPr>
              <w:t xml:space="preserve">-21 hrs</w:t>
            </w:r>
          </w:p>
        </w:tc>
      </w:tr>
      <w:tr>
        <w:tc>
          <w:tcPr>
            <w:tcW w:type="dxa" w:w="480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Net Impact on MVP</w:t>
            </w:r>
          </w:p>
        </w:tc>
        <w:tc>
          <w:tcPr>
            <w:tcW w:type="dxa" w:w="228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tcPr>
          <w:p/>
        </w:tc>
        <w:tc>
          <w:tcPr>
            <w:tcW w:type="dxa" w:w="228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tcPr>
          <w:p>
            <w:pPr>
              <w:jc w:val="right"/>
            </w:pPr>
            <w:r>
              <w:rPr>
                <w:rFonts w:ascii="Arial" w:cs="Arial" w:eastAsia="Arial" w:hAnsi="Arial"/>
                <w:b/>
                <w:bCs/>
                <w:color w:val="FFFFFF"/>
                <w:sz w:val="19"/>
                <w:szCs w:val="19"/>
              </w:rPr>
              <w:t xml:space="preserve">+184 hrs</w:t>
            </w:r>
          </w:p>
        </w:tc>
      </w:tr>
    </w:tbl>
    <w:p>
      <w:pPr>
        <w:spacing w:after="200"/>
      </w:pPr>
      <w:r>
        <w:rPr>
          <w:rFonts w:ascii="Arial" w:cs="Arial" w:eastAsia="Arial" w:hAnsi="Arial"/>
          <w:b w:val="false"/>
          <w:bCs w:val="false"/>
          <w:i/>
          <w:iCs/>
          <w:color w:val="1F2937"/>
          <w:sz w:val="18"/>
          <w:szCs w:val="18"/>
        </w:rPr>
        <w:t xml:space="preserve">Net +184 hrs to MVP. 11 items processed from client answers A1–A10: 5 confirmed existing assumptions (no impact), 4 added new scope (+140 hrs), 1 modified existing scope (-9 hrs), plus bug buffer recalculation (+15 hrs).</w:t>
      </w:r>
    </w:p>
    <w:p>
      <w:pPr>
        <w:spacing w:after="200"/>
      </w:pPr>
    </w:p>
    <w:p>
      <w:pPr>
        <w:pStyle w:val="Heading1"/>
      </w:pPr>
      <w:r>
        <w:rPr>
          <w:rFonts w:ascii="Arial" w:cs="Arial" w:eastAsia="Arial" w:hAnsi="Arial"/>
        </w:rPr>
        <w:t xml:space="preserve">Cumulative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Cumulative Metric</w:t>
            </w:r>
          </w:p>
        </w:tc>
        <w:tc>
          <w:tcPr>
            <w:tcW w:type="dxa" w:w="396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Value</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Total Change Batches</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1</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Total Individual Changes</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11</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Original MVP Estimate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~806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Current MVP Estimate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~990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Cumulative Net Impact on MVP</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DC2626"/>
                <w:sz w:val="18"/>
                <w:szCs w:val="18"/>
              </w:rPr>
              <w:t xml:space="preserve">+184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Original Full Scope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~980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Current Full Scope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~1163 hrs</w:t>
            </w:r>
          </w:p>
        </w:tc>
      </w:tr>
    </w:tbl>
    <w:p>
      <w:pPr>
        <w:spacing w:after="200"/>
      </w:pPr>
    </w:p>
    <w:p>
      <w:pPr>
        <w:spacing w:after="120"/>
      </w:pPr>
      <w:r>
        <w:rPr>
          <w:rFonts w:ascii="Arial" w:cs="Arial" w:eastAsia="Arial" w:hAnsi="Arial"/>
          <w:b w:val="false"/>
          <w:bCs w:val="false"/>
          <w:i/>
          <w:iCs/>
          <w:color w:val="1F2937"/>
          <w:sz w:val="18"/>
          <w:szCs w:val="18"/>
        </w:rPr>
        <w:t xml:space="preserve">This document is updated each time client answers or stakeholder decisions affect the project scope. All changes reference the specific trigger (Q&amp;A answer, meeting decision, or discovery finding) that justified the modification.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6B7280"/>
        <w:sz w:val="16"/>
        <w:szCs w:val="16"/>
      </w:rPr>
      <w:t xml:space="preserve">Confidential — For internal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color w:val="6B7280"/>
        <w:sz w:val="16"/>
        <w:szCs w:val="16"/>
      </w:rPr>
      <w:t xml:space="preserve">Scope Change Register</w:t>
    </w:r>
    <w:r>
      <w:rPr>
        <w:rFonts w:ascii="Arial" w:cs="Arial" w:eastAsia="Arial" w:hAnsi="Arial"/>
        <w:color w:val="6B7280"/>
        <w:sz w:val="16"/>
        <w:szCs w:val="16"/>
      </w:rPr>
      <w:t xml:space="preserve">	EMPA Framework — Simpat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2026-02-24T19:33:32.208Z</dcterms:created>
  <dcterms:modified xsi:type="dcterms:W3CDTF">2026-02-24T19:33:32.209Z</dcterms:modified>
</cp:coreProperties>
</file>

<file path=docProps/custom.xml><?xml version="1.0" encoding="utf-8"?>
<Properties xmlns="http://schemas.openxmlformats.org/officeDocument/2006/custom-properties" xmlns:vt="http://schemas.openxmlformats.org/officeDocument/2006/docPropsVTypes"/>
</file>