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 w:line="276" w:lineRule="auto"/>
        <w:jc w:val="center"/>
      </w:pPr>
      <w:r>
        <w:drawing>
          <wp:inline distT="0" distB="0" distL="0" distR="0">
            <wp:extent cx="1714500" cy="819150"/>
            <wp:effectExtent t="0" r="0" b="0" l="0"/>
            <wp:docPr id="1" name="logo" descr="Logotipo de la Universidad Virtual del Estado de Guanajuato" title="UV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819150"/>
                    </a:xfrm>
                    <a:prstGeom prst="rect">
                      <a:avLst/>
                    </a:prstGeom>
                  </pic:spPr>
                </pic:pic>
              </a:graphicData>
            </a:graphic>
          </wp:inline>
        </w:drawing>
      </w:r>
    </w:p>
    <w:p>
      <w:pPr>
        <w:spacing w:after="0" w:before="0" w:line="276" w:lineRule="auto"/>
        <w:jc w:val="center"/>
      </w:pPr>
      <w:r>
        <w:rPr>
          <w:rFonts w:ascii="Arial" w:cs="Arial" w:eastAsia="Arial" w:hAnsi="Arial"/>
          <w:b/>
          <w:bCs/>
          <w:color w:val="1F4E79"/>
          <w:sz w:val="32"/>
          <w:szCs w:val="32"/>
        </w:rPr>
        <w:t xml:space="preserve">Universidad Virtual del Estado de Guanajuato</w:t>
      </w:r>
    </w:p>
    <w:p>
      <w:pPr>
        <w:spacing w:after="0" w:before="120" w:line="276" w:lineRule="auto"/>
        <w:jc w:val="center"/>
      </w:pPr>
      <w:r>
        <w:rPr>
          <w:rFonts w:ascii="Arial" w:cs="Arial" w:eastAsia="Arial" w:hAnsi="Arial"/>
          <w:b/>
          <w:bCs/>
          <w:color w:val="1F4E79"/>
          <w:sz w:val="32"/>
          <w:szCs w:val="32"/>
        </w:rPr>
        <w:t xml:space="preserve">Maestría en Inteligencia Artificial</w:t>
      </w:r>
    </w:p>
    <w:p>
      <w:pPr>
        <w:spacing w:after="0" w:before="360" w:line="276" w:lineRule="auto"/>
        <w:jc w:val="center"/>
      </w:pPr>
      <w:r>
        <w:rPr>
          <w:rFonts w:ascii="Arial" w:cs="Arial" w:eastAsia="Arial" w:hAnsi="Arial"/>
          <w:b/>
          <w:bCs/>
          <w:color w:val="1F4E79"/>
          <w:sz w:val="32"/>
          <w:szCs w:val="32"/>
        </w:rPr>
        <w:t xml:space="preserve">Módulo: </w:t>
      </w:r>
      <w:r>
        <w:rPr>
          <w:rFonts w:ascii="Arial" w:cs="Arial" w:eastAsia="Arial" w:hAnsi="Arial"/>
          <w:b/>
          <w:bCs/>
          <w:color w:val="1F4E79"/>
          <w:sz w:val="32"/>
          <w:szCs w:val="32"/>
        </w:rPr>
        <w:t xml:space="preserve">Aspectos éticos y normativos de la Ciencia de Datos e Inteligencia Artificial</w:t>
      </w:r>
    </w:p>
    <w:p>
      <w:pPr>
        <w:spacing w:after="0" w:before="360" w:line="276" w:lineRule="auto"/>
        <w:jc w:val="center"/>
      </w:pPr>
      <w:r>
        <w:rPr>
          <w:rFonts w:ascii="Arial" w:cs="Arial" w:eastAsia="Arial" w:hAnsi="Arial"/>
          <w:b/>
          <w:bCs/>
          <w:color w:val="1F4E79"/>
          <w:sz w:val="32"/>
          <w:szCs w:val="32"/>
        </w:rPr>
        <w:t xml:space="preserve">Reto 4: </w:t>
      </w:r>
      <w:r>
        <w:rPr>
          <w:rFonts w:ascii="Arial" w:cs="Arial" w:eastAsia="Arial" w:hAnsi="Arial"/>
          <w:b/>
          <w:bCs/>
          <w:color w:val="1F4E79"/>
          <w:sz w:val="32"/>
          <w:szCs w:val="32"/>
        </w:rPr>
        <w:t xml:space="preserve">Ciberseguridad y delitos informáticos</w:t>
      </w:r>
    </w:p>
    <w:p>
      <w:pPr>
        <w:spacing w:after="0" w:before="360" w:line="276" w:lineRule="auto"/>
        <w:jc w:val="center"/>
      </w:pPr>
      <w:r>
        <w:rPr>
          <w:rFonts w:ascii="Arial" w:cs="Arial" w:eastAsia="Arial" w:hAnsi="Arial"/>
          <w:b/>
          <w:bCs/>
          <w:color w:val="1F4E79"/>
          <w:sz w:val="32"/>
          <w:szCs w:val="32"/>
        </w:rPr>
        <w:t xml:space="preserve">Plan integral de gestión de riesgos informáticos del CIESS: estabilidad, accesibilidad y disponibilidad de funciones y bases de datos</w:t>
      </w:r>
    </w:p>
    <w:p>
      <w:pPr>
        <w:spacing w:after="0" w:before="600" w:line="276" w:lineRule="auto"/>
        <w:jc w:val="center"/>
      </w:pPr>
      <w:r>
        <w:rPr>
          <w:rFonts w:ascii="Arial" w:cs="Arial" w:eastAsia="Arial" w:hAnsi="Arial"/>
          <w:b/>
          <w:bCs/>
          <w:color w:val="1F4E79"/>
          <w:sz w:val="32"/>
          <w:szCs w:val="32"/>
        </w:rPr>
        <w:t xml:space="preserve">Nombre del alumno: </w:t>
      </w:r>
      <w:r>
        <w:rPr>
          <w:rFonts w:ascii="Arial" w:cs="Arial" w:eastAsia="Arial" w:hAnsi="Arial"/>
          <w:b/>
          <w:bCs/>
          <w:color w:val="1F4E79"/>
          <w:sz w:val="32"/>
          <w:szCs w:val="32"/>
        </w:rPr>
        <w:t xml:space="preserve">Arturo David Navarrete Flores</w:t>
      </w:r>
    </w:p>
    <w:p>
      <w:pPr>
        <w:spacing w:after="0" w:before="120" w:line="276" w:lineRule="auto"/>
        <w:jc w:val="center"/>
      </w:pPr>
      <w:r>
        <w:rPr>
          <w:rFonts w:ascii="Arial" w:cs="Arial" w:eastAsia="Arial" w:hAnsi="Arial"/>
          <w:b/>
          <w:bCs/>
          <w:color w:val="1F4E79"/>
          <w:sz w:val="32"/>
          <w:szCs w:val="32"/>
        </w:rPr>
        <w:t xml:space="preserve">Matrícula: </w:t>
      </w:r>
      <w:r>
        <w:rPr>
          <w:rFonts w:ascii="Arial" w:cs="Arial" w:eastAsia="Arial" w:hAnsi="Arial"/>
          <w:b/>
          <w:bCs/>
          <w:color w:val="1F4E79"/>
          <w:sz w:val="32"/>
          <w:szCs w:val="32"/>
        </w:rPr>
        <w:t xml:space="preserve">26014842</w:t>
      </w:r>
    </w:p>
    <w:p>
      <w:pPr>
        <w:spacing w:after="0" w:before="120" w:line="276" w:lineRule="auto"/>
        <w:jc w:val="center"/>
      </w:pPr>
      <w:r>
        <w:rPr>
          <w:rFonts w:ascii="Arial" w:cs="Arial" w:eastAsia="Arial" w:hAnsi="Arial"/>
          <w:b/>
          <w:bCs/>
          <w:color w:val="1F4E79"/>
          <w:sz w:val="32"/>
          <w:szCs w:val="32"/>
        </w:rPr>
        <w:t xml:space="preserve">Nombre del asesor: </w:t>
      </w:r>
      <w:r>
        <w:rPr>
          <w:rFonts w:ascii="Arial" w:cs="Arial" w:eastAsia="Arial" w:hAnsi="Arial"/>
          <w:b/>
          <w:bCs/>
          <w:color w:val="1F4E79"/>
          <w:sz w:val="32"/>
          <w:szCs w:val="32"/>
        </w:rPr>
        <w:t xml:space="preserve">Laura Antonia Aldana Ortiz</w:t>
      </w:r>
    </w:p>
    <w:p>
      <w:pPr>
        <w:spacing w:after="0" w:before="120" w:line="276" w:lineRule="auto"/>
        <w:jc w:val="center"/>
      </w:pPr>
      <w:r>
        <w:rPr>
          <w:rFonts w:ascii="Arial" w:cs="Arial" w:eastAsia="Arial" w:hAnsi="Arial"/>
          <w:b/>
          <w:bCs/>
          <w:color w:val="1F4E79"/>
          <w:sz w:val="32"/>
          <w:szCs w:val="32"/>
        </w:rPr>
        <w:t xml:space="preserve">Fecha de elaboración: </w:t>
      </w:r>
      <w:r>
        <w:rPr>
          <w:rFonts w:ascii="Arial" w:cs="Arial" w:eastAsia="Arial" w:hAnsi="Arial"/>
          <w:b/>
          <w:bCs/>
          <w:color w:val="1F4E79"/>
          <w:sz w:val="32"/>
          <w:szCs w:val="32"/>
        </w:rPr>
        <w:t xml:space="preserve">11 de octubre de 2026</w:t>
      </w:r>
    </w:p>
    <w:p>
      <w:pPr>
        <w:spacing w:after="0" w:before="120" w:line="276" w:lineRule="auto"/>
        <w:jc w:val="center"/>
      </w:pPr>
      <w:r>
        <w:rPr>
          <w:rFonts w:ascii="Arial" w:cs="Arial" w:eastAsia="Arial" w:hAnsi="Arial"/>
          <w:b/>
          <w:bCs/>
          <w:color w:val="1F4E79"/>
          <w:sz w:val="32"/>
          <w:szCs w:val="32"/>
        </w:rPr>
        <w:t xml:space="preserve">Declaratoria de originalidad: </w:t>
      </w:r>
      <w:r>
        <w:rPr>
          <w:rFonts w:ascii="Arial" w:cs="Arial" w:eastAsia="Arial" w:hAnsi="Arial"/>
          <w:b/>
          <w:bCs/>
          <w:color w:val="1F4E79"/>
          <w:sz w:val="32"/>
          <w:szCs w:val="32"/>
        </w:rPr>
        <w:t xml:space="preserve">se anexa en la página siguiente</w:t>
      </w:r>
    </w:p>
    <w:p>
      <w:pPr>
        <w:pageBreakBefore/>
        <w:spacing w:line="240" w:lineRule="auto"/>
        <w:jc w:val="center"/>
      </w:pPr>
      <w:r>
        <w:drawing>
          <wp:inline distT="0" distB="0" distL="0" distR="0">
            <wp:extent cx="5619750" cy="6981825"/>
            <wp:effectExtent t="0" r="0" b="0" l="0"/>
            <wp:docPr id="1" name="declaratoria" descr="Declaración del estudiante firmada (declaratoria de originalidad)" title="Declara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6981825"/>
                    </a:xfrm>
                    <a:prstGeom prst="rect">
                      <a:avLst/>
                    </a:prstGeom>
                  </pic:spPr>
                </pic:pic>
              </a:graphicData>
            </a:graphic>
          </wp:inline>
        </w:drawing>
      </w:r>
    </w:p>
    <w:p>
      <w:pPr>
        <w:pStyle w:val="Heading1"/>
        <w:keepNext/>
        <w:pageBreakBefore/>
        <w:spacing w:after="0" w:before="0" w:line="360" w:lineRule="auto"/>
        <w:jc w:val="center"/>
      </w:pPr>
      <w:r>
        <w:rPr>
          <w:rFonts w:ascii="Arial" w:cs="Arial" w:eastAsia="Arial" w:hAnsi="Arial"/>
          <w:b/>
          <w:bCs/>
          <w:color w:val="000000"/>
          <w:sz w:val="24"/>
          <w:szCs w:val="24"/>
        </w:rPr>
        <w:t xml:space="preserve">Plan integral de gestión de riesgos informáticos del CIESS: estabilidad, accesibilidad y disponibilidad de funciones y bases de datos</w:t>
      </w:r>
    </w:p>
    <w:p>
      <w:pPr>
        <w:pStyle w:val="Heading1"/>
        <w:keepNext/>
        <w:spacing w:after="0" w:before="0" w:line="360" w:lineRule="auto"/>
        <w:jc w:val="center"/>
      </w:pPr>
      <w:r>
        <w:rPr>
          <w:rFonts w:ascii="Arial" w:cs="Arial" w:eastAsia="Arial" w:hAnsi="Arial"/>
          <w:b/>
          <w:bCs/>
          <w:color w:val="000000"/>
          <w:sz w:val="24"/>
          <w:szCs w:val="24"/>
        </w:rPr>
        <w:t xml:space="preserve">Introducción</w:t>
      </w:r>
    </w:p>
    <w:p>
      <w:pPr>
        <w:spacing w:after="0" w:before="0" w:line="360" w:lineRule="auto"/>
        <w:ind w:firstLine="720"/>
        <w:jc w:val="both"/>
      </w:pPr>
      <w:r>
        <w:rPr>
          <w:rFonts w:ascii="Arial" w:cs="Arial" w:eastAsia="Arial" w:hAnsi="Arial"/>
          <w:sz w:val="24"/>
          <w:szCs w:val="24"/>
        </w:rPr>
        <w:t xml:space="preserve">Trabajo en el Centro Interamericano de Estudios de Seguridad Social (CIESS) desde 2014 como diseñador de experiencia e interfaz de usuario y desarrollador de herramientas digitales. Administro el sitio web institucional y sus micrositios, desarrollo herramientas para el campus virtual (constancias y actas de calificaciones), mantengo reportes en Google Sheets y desarrollé el sistema de registro del congreso. Todo ello depende de bases de datos con información personal de participantes de varios países y de servicios que deben estar disponibles en fechas críticas, como una inscripción o el inicio de un curso.</w:t>
      </w:r>
    </w:p>
    <w:p>
      <w:pPr>
        <w:spacing w:after="0" w:before="0" w:line="360" w:lineRule="auto"/>
        <w:ind w:firstLine="720"/>
        <w:jc w:val="both"/>
      </w:pPr>
      <w:r>
        <w:rPr>
          <w:rFonts w:ascii="Arial" w:cs="Arial" w:eastAsia="Arial" w:hAnsi="Arial"/>
          <w:sz w:val="24"/>
          <w:szCs w:val="24"/>
        </w:rPr>
        <w:t xml:space="preserve">Este documento es un plan integral de gestión de riesgos informáticos para mantener la estabilidad, la accesibilidad y la disponibilidad de esas funciones y bases de datos. Lo formulo como propuesta para la Dirección, con estudio de viabilidad, presupuesto y cronograma. Uso el marco de Melaku (2023), complementado con Pérez Rodríguez (2025), Mata (2025), Ballestero (2020) y las Lecciones 8 y 9.</w:t>
      </w:r>
    </w:p>
    <w:p>
      <w:pPr>
        <w:spacing w:after="0" w:before="0" w:line="360" w:lineRule="auto"/>
        <w:ind w:firstLine="720"/>
        <w:jc w:val="both"/>
      </w:pPr>
      <w:r>
        <w:rPr>
          <w:rFonts w:ascii="Arial" w:cs="Arial" w:eastAsia="Arial" w:hAnsi="Arial"/>
          <w:b/>
          <w:bCs/>
          <w:sz w:val="24"/>
          <w:szCs w:val="24"/>
        </w:rPr>
        <w:t xml:space="preserve">Decisión que se solicita:</w:t>
      </w:r>
      <w:r>
        <w:rPr>
          <w:rFonts w:ascii="Arial" w:cs="Arial" w:eastAsia="Arial" w:hAnsi="Arial"/>
          <w:sz w:val="24"/>
          <w:szCs w:val="24"/>
        </w:rPr>
        <w:t xml:space="preserve"> aprobar una inversión de 10,098 USD en 12 meses para reducir la pérdida anual esperada de 42,500 a 3,400 USD, designar una segunda persona administradora y validar con finanzas los supuestos económicos. Los dos riesgos de nivel Alto, ambos de identidad, se atienden primero. Los montos son estimaciones propias en dólares estadounidenses (USD).</w:t>
      </w:r>
    </w:p>
    <w:p>
      <w:pPr>
        <w:spacing w:after="240" w:before="60" w:line="240" w:lineRule="auto"/>
      </w:pPr>
      <w:r>
        <w:rPr>
          <w:rFonts w:ascii="Arial" w:cs="Arial" w:eastAsia="Arial" w:hAnsi="Arial"/>
          <w:i/>
          <w:iCs/>
          <w:sz w:val="18"/>
          <w:szCs w:val="18"/>
        </w:rPr>
        <w:t xml:space="preserve">Siglas.</w:t>
      </w:r>
      <w:r>
        <w:rPr>
          <w:rFonts w:ascii="Arial" w:cs="Arial" w:eastAsia="Arial" w:hAnsi="Arial"/>
          <w:sz w:val="18"/>
          <w:szCs w:val="18"/>
        </w:rPr>
        <w:t xml:space="preserve"> MFA: autenticación multifactor. EDR: detección y respuesta en equipos terminales. WAF: cortafuegos de aplicaciones web. CDN: red de distribución de contenido. VLAN: red local virtual. NAS: almacenamiento conectado en red. UPS: suministro ininterrumpido de energía. IoT: internet de las cosas. FIDO2: estándar de autenticación sin contraseña. SPF, DKIM y DMARC: mecanismos de autenticación del correo. BEC: compromiso de correo empresarial. TLS y SSH: protocolos de cifrado de la conexión y del acceso remoto. AES-256 y SHA-256: algoritmos de cifrado y de hash. IRP, BCP y DRP: planes de respuesta a incidentes, de continuidad del negocio y de recuperación ante desastres. SETA: programa de concienciación en seguridad. SOC: centro de operaciones de seguridad.</w:t>
      </w:r>
    </w:p>
    <w:p>
      <w:pPr>
        <w:pStyle w:val="Heading1"/>
        <w:keepNext/>
        <w:spacing w:after="0" w:before="0" w:line="360" w:lineRule="auto"/>
        <w:jc w:val="center"/>
      </w:pPr>
      <w:r>
        <w:rPr>
          <w:rFonts w:ascii="Arial" w:cs="Arial" w:eastAsia="Arial" w:hAnsi="Arial"/>
          <w:b/>
          <w:bCs/>
          <w:color w:val="000000"/>
          <w:sz w:val="24"/>
          <w:szCs w:val="24"/>
        </w:rPr>
        <w:t xml:space="preserve">Desarrollo</w:t>
      </w:r>
    </w:p>
    <w:p>
      <w:pPr>
        <w:pStyle w:val="Heading2"/>
        <w:keepNext/>
        <w:spacing w:after="0" w:before="0" w:line="360" w:lineRule="auto"/>
        <w:jc w:val="left"/>
      </w:pPr>
      <w:r>
        <w:rPr>
          <w:rFonts w:ascii="Arial" w:cs="Arial" w:eastAsia="Arial" w:hAnsi="Arial"/>
          <w:b/>
          <w:bCs/>
          <w:color w:val="000000"/>
          <w:sz w:val="24"/>
          <w:szCs w:val="24"/>
        </w:rPr>
        <w:t xml:space="preserve">1. Lectura del artículo base: el marco de Melaku (2023)</w:t>
      </w:r>
    </w:p>
    <w:p>
      <w:pPr>
        <w:spacing w:after="0" w:before="0" w:line="360" w:lineRule="auto"/>
        <w:ind w:firstLine="720"/>
        <w:jc w:val="both"/>
      </w:pPr>
      <w:r>
        <w:rPr>
          <w:rFonts w:ascii="Arial" w:cs="Arial" w:eastAsia="Arial" w:hAnsi="Arial"/>
          <w:sz w:val="24"/>
          <w:szCs w:val="24"/>
        </w:rPr>
        <w:t xml:space="preserve">Melaku (2023) revisa marcos empresariales (ISO 31000 y COSO ERM), de tecnologías de la información (Risk IT, ITIL y COBIT 5) y de ciberseguridad (el marco del National Institute of Standards and Technology [NIST], ISO/IEC 27005 y OCTAVE), y concluye que la mayoría son complejos y se centran en la evaluación. Propone un marco contextual y adaptable con cuatro componentes (evaluación del riesgo, mitigación, programa de gestión y evaluación del proceso) que exige entender primero el contexto y definir el apetito de riesgo, formar un equipo responsable, capacitar al personal y mantener planes de incidentes y de continuidad. La evaluación sigue diez pasos, el tratamiento puede asumir, evitar, limitar, planificar o transferir el riesgo, y el desempeño se mide con madurez, conformidad y valor agregado.</w:t>
      </w:r>
    </w:p>
    <w:p>
      <w:pPr>
        <w:spacing w:after="0" w:before="0" w:line="360" w:lineRule="auto"/>
        <w:ind w:firstLine="720"/>
        <w:jc w:val="both"/>
      </w:pPr>
      <w:r>
        <w:rPr>
          <w:rFonts w:ascii="Arial" w:cs="Arial" w:eastAsia="Arial" w:hAnsi="Arial"/>
          <w:sz w:val="24"/>
          <w:szCs w:val="24"/>
        </w:rPr>
        <w:t xml:space="preserve">Elijo este marco porque es simple, gratuito y admite integrar el NIST en el nivel operativo (Melaku, 2023), lo que se ajusta al tamaño del CIESS. Las funciones del NIST (identificar, proteger, detectar, responder y recuperar) se corresponden con las tres fases del ciclo operativo de Ballestero (2020), que son protección, detección y control, y recuperación, y con las fases del ciclo de vida de Pérez Rodríguez (2025). La versión 2.0 añade la función Gobernar (NIST, 2024), que aquí corresponde al comité de riesgos.</w:t>
      </w:r>
    </w:p>
    <w:p>
      <w:pPr>
        <w:pStyle w:val="Heading2"/>
        <w:keepNext/>
        <w:spacing w:after="0" w:before="0" w:line="360" w:lineRule="auto"/>
        <w:jc w:val="left"/>
      </w:pPr>
      <w:r>
        <w:rPr>
          <w:rFonts w:ascii="Arial" w:cs="Arial" w:eastAsia="Arial" w:hAnsi="Arial"/>
          <w:b/>
          <w:bCs/>
          <w:color w:val="000000"/>
          <w:sz w:val="24"/>
          <w:szCs w:val="24"/>
        </w:rPr>
        <w:t xml:space="preserve">2. Contexto, activos y apetito de riesgo</w:t>
      </w:r>
    </w:p>
    <w:p>
      <w:pPr>
        <w:spacing w:after="0" w:before="0" w:line="360" w:lineRule="auto"/>
        <w:ind w:firstLine="720"/>
        <w:jc w:val="both"/>
      </w:pPr>
      <w:r>
        <w:rPr>
          <w:rFonts w:ascii="Arial" w:cs="Arial" w:eastAsia="Arial" w:hAnsi="Arial"/>
          <w:sz w:val="24"/>
          <w:szCs w:val="24"/>
        </w:rPr>
        <w:t xml:space="preserve">El CIESS es el órgano de docencia, capacitación e investigación de la Conferencia Interamericana de Seguridad Social (CISS). Atiende a participantes y docentes de varios países y concentra su demanda en inscripciones, inicio de cursos y congresos. Sus partes interesadas son las personas participantes y docentes, las instituciones miembro, la Dirección y la CISS, los proveedores tecnológicos y los órganos de supervisión de datos personales. Según Mata (2025), el sector educativo europeo recibe en promedio 131 ataques semanales por organización, con dispositivos conectados como vía de entrada. Como el área técnica del CIESS es pequeña y depende de proveedores en la nube, su situación se parece a la de una pyme, para la que Pérez Rodríguez (2025) recomienda priorizar las medidas críticas y valorar servicios externos.</w:t>
      </w:r>
    </w:p>
    <w:p>
      <w:pPr>
        <w:spacing w:after="0" w:before="0" w:line="360" w:lineRule="auto"/>
        <w:ind w:firstLine="720"/>
        <w:jc w:val="both"/>
      </w:pPr>
      <w:r>
        <w:rPr>
          <w:rFonts w:ascii="Arial" w:cs="Arial" w:eastAsia="Arial" w:hAnsi="Arial"/>
          <w:sz w:val="24"/>
          <w:szCs w:val="24"/>
        </w:rPr>
        <w:t xml:space="preserve">La Tabla 1 resume los activos críticos, su valoración en confidencialidad (C), integridad (I) y disponibilidad (D) (Mata, 2025; Pérez Rodríguez, 2025) y los objetivos de recuperación que propongo. Como apetito de riesgo propongo tres reglas: (1) ningún riesgo de nivel Alto sin tratamiento aprobado; (2) aceptación del riesgo Bajo con monitoreo; y (3) una interrupción máxima tolerable de cuatro horas en A1 a A4 durante inscripciones y clases. La Dirección debe confirmarlas, pues le corresponde definir cuánto riesgo asume (Melaku, 2023).</w:t>
      </w:r>
    </w:p>
    <w:p>
      <w:pPr>
        <w:keepNext/>
        <w:spacing w:after="0" w:before="0" w:line="360" w:lineRule="auto"/>
      </w:pPr>
      <w:r>
        <w:rPr>
          <w:rFonts w:ascii="Arial" w:cs="Arial" w:eastAsia="Arial" w:hAnsi="Arial"/>
          <w:b/>
          <w:bCs/>
          <w:sz w:val="24"/>
          <w:szCs w:val="24"/>
        </w:rPr>
        <w:t xml:space="preserve">Tabla 1</w:t>
      </w:r>
    </w:p>
    <w:p>
      <w:pPr>
        <w:keepNext/>
        <w:spacing w:after="0" w:before="0" w:line="360" w:lineRule="auto"/>
      </w:pPr>
      <w:r>
        <w:rPr>
          <w:rFonts w:ascii="Arial" w:cs="Arial" w:eastAsia="Arial" w:hAnsi="Arial"/>
          <w:i/>
          <w:iCs/>
          <w:sz w:val="24"/>
          <w:szCs w:val="24"/>
        </w:rPr>
        <w:t xml:space="preserve">Activos críticos, valoración y objetivos de recuperación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560"/>
        <w:gridCol w:w="3678"/>
        <w:gridCol w:w="520"/>
        <w:gridCol w:w="520"/>
        <w:gridCol w:w="520"/>
        <w:gridCol w:w="1520"/>
        <w:gridCol w:w="1520"/>
      </w:tblGrid>
      <w:tr>
        <w:trPr>
          <w:cantSplit/>
          <w:tblHeader/>
        </w:trPr>
        <w:tc>
          <w:tcPr>
            <w:tcW w:type="dxa" w:w="5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Cód.</w:t>
            </w:r>
          </w:p>
        </w:tc>
        <w:tc>
          <w:tcPr>
            <w:tcW w:type="dxa" w:w="367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Activo</w:t>
            </w:r>
          </w:p>
        </w:tc>
        <w:tc>
          <w:tcPr>
            <w:tcW w:type="dxa" w:w="5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w:t>
            </w:r>
          </w:p>
        </w:tc>
        <w:tc>
          <w:tcPr>
            <w:tcW w:type="dxa" w:w="5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w:t>
            </w:r>
          </w:p>
        </w:tc>
        <w:tc>
          <w:tcPr>
            <w:tcW w:type="dxa" w:w="5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D</w:t>
            </w:r>
          </w:p>
        </w:tc>
        <w:tc>
          <w:tcPr>
            <w:tcW w:type="dxa" w:w="15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RTO</w:t>
            </w:r>
          </w:p>
        </w:tc>
        <w:tc>
          <w:tcPr>
            <w:tcW w:type="dxa" w:w="15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RPO</w:t>
            </w:r>
          </w:p>
        </w:tc>
      </w:tr>
      <w:tr>
        <w:trPr>
          <w:cantSplit/>
        </w:trPr>
        <w:tc>
          <w:tcPr>
            <w:tcW w:type="dxa" w:w="5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w:t>
            </w:r>
          </w:p>
        </w:tc>
        <w:tc>
          <w:tcPr>
            <w:tcW w:type="dxa" w:w="36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Campus virtual (Moodle) y base de datos académica: calificaciones y constancias</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4 h</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24 h</w:t>
            </w:r>
          </w:p>
        </w:tc>
      </w:tr>
      <w:tr>
        <w:trPr>
          <w:cantSplit/>
        </w:trPr>
        <w:tc>
          <w:tcPr>
            <w:tcW w:type="dxa" w:w="5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A2</w:t>
            </w:r>
          </w:p>
        </w:tc>
        <w:tc>
          <w:tcPr>
            <w:tcW w:type="dxa" w:w="36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Sitio web institucional y micrositios (WordPress)</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4 h</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24 h</w:t>
            </w:r>
          </w:p>
        </w:tc>
      </w:tr>
      <w:tr>
        <w:trPr>
          <w:cantSplit/>
        </w:trPr>
        <w:tc>
          <w:tcPr>
            <w:tcW w:type="dxa" w:w="5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A3</w:t>
            </w:r>
          </w:p>
        </w:tc>
        <w:tc>
          <w:tcPr>
            <w:tcW w:type="dxa" w:w="36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Sistema de registro del congreso: aplicación web y PostgreSQL gestionado</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4 h</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 h</w:t>
            </w:r>
          </w:p>
        </w:tc>
      </w:tr>
      <w:tr>
        <w:trPr>
          <w:cantSplit/>
        </w:trPr>
        <w:tc>
          <w:tcPr>
            <w:tcW w:type="dxa" w:w="5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A4</w:t>
            </w:r>
          </w:p>
        </w:tc>
        <w:tc>
          <w:tcPr>
            <w:tcW w:type="dxa" w:w="36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Correo, Drive y hojas de cálculo (Google Workspace)</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4 h</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24 h</w:t>
            </w:r>
          </w:p>
        </w:tc>
      </w:tr>
      <w:tr>
        <w:trPr>
          <w:cantSplit/>
        </w:trPr>
        <w:tc>
          <w:tcPr>
            <w:tcW w:type="dxa" w:w="5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A5</w:t>
            </w:r>
          </w:p>
        </w:tc>
        <w:tc>
          <w:tcPr>
            <w:tcW w:type="dxa" w:w="36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Pagos y facturación (Stripe) y comprobantes</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24 h</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24 h</w:t>
            </w:r>
          </w:p>
        </w:tc>
      </w:tr>
      <w:tr>
        <w:trPr>
          <w:cantSplit/>
        </w:trPr>
        <w:tc>
          <w:tcPr>
            <w:tcW w:type="dxa" w:w="5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A6</w:t>
            </w:r>
          </w:p>
        </w:tc>
        <w:tc>
          <w:tcPr>
            <w:tcW w:type="dxa" w:w="36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Sesiones en línea y repositorios: Zoom, Meet, biblioteca digital y grabaciones</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8 h</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24 h</w:t>
            </w:r>
          </w:p>
        </w:tc>
      </w:tr>
      <w:tr>
        <w:trPr>
          <w:cantSplit/>
        </w:trPr>
        <w:tc>
          <w:tcPr>
            <w:tcW w:type="dxa" w:w="5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A7</w:t>
            </w:r>
          </w:p>
        </w:tc>
        <w:tc>
          <w:tcPr>
            <w:tcW w:type="dxa" w:w="36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Estaciones de trabajo, dispositivos de red e IoT</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24 h</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No aplica</w:t>
            </w:r>
          </w:p>
        </w:tc>
      </w:tr>
      <w:tr>
        <w:trPr>
          <w:cantSplit/>
        </w:trPr>
        <w:tc>
          <w:tcPr>
            <w:tcW w:type="dxa" w:w="5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A8</w:t>
            </w:r>
          </w:p>
        </w:tc>
        <w:tc>
          <w:tcPr>
            <w:tcW w:type="dxa" w:w="36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Cuentas administrativas, claves API y secretos de despliegue</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w:t>
            </w:r>
          </w:p>
        </w:tc>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2 h (revocar)</w:t>
            </w:r>
          </w:p>
        </w:tc>
        <w:tc>
          <w:tcPr>
            <w:tcW w:type="dxa" w:w="1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No aplica</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A = alta, M = media, B = baja. RTO: tiempo objetivo de recuperación. RPO: pérdida máxima de datos tolerada. Para A8 el objetivo es revocar y rotar la credencial comprometida. Elaboración propia con base en Melaku (2023), Mata (2025) y Pérez Rodríguez (2025).</w:t>
      </w:r>
    </w:p>
    <w:p>
      <w:pPr>
        <w:pStyle w:val="Heading2"/>
        <w:keepNext/>
        <w:spacing w:after="0" w:before="0" w:line="360" w:lineRule="auto"/>
        <w:jc w:val="left"/>
      </w:pPr>
      <w:r>
        <w:rPr>
          <w:rFonts w:ascii="Arial" w:cs="Arial" w:eastAsia="Arial" w:hAnsi="Arial"/>
          <w:b/>
          <w:bCs/>
          <w:color w:val="000000"/>
          <w:sz w:val="24"/>
          <w:szCs w:val="24"/>
        </w:rPr>
        <w:t xml:space="preserve">3. Evaluación y tratamiento de riesgos</w:t>
      </w:r>
    </w:p>
    <w:p>
      <w:pPr>
        <w:spacing w:after="0" w:before="0" w:line="360" w:lineRule="auto"/>
        <w:ind w:firstLine="720"/>
        <w:jc w:val="both"/>
      </w:pPr>
      <w:r>
        <w:rPr>
          <w:rFonts w:ascii="Arial" w:cs="Arial" w:eastAsia="Arial" w:hAnsi="Arial"/>
          <w:sz w:val="24"/>
          <w:szCs w:val="24"/>
        </w:rPr>
        <w:t xml:space="preserve">Apliqué los pasos de evaluación de Melaku (2023). Caractericé los sistemas (Tabla 1), identifiqué amenazas con la taxonomía de </w:t>
      </w:r>
      <w:r>
        <w:rPr>
          <w:rFonts w:ascii="Arial" w:cs="Arial" w:eastAsia="Arial" w:hAnsi="Arial"/>
          <w:i/>
          <w:iCs/>
          <w:sz w:val="24"/>
          <w:szCs w:val="24"/>
        </w:rPr>
        <w:t xml:space="preserve">malware</w:t>
      </w:r>
      <w:r>
        <w:rPr>
          <w:rFonts w:ascii="Arial" w:cs="Arial" w:eastAsia="Arial" w:hAnsi="Arial"/>
          <w:sz w:val="24"/>
          <w:szCs w:val="24"/>
        </w:rPr>
        <w:t xml:space="preserve"> de la Lección 8 (Torres Calvillo, s.f.-c) y con los actores de Ballestero (2020) y Mata (2025), y analicé vulnerabilidades y controles. La probabilidad (P) considera la motivación y capacidad del atacante, la vulnerabilidad y los controles vigentes. El impacto (Imp.) se expresa con la tríada CIA (confidencialidad, integridad y disponibilidad) y se califica en el peor caso razonable de los activos afectados, sin equivaler al SLE de la Tabla 3. Combino ambos con la matriz de Melaku (2023) y un ajuste propio: ningún riesgo de impacto alto se clasifica como bajo, para no subestimar escenarios raros pero devastadores. Probabilidad Alta equivale a una frecuencia anual de 0.5 o más, Media de 0.2 a menos de 0.5 y Baja a menos de 0.2. La Tabla 2 registra los diez riesgos con su probabilidad, impacto, nivel y tratamiento principal.</w:t>
      </w:r>
    </w:p>
    <w:p>
      <w:pPr>
        <w:keepNext/>
        <w:spacing w:after="0" w:before="0" w:line="360" w:lineRule="auto"/>
      </w:pPr>
      <w:r>
        <w:rPr>
          <w:rFonts w:ascii="Arial" w:cs="Arial" w:eastAsia="Arial" w:hAnsi="Arial"/>
          <w:b/>
          <w:bCs/>
          <w:sz w:val="24"/>
          <w:szCs w:val="24"/>
        </w:rPr>
        <w:t xml:space="preserve">Tabla 2</w:t>
      </w:r>
    </w:p>
    <w:p>
      <w:pPr>
        <w:keepNext/>
        <w:spacing w:after="0" w:before="0" w:line="360" w:lineRule="auto"/>
      </w:pPr>
      <w:r>
        <w:rPr>
          <w:rFonts w:ascii="Arial" w:cs="Arial" w:eastAsia="Arial" w:hAnsi="Arial"/>
          <w:i/>
          <w:iCs/>
          <w:sz w:val="24"/>
          <w:szCs w:val="24"/>
        </w:rPr>
        <w:t xml:space="preserve">Registro de riesgos informáticos del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900"/>
        <w:gridCol w:w="460"/>
        <w:gridCol w:w="580"/>
        <w:gridCol w:w="800"/>
        <w:gridCol w:w="2578"/>
      </w:tblGrid>
      <w:tr>
        <w:trPr>
          <w:cantSplit/>
          <w:tblHeader/>
        </w:trPr>
        <w:tc>
          <w:tcPr>
            <w:tcW w:type="dxa" w:w="5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ID</w:t>
            </w:r>
          </w:p>
        </w:tc>
        <w:tc>
          <w:tcPr>
            <w:tcW w:type="dxa" w:w="30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 (amenaza y vulnerabilidad)</w:t>
            </w:r>
          </w:p>
        </w:tc>
        <w:tc>
          <w:tcPr>
            <w:tcW w:type="dxa" w:w="9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Activos</w:t>
            </w:r>
          </w:p>
        </w:tc>
        <w:tc>
          <w:tcPr>
            <w:tcW w:type="dxa" w:w="4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w:t>
            </w:r>
          </w:p>
        </w:tc>
        <w:tc>
          <w:tcPr>
            <w:tcW w:type="dxa" w:w="58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Imp.</w:t>
            </w:r>
          </w:p>
        </w:tc>
        <w:tc>
          <w:tcPr>
            <w:tcW w:type="dxa" w:w="8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Nivel</w:t>
            </w:r>
          </w:p>
        </w:tc>
        <w:tc>
          <w:tcPr>
            <w:tcW w:type="dxa" w:w="257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Tratamiento principal</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R1</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i/>
                <w:iCs/>
                <w:sz w:val="18"/>
                <w:szCs w:val="18"/>
              </w:rPr>
              <w:t xml:space="preserve">Ransomware</w:t>
            </w:r>
            <w:r>
              <w:rPr>
                <w:rFonts w:ascii="Arial" w:cs="Arial" w:eastAsia="Arial" w:hAnsi="Arial"/>
                <w:sz w:val="18"/>
                <w:szCs w:val="18"/>
              </w:rPr>
              <w:t xml:space="preserve"> y otro </w:t>
            </w:r>
            <w:r>
              <w:rPr>
                <w:rFonts w:ascii="Arial" w:cs="Arial" w:eastAsia="Arial" w:hAnsi="Arial"/>
                <w:i/>
                <w:iCs/>
                <w:sz w:val="18"/>
                <w:szCs w:val="18"/>
              </w:rPr>
              <w:t xml:space="preserve">malware</w:t>
            </w:r>
            <w:r>
              <w:rPr>
                <w:rFonts w:ascii="Arial" w:cs="Arial" w:eastAsia="Arial" w:hAnsi="Arial"/>
                <w:sz w:val="18"/>
                <w:szCs w:val="18"/>
              </w:rPr>
              <w:t xml:space="preserve"> (troyano, </w:t>
            </w:r>
            <w:r>
              <w:rPr>
                <w:rFonts w:ascii="Arial" w:cs="Arial" w:eastAsia="Arial" w:hAnsi="Arial"/>
                <w:i/>
                <w:iCs/>
                <w:sz w:val="18"/>
                <w:szCs w:val="18"/>
              </w:rPr>
              <w:t xml:space="preserve">keylogger</w:t>
            </w:r>
            <w:r>
              <w:rPr>
                <w:rFonts w:ascii="Arial" w:cs="Arial" w:eastAsia="Arial" w:hAnsi="Arial"/>
                <w:sz w:val="18"/>
                <w:szCs w:val="18"/>
              </w:rPr>
              <w:t xml:space="preserve">, </w:t>
            </w:r>
            <w:r>
              <w:rPr>
                <w:rFonts w:ascii="Arial" w:cs="Arial" w:eastAsia="Arial" w:hAnsi="Arial"/>
                <w:i/>
                <w:iCs/>
                <w:sz w:val="18"/>
                <w:szCs w:val="18"/>
              </w:rPr>
              <w:t xml:space="preserve">rootkit</w:t>
            </w:r>
            <w:r>
              <w:rPr>
                <w:rFonts w:ascii="Arial" w:cs="Arial" w:eastAsia="Arial" w:hAnsi="Arial"/>
                <w:sz w:val="18"/>
                <w:szCs w:val="18"/>
              </w:rPr>
              <w:t xml:space="preserve">) por software sin parchar, adjuntos maliciosos y respaldos sin verificar</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 A2, A4, A7</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Limitar: EDR, parcheo y segmentación. Planificar: respaldo 3-2-1 y DRP</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R2</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i/>
                <w:iCs/>
                <w:sz w:val="18"/>
                <w:szCs w:val="18"/>
              </w:rPr>
              <w:t xml:space="preserve">Phishing</w:t>
            </w:r>
            <w:r>
              <w:rPr>
                <w:rFonts w:ascii="Arial" w:cs="Arial" w:eastAsia="Arial" w:hAnsi="Arial"/>
                <w:sz w:val="18"/>
                <w:szCs w:val="18"/>
              </w:rPr>
              <w:t xml:space="preserve">, </w:t>
            </w:r>
            <w:r>
              <w:rPr>
                <w:rFonts w:ascii="Arial" w:cs="Arial" w:eastAsia="Arial" w:hAnsi="Arial"/>
                <w:i/>
                <w:iCs/>
                <w:sz w:val="18"/>
                <w:szCs w:val="18"/>
              </w:rPr>
              <w:t xml:space="preserve">spear phishing</w:t>
            </w:r>
            <w:r>
              <w:rPr>
                <w:rFonts w:ascii="Arial" w:cs="Arial" w:eastAsia="Arial" w:hAnsi="Arial"/>
                <w:sz w:val="18"/>
                <w:szCs w:val="18"/>
              </w:rPr>
              <w:t xml:space="preserve"> y fraude del director (BEC), incluidos mensajes personalizados con IA y </w:t>
            </w:r>
            <w:r>
              <w:rPr>
                <w:rFonts w:ascii="Arial" w:cs="Arial" w:eastAsia="Arial" w:hAnsi="Arial"/>
                <w:i/>
                <w:iCs/>
                <w:sz w:val="18"/>
                <w:szCs w:val="18"/>
              </w:rPr>
              <w:t xml:space="preserve">vishing</w:t>
            </w:r>
            <w:r>
              <w:rPr>
                <w:rFonts w:ascii="Arial" w:cs="Arial" w:eastAsia="Arial" w:hAnsi="Arial"/>
                <w:sz w:val="18"/>
                <w:szCs w:val="18"/>
              </w:rPr>
              <w:t xml:space="preserve">, contra personal con acceso a pagos y datos</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A4, A5, A8</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Limitar: MFA, SPF/DKIM/DMARC y verificación de pagos por un segundo canal</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R3</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Compromiso de cuentas privilegiadas por contraseñas débiles o reutilizadas, credenciales robadas y falta de MFA</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 a A5, A8</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Limitar: MFA con llaves FIDO2, gestor de contraseñas y mínimo privilegio</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R4</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Explotación de vulnerabilidades en WordPress, sus </w:t>
            </w:r>
            <w:r>
              <w:rPr>
                <w:rFonts w:ascii="Arial" w:cs="Arial" w:eastAsia="Arial" w:hAnsi="Arial"/>
                <w:i/>
                <w:iCs/>
                <w:sz w:val="18"/>
                <w:szCs w:val="18"/>
              </w:rPr>
              <w:t xml:space="preserve">plugins</w:t>
            </w:r>
            <w:r>
              <w:rPr>
                <w:rFonts w:ascii="Arial" w:cs="Arial" w:eastAsia="Arial" w:hAnsi="Arial"/>
                <w:sz w:val="18"/>
                <w:szCs w:val="18"/>
              </w:rPr>
              <w:t xml:space="preserve"> y Moodle (alteración del sitio, puertas traseras, </w:t>
            </w:r>
            <w:r>
              <w:rPr>
                <w:rFonts w:ascii="Arial" w:cs="Arial" w:eastAsia="Arial" w:hAnsi="Arial"/>
                <w:i/>
                <w:iCs/>
                <w:sz w:val="18"/>
                <w:szCs w:val="18"/>
              </w:rPr>
              <w:t xml:space="preserve">spam</w:t>
            </w:r>
            <w:r>
              <w:rPr>
                <w:rFonts w:ascii="Arial" w:cs="Arial" w:eastAsia="Arial" w:hAnsi="Arial"/>
                <w:sz w:val="18"/>
                <w:szCs w:val="18"/>
              </w:rPr>
              <w:t xml:space="preserve">)</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 A2</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Limitar: actualización semanal, WAF y endurecimiento</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R5</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Pérdida o corrupción de datos por error humano, falla del proveedor o respaldo que no se puede restaurar</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 A3, A4</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Planificar: RPO y RTO, copias verificadas y pruebas de restauración</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R6</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Indisponibilidad por ataque de denegación de servicio (DDoS) o saturación en inscripciones e inicio de cursos</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A2, A3</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Limitar: CDN/WAF, límite de solicitudes y nodo en espera</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R7</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Fuga de datos personales y sensibles por formularios, hojas compartidas, mensajería o grabaciones</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 A3, A4, A6</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Evitar la recolección innecesaria. Limitar: cifrado y accesos. Planificar: notificación</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R8</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Dispositivos IoT y de red con credenciales de fábrica, </w:t>
            </w:r>
            <w:r>
              <w:rPr>
                <w:rFonts w:ascii="Arial" w:cs="Arial" w:eastAsia="Arial" w:hAnsi="Arial"/>
                <w:i/>
                <w:iCs/>
                <w:sz w:val="18"/>
                <w:szCs w:val="18"/>
              </w:rPr>
              <w:t xml:space="preserve">firmware</w:t>
            </w:r>
            <w:r>
              <w:rPr>
                <w:rFonts w:ascii="Arial" w:cs="Arial" w:eastAsia="Arial" w:hAnsi="Arial"/>
                <w:sz w:val="18"/>
                <w:szCs w:val="18"/>
              </w:rPr>
              <w:t xml:space="preserve"> desactualizado y sin segmentación</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A7</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Limitar: VLAN, cambio de credenciales y actualizaciones</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R9</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Error o abuso de personas con acceso (</w:t>
            </w:r>
            <w:r>
              <w:rPr>
                <w:rFonts w:ascii="Arial" w:cs="Arial" w:eastAsia="Arial" w:hAnsi="Arial"/>
                <w:i/>
                <w:iCs/>
                <w:sz w:val="18"/>
                <w:szCs w:val="18"/>
              </w:rPr>
              <w:t xml:space="preserve">insiders</w:t>
            </w:r>
            <w:r>
              <w:rPr>
                <w:rFonts w:ascii="Arial" w:cs="Arial" w:eastAsia="Arial" w:hAnsi="Arial"/>
                <w:sz w:val="18"/>
                <w:szCs w:val="18"/>
              </w:rPr>
              <w:t xml:space="preserve">) y dependencia de un solo administrador</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A1 a A5, A8</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Limitar: roles y bitácoras. Planificar: segunda persona administradora y manuales de recuperación</w:t>
            </w:r>
          </w:p>
        </w:tc>
      </w:tr>
      <w:tr>
        <w:trPr>
          <w:cantSplit/>
        </w:trPr>
        <w:tc>
          <w:tcPr>
            <w:tcW w:type="dxa" w:w="5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R10</w:t>
            </w:r>
          </w:p>
        </w:tc>
        <w:tc>
          <w:tcPr>
            <w:tcW w:type="dxa" w:w="3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Falla o incidente en un proveedor (nube, correo, pagos, videoconferencia, </w:t>
            </w:r>
            <w:r>
              <w:rPr>
                <w:rFonts w:ascii="Arial" w:cs="Arial" w:eastAsia="Arial" w:hAnsi="Arial"/>
                <w:i/>
                <w:iCs/>
                <w:sz w:val="18"/>
                <w:szCs w:val="18"/>
              </w:rPr>
              <w:t xml:space="preserve">plugins</w:t>
            </w:r>
            <w:r>
              <w:rPr>
                <w:rFonts w:ascii="Arial" w:cs="Arial" w:eastAsia="Arial" w:hAnsi="Arial"/>
                <w:sz w:val="18"/>
                <w:szCs w:val="18"/>
              </w:rPr>
              <w:t xml:space="preserve">)</w:t>
            </w:r>
          </w:p>
        </w:tc>
        <w:tc>
          <w:tcPr>
            <w:tcW w:type="dxa" w:w="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A1 a A6</w:t>
            </w:r>
          </w:p>
        </w:tc>
        <w:tc>
          <w:tcPr>
            <w:tcW w:type="dxa" w:w="4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w:t>
            </w:r>
          </w:p>
        </w:tc>
        <w:tc>
          <w:tcPr>
            <w:tcW w:type="dxa" w:w="8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w:t>
            </w:r>
          </w:p>
        </w:tc>
        <w:tc>
          <w:tcPr>
            <w:tcW w:type="dxa" w:w="25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Transferir y planificar: contratos y niveles de servicio, salida documentada y alternativa de servicio</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P = probabilidad, Imp. = impacto (A = alto, M = medio, B = bajo). * Elevado de Bajo a Medio por el ajuste propio descrito en el texto. Elaboración propia con base en Melaku (2023), Torres Calvillo (s.f.-a, s.f.-c), Ballestero (2020) y Mata (2025).</w:t>
      </w:r>
    </w:p>
    <w:p>
      <w:pPr>
        <w:spacing w:after="0" w:before="0" w:line="360" w:lineRule="auto"/>
        <w:ind w:firstLine="720"/>
        <w:jc w:val="both"/>
      </w:pPr>
      <w:r>
        <w:rPr>
          <w:rFonts w:ascii="Arial" w:cs="Arial" w:eastAsia="Arial" w:hAnsi="Arial"/>
          <w:sz w:val="24"/>
          <w:szCs w:val="24"/>
        </w:rPr>
        <w:t xml:space="preserve">R2 y R3 son los únicos riesgos Altos y ambos giran en torno a la identidad: Mata (2025) señala que la autenticación multifactor bloquea la gran mayoría de los intentos de </w:t>
      </w:r>
      <w:r>
        <w:rPr>
          <w:rFonts w:ascii="Arial" w:cs="Arial" w:eastAsia="Arial" w:hAnsi="Arial"/>
          <w:i/>
          <w:iCs/>
          <w:sz w:val="24"/>
          <w:szCs w:val="24"/>
        </w:rPr>
        <w:t xml:space="preserve">phishing</w:t>
      </w:r>
      <w:r>
        <w:rPr>
          <w:rFonts w:ascii="Arial" w:cs="Arial" w:eastAsia="Arial" w:hAnsi="Arial"/>
          <w:sz w:val="24"/>
          <w:szCs w:val="24"/>
        </w:rPr>
        <w:t xml:space="preserve">, y la Lección 8 recuerda que las contraseñas débiles tiran abajo toda la estructura de seguridad y que reutilizarlas es un punto vulnerable (Arroyo et al., 2020, citado por Torres Calvillo, s.f.-b). La matriz prioriza la identidad porque habilita a R1, R4 y R5, y el ALE ordena la inversión. Por eso R3 y la parte técnica de R2 van primero en el cronograma. Tras el plan, los cuatro escenarios de la Tabla 3 quedan con probabilidad Baja, salvo R4, que queda en Media, y el riesgo residual de nivel Bajo lo asume la Dirección con monitoreo (Melaku, 2023).</w:t>
      </w:r>
    </w:p>
    <w:p>
      <w:pPr>
        <w:spacing w:after="0" w:before="0" w:line="360" w:lineRule="auto"/>
        <w:ind w:firstLine="720"/>
        <w:jc w:val="both"/>
      </w:pPr>
      <w:r>
        <w:rPr>
          <w:rFonts w:ascii="Arial" w:cs="Arial" w:eastAsia="Arial" w:hAnsi="Arial"/>
          <w:sz w:val="24"/>
          <w:szCs w:val="24"/>
        </w:rPr>
        <w:t xml:space="preserve">Para priorizar la inversión calculé la pérdida anual esperada con las fórmulas del artículo: SLE = AV × EF y ALE = SLE × ARO, donde AV es el valor del activo, EF el factor de exposición, SLE la pérdida por evento y ARO la frecuencia anual (Melaku, 2023). Los valores de AV, EF y ARO son supuestos míos y deben calibrarse con finanzas: el AV suma reconstrucción, atención del incidente, ingresos perdidos y deterioro reputacional; el EF con plan baja por la restauración verificada (RTO y RPO) y el ARO con plan, por MFA, EDR y parcheo. Con el plan, la pérdida anual esperada de los cuatro escenarios de la Tabla 3 baja de 42,500 a 3,400 USD. Aun si el EF y el ARO con plan fueran el doble, la pérdida con plan sería de 13,600 USD y el ahorro de 28,900 USD seguiría superando la inversión.</w:t>
      </w:r>
    </w:p>
    <w:p>
      <w:pPr>
        <w:keepNext/>
        <w:spacing w:after="0" w:before="0" w:line="360" w:lineRule="auto"/>
      </w:pPr>
      <w:r>
        <w:rPr>
          <w:rFonts w:ascii="Arial" w:cs="Arial" w:eastAsia="Arial" w:hAnsi="Arial"/>
          <w:b/>
          <w:bCs/>
          <w:sz w:val="24"/>
          <w:szCs w:val="24"/>
        </w:rPr>
        <w:t xml:space="preserve">Tabla 3</w:t>
      </w:r>
    </w:p>
    <w:p>
      <w:pPr>
        <w:keepNext/>
        <w:spacing w:after="0" w:before="0" w:line="360" w:lineRule="auto"/>
      </w:pPr>
      <w:r>
        <w:rPr>
          <w:rFonts w:ascii="Arial" w:cs="Arial" w:eastAsia="Arial" w:hAnsi="Arial"/>
          <w:i/>
          <w:iCs/>
          <w:sz w:val="24"/>
          <w:szCs w:val="24"/>
        </w:rPr>
        <w:t xml:space="preserve">Valoración cuantitativa de cuatro escenarios, sin plan y con plan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518"/>
        <w:gridCol w:w="960"/>
        <w:gridCol w:w="580"/>
        <w:gridCol w:w="920"/>
        <w:gridCol w:w="620"/>
        <w:gridCol w:w="920"/>
        <w:gridCol w:w="700"/>
        <w:gridCol w:w="700"/>
        <w:gridCol w:w="920"/>
      </w:tblGrid>
      <w:tr>
        <w:trPr>
          <w:cantSplit/>
          <w:tblHeader/>
        </w:trPr>
        <w:tc>
          <w:tcPr>
            <w:tcW w:type="dxa" w:w="251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Escenario (riesgo)</w:t>
            </w:r>
          </w:p>
        </w:tc>
        <w:tc>
          <w:tcPr>
            <w:tcW w:type="dxa" w:w="9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AV (USD)</w:t>
            </w:r>
          </w:p>
        </w:tc>
        <w:tc>
          <w:tcPr>
            <w:tcW w:type="dxa" w:w="58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EF</w:t>
            </w:r>
          </w:p>
        </w:tc>
        <w:tc>
          <w:tcPr>
            <w:tcW w:type="dxa" w:w="9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SLE (USD)</w:t>
            </w:r>
          </w:p>
        </w:tc>
        <w:tc>
          <w:tcPr>
            <w:tcW w:type="dxa" w:w="6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ARO</w:t>
            </w:r>
          </w:p>
        </w:tc>
        <w:tc>
          <w:tcPr>
            <w:tcW w:type="dxa" w:w="9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ALE (USD)</w:t>
            </w:r>
          </w:p>
        </w:tc>
        <w:tc>
          <w:tcPr>
            <w:tcW w:type="dxa" w:w="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EF (plan)</w:t>
            </w:r>
          </w:p>
        </w:tc>
        <w:tc>
          <w:tcPr>
            <w:tcW w:type="dxa" w:w="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ARO (plan)</w:t>
            </w:r>
          </w:p>
        </w:tc>
        <w:tc>
          <w:tcPr>
            <w:tcW w:type="dxa" w:w="9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ALE (plan)</w:t>
            </w:r>
          </w:p>
        </w:tc>
      </w:tr>
      <w:tr>
        <w:trPr>
          <w:cantSplit/>
        </w:trPr>
        <w:tc>
          <w:tcPr>
            <w:tcW w:type="dxa" w:w="251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R1. </w:t>
            </w:r>
            <w:r>
              <w:rPr>
                <w:rFonts w:ascii="Arial" w:cs="Arial" w:eastAsia="Arial" w:hAnsi="Arial"/>
                <w:i/>
                <w:iCs/>
                <w:sz w:val="18"/>
                <w:szCs w:val="18"/>
              </w:rPr>
              <w:t xml:space="preserve">Ransomware</w:t>
            </w:r>
            <w:r>
              <w:rPr>
                <w:rFonts w:ascii="Arial" w:cs="Arial" w:eastAsia="Arial" w:hAnsi="Arial"/>
                <w:sz w:val="18"/>
                <w:szCs w:val="18"/>
              </w:rPr>
              <w:t xml:space="preserve"> cifra el campus y su base de datos</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150,000</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0.60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90,000</w:t>
            </w:r>
          </w:p>
        </w:tc>
        <w:tc>
          <w:tcPr>
            <w:tcW w:type="dxa" w:w="6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0.25</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22,500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0.10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0.10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1,500</w:t>
            </w:r>
          </w:p>
        </w:tc>
      </w:tr>
      <w:tr>
        <w:trPr>
          <w:cantSplit/>
        </w:trPr>
        <w:tc>
          <w:tcPr>
            <w:tcW w:type="dxa" w:w="251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R4. Compromiso del sitio institucional</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40,000</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0.40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16,000</w:t>
            </w:r>
          </w:p>
        </w:tc>
        <w:tc>
          <w:tcPr>
            <w:tcW w:type="dxa" w:w="6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0.50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8,000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0.10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0.20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800</w:t>
            </w:r>
          </w:p>
        </w:tc>
      </w:tr>
      <w:tr>
        <w:trPr>
          <w:cantSplit/>
        </w:trPr>
        <w:tc>
          <w:tcPr>
            <w:tcW w:type="dxa" w:w="251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R2. Fraude del director (BEC)</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50,000</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0.30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15,000</w:t>
            </w:r>
          </w:p>
        </w:tc>
        <w:tc>
          <w:tcPr>
            <w:tcW w:type="dxa" w:w="6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0.50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7,500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0.10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0.10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500</w:t>
            </w:r>
          </w:p>
        </w:tc>
      </w:tr>
      <w:tr>
        <w:trPr>
          <w:cantSplit/>
        </w:trPr>
        <w:tc>
          <w:tcPr>
            <w:tcW w:type="dxa" w:w="251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R6. Indisponibilidad del registro del congreso durante la inscripción</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60,000</w:t>
            </w: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0.30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18,000</w:t>
            </w:r>
          </w:p>
        </w:tc>
        <w:tc>
          <w:tcPr>
            <w:tcW w:type="dxa" w:w="6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0.25</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4,500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0.10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0.10</w:t>
            </w: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600</w:t>
            </w:r>
          </w:p>
        </w:tc>
      </w:tr>
      <w:tr>
        <w:trPr>
          <w:cantSplit/>
        </w:trPr>
        <w:tc>
          <w:tcPr>
            <w:tcW w:type="dxa" w:w="251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Total</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5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6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42,500</w:t>
            </w: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9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3,400</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AV = valor del activo, EF = factor de exposición, SLE = pérdida por evento, ARO = frecuencia anual, ALE = pérdida anual esperada. Los valores con plan son los esperados una vez implementados los controles, y ALE (plan) = AV × EF (plan) × ARO (plan). Elaboración propia con las fórmulas de Melaku (2023).</w:t>
      </w:r>
    </w:p>
    <w:p>
      <w:pPr>
        <w:pStyle w:val="Heading2"/>
        <w:keepNext/>
        <w:spacing w:after="0" w:before="0" w:line="360" w:lineRule="auto"/>
        <w:jc w:val="left"/>
      </w:pPr>
      <w:r>
        <w:rPr>
          <w:rFonts w:ascii="Arial" w:cs="Arial" w:eastAsia="Arial" w:hAnsi="Arial"/>
          <w:b/>
          <w:bCs/>
          <w:color w:val="000000"/>
          <w:sz w:val="24"/>
          <w:szCs w:val="24"/>
        </w:rPr>
        <w:t xml:space="preserve">4. Aspectos profesionales</w:t>
      </w:r>
    </w:p>
    <w:p>
      <w:pPr>
        <w:pStyle w:val="Heading3"/>
        <w:keepNext/>
        <w:spacing w:after="0" w:before="0" w:line="360" w:lineRule="auto"/>
        <w:jc w:val="left"/>
      </w:pPr>
      <w:r>
        <w:rPr>
          <w:rFonts w:ascii="Arial" w:cs="Arial" w:eastAsia="Arial" w:hAnsi="Arial"/>
          <w:b/>
          <w:bCs/>
          <w:i/>
          <w:iCs/>
          <w:color w:val="000000"/>
          <w:sz w:val="24"/>
          <w:szCs w:val="24"/>
        </w:rPr>
        <w:t xml:space="preserve">4.1 Estudio de viabilidad</w:t>
      </w:r>
    </w:p>
    <w:p>
      <w:pPr>
        <w:pStyle w:val="ListParagraph"/>
        <w:numPr>
          <w:ilvl w:val="0"/>
          <w:numId w:val="2"/>
        </w:numPr>
        <w:spacing w:after="0" w:before="0" w:line="360" w:lineRule="auto"/>
        <w:jc w:val="both"/>
      </w:pPr>
      <w:r>
        <w:rPr>
          <w:rFonts w:ascii="Arial" w:cs="Arial" w:eastAsia="Arial" w:hAnsi="Arial"/>
          <w:b/>
          <w:bCs/>
          <w:sz w:val="24"/>
          <w:szCs w:val="24"/>
        </w:rPr>
        <w:t xml:space="preserve">Técnica.</w:t>
      </w:r>
      <w:r>
        <w:rPr>
          <w:rFonts w:ascii="Arial" w:cs="Arial" w:eastAsia="Arial" w:hAnsi="Arial"/>
          <w:sz w:val="24"/>
          <w:szCs w:val="24"/>
        </w:rPr>
        <w:t xml:space="preserve"> Viable. Buena parte de los controles se configura en servicios que ya se usan (DigitalOcean, Google Workspace, WordPress y Moodle), y el sistema del congreso ya tiene roles, auditoría y protección contra automatización. El resto son suscripciones, </w:t>
      </w:r>
      <w:r>
        <w:rPr>
          <w:rFonts w:ascii="Arial" w:cs="Arial" w:eastAsia="Arial" w:hAnsi="Arial"/>
          <w:i/>
          <w:iCs/>
          <w:sz w:val="24"/>
          <w:szCs w:val="24"/>
        </w:rPr>
        <w:t xml:space="preserve">hardware</w:t>
      </w:r>
      <w:r>
        <w:rPr>
          <w:rFonts w:ascii="Arial" w:cs="Arial" w:eastAsia="Arial" w:hAnsi="Arial"/>
          <w:sz w:val="24"/>
          <w:szCs w:val="24"/>
        </w:rPr>
        <w:t xml:space="preserve"> estándar y dos servicios externos.</w:t>
      </w:r>
    </w:p>
    <w:p>
      <w:pPr>
        <w:pStyle w:val="ListParagraph"/>
        <w:numPr>
          <w:ilvl w:val="0"/>
          <w:numId w:val="2"/>
        </w:numPr>
        <w:spacing w:after="0" w:before="0" w:line="360" w:lineRule="auto"/>
        <w:jc w:val="both"/>
      </w:pPr>
      <w:r>
        <w:rPr>
          <w:rFonts w:ascii="Arial" w:cs="Arial" w:eastAsia="Arial" w:hAnsi="Arial"/>
          <w:b/>
          <w:bCs/>
          <w:sz w:val="24"/>
          <w:szCs w:val="24"/>
        </w:rPr>
        <w:t xml:space="preserve">Económica.</w:t>
      </w:r>
      <w:r>
        <w:rPr>
          <w:rFonts w:ascii="Arial" w:cs="Arial" w:eastAsia="Arial" w:hAnsi="Arial"/>
          <w:sz w:val="24"/>
          <w:szCs w:val="24"/>
        </w:rPr>
        <w:t xml:space="preserve"> Viable. La inversión del primer año es de 10,098 USD (Tabla 4) frente a una pérdida anual evitable de 39,100 USD (Tabla 3): una relación beneficio-costo de 3.9 a 1, sin valorar las unas 300 horas internas. Desde el segundo año el costo baja a unos 5,800 USD (partidas anuales más contingencia). Un solo evento como R1, con 90,000 USD de pérdida, equivale a casi nueve veces la inversión del primer año.</w:t>
      </w:r>
    </w:p>
    <w:p>
      <w:pPr>
        <w:pStyle w:val="ListParagraph"/>
        <w:numPr>
          <w:ilvl w:val="0"/>
          <w:numId w:val="2"/>
        </w:numPr>
        <w:spacing w:after="0" w:before="0" w:line="360" w:lineRule="auto"/>
        <w:jc w:val="both"/>
      </w:pPr>
      <w:r>
        <w:rPr>
          <w:rFonts w:ascii="Arial" w:cs="Arial" w:eastAsia="Arial" w:hAnsi="Arial"/>
          <w:b/>
          <w:bCs/>
          <w:sz w:val="24"/>
          <w:szCs w:val="24"/>
        </w:rPr>
        <w:t xml:space="preserve">Operativa.</w:t>
      </w:r>
      <w:r>
        <w:rPr>
          <w:rFonts w:ascii="Arial" w:cs="Arial" w:eastAsia="Arial" w:hAnsi="Arial"/>
          <w:sz w:val="24"/>
          <w:szCs w:val="24"/>
        </w:rPr>
        <w:t xml:space="preserve"> Viable con una restricción: la capacidad, porque hoy una sola persona administra los sistemas. Estimo unas 6 horas semanales del responsable de seguridad (cerca de 300 al año, costo interno) y unas 2 horas por trimestre del comité. Por eso el plan avanza por fases y contrata fuera solo la prueba de penetración y la consultoría.</w:t>
      </w:r>
    </w:p>
    <w:p>
      <w:pPr>
        <w:pStyle w:val="ListParagraph"/>
        <w:numPr>
          <w:ilvl w:val="0"/>
          <w:numId w:val="2"/>
        </w:numPr>
        <w:spacing w:after="0" w:before="0" w:line="360" w:lineRule="auto"/>
        <w:jc w:val="both"/>
      </w:pPr>
      <w:r>
        <w:rPr>
          <w:rFonts w:ascii="Arial" w:cs="Arial" w:eastAsia="Arial" w:hAnsi="Arial"/>
          <w:b/>
          <w:bCs/>
          <w:sz w:val="24"/>
          <w:szCs w:val="24"/>
        </w:rPr>
        <w:t xml:space="preserve">Legal y normativa.</w:t>
      </w:r>
      <w:r>
        <w:rPr>
          <w:rFonts w:ascii="Arial" w:cs="Arial" w:eastAsia="Arial" w:hAnsi="Arial"/>
          <w:sz w:val="24"/>
          <w:szCs w:val="24"/>
        </w:rPr>
        <w:t xml:space="preserve"> Viable y necesaria. La ley mexicana de protección de datos personales en posesión de particulares obliga a mantener medidas de seguridad administrativas, técnicas y físicas y a informar de inmediato a las personas titulares las vulneraciones que afecten de forma significativa sus derechos patrimoniales o morales (Ley Federal de Protección de Datos Personales en Posesión de los Particulares [LFPDPPP], 2025, arts. 18 y 19). Como en mi Reto 3 (Navarrete Flores, 2026), la tomo como estándar mínimo mientras la CISS aclara si obliga directamente al CIESS, y alineo las políticas con ISO/IEC 27001 (Pérez Rodríguez, 2025).</w:t>
      </w:r>
    </w:p>
    <w:p>
      <w:pPr>
        <w:pStyle w:val="ListParagraph"/>
        <w:numPr>
          <w:ilvl w:val="0"/>
          <w:numId w:val="2"/>
        </w:numPr>
        <w:spacing w:after="0" w:before="0" w:line="360" w:lineRule="auto"/>
        <w:jc w:val="both"/>
      </w:pPr>
      <w:r>
        <w:rPr>
          <w:rFonts w:ascii="Arial" w:cs="Arial" w:eastAsia="Arial" w:hAnsi="Arial"/>
          <w:b/>
          <w:bCs/>
          <w:sz w:val="24"/>
          <w:szCs w:val="24"/>
        </w:rPr>
        <w:t xml:space="preserve">Organizacional.</w:t>
      </w:r>
      <w:r>
        <w:rPr>
          <w:rFonts w:ascii="Arial" w:cs="Arial" w:eastAsia="Arial" w:hAnsi="Arial"/>
          <w:sz w:val="24"/>
          <w:szCs w:val="24"/>
        </w:rPr>
        <w:t xml:space="preserve"> Viable si la Dirección patrocina el plan: Melaku (2023) incluye el compromiso de la alta dirección, que fija el apetito de riesgo y asigna el presupuesto.</w:t>
      </w:r>
    </w:p>
    <w:p>
      <w:pPr>
        <w:spacing w:after="0" w:before="0" w:line="360" w:lineRule="auto"/>
        <w:ind w:firstLine="720"/>
        <w:jc w:val="both"/>
      </w:pPr>
      <w:r>
        <w:rPr>
          <w:rFonts w:ascii="Arial" w:cs="Arial" w:eastAsia="Arial" w:hAnsi="Arial"/>
          <w:b/>
          <w:bCs/>
          <w:sz w:val="24"/>
          <w:szCs w:val="24"/>
        </w:rPr>
        <w:t xml:space="preserve">Dictamen:</w:t>
      </w:r>
      <w:r>
        <w:rPr>
          <w:rFonts w:ascii="Arial" w:cs="Arial" w:eastAsia="Arial" w:hAnsi="Arial"/>
          <w:sz w:val="24"/>
          <w:szCs w:val="24"/>
        </w:rPr>
        <w:t xml:space="preserve"> el plan es viable con tres condiciones: aprobar el presupuesto, designar una segunda persona con acceso administrativo de respaldo y calibrar con finanzas los valores de la Tabla 3.</w:t>
      </w:r>
    </w:p>
    <w:p>
      <w:pPr>
        <w:pStyle w:val="Heading3"/>
        <w:keepNext/>
        <w:spacing w:after="0" w:before="0" w:line="360" w:lineRule="auto"/>
        <w:jc w:val="left"/>
      </w:pPr>
      <w:r>
        <w:rPr>
          <w:rFonts w:ascii="Arial" w:cs="Arial" w:eastAsia="Arial" w:hAnsi="Arial"/>
          <w:b/>
          <w:bCs/>
          <w:i/>
          <w:iCs/>
          <w:color w:val="000000"/>
          <w:sz w:val="24"/>
          <w:szCs w:val="24"/>
        </w:rPr>
        <w:t xml:space="preserve">4.2 Presupuesto</w:t>
      </w:r>
    </w:p>
    <w:p>
      <w:pPr>
        <w:spacing w:after="0" w:before="0" w:line="360" w:lineRule="auto"/>
        <w:ind w:firstLine="720"/>
        <w:jc w:val="both"/>
      </w:pPr>
      <w:r>
        <w:rPr>
          <w:rFonts w:ascii="Arial" w:cs="Arial" w:eastAsia="Arial" w:hAnsi="Arial"/>
          <w:sz w:val="24"/>
          <w:szCs w:val="24"/>
        </w:rPr>
        <w:t xml:space="preserve">La Tabla 4 detalla la inversión del primer año. Son estimaciones propias, basadas en precios de lista de referencia, con un margen de ±20 % (de unos 8,100 a 12,100 USD en total) y sujetas a cotización; la contingencia de 10 % cubre solo parte de esa variación. Quedan fuera, para decisión de la Dirección, un seguro cibernético, que transferiría parte del riesgo (Melaku, 2023), y un servicio externo de monitoreo con centro de operaciones de seguridad (SOC), que Ballestero (2020) menciona entre los servicios de las empresas especializadas.</w:t>
      </w:r>
    </w:p>
    <w:p>
      <w:pPr>
        <w:keepNext/>
        <w:spacing w:after="0" w:before="0" w:line="360" w:lineRule="auto"/>
      </w:pPr>
      <w:r>
        <w:rPr>
          <w:rFonts w:ascii="Arial" w:cs="Arial" w:eastAsia="Arial" w:hAnsi="Arial"/>
          <w:b/>
          <w:bCs/>
          <w:sz w:val="24"/>
          <w:szCs w:val="24"/>
        </w:rPr>
        <w:t xml:space="preserve">Tabla 4</w:t>
      </w:r>
    </w:p>
    <w:p>
      <w:pPr>
        <w:keepNext/>
        <w:spacing w:after="0" w:before="0" w:line="360" w:lineRule="auto"/>
      </w:pPr>
      <w:r>
        <w:rPr>
          <w:rFonts w:ascii="Arial" w:cs="Arial" w:eastAsia="Arial" w:hAnsi="Arial"/>
          <w:i/>
          <w:iCs/>
          <w:sz w:val="24"/>
          <w:szCs w:val="24"/>
        </w:rPr>
        <w:t xml:space="preserve">Presupuesto estimado del primer año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500"/>
        <w:gridCol w:w="4938"/>
        <w:gridCol w:w="1100"/>
        <w:gridCol w:w="1300"/>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Rubro</w:t>
            </w:r>
          </w:p>
        </w:tc>
        <w:tc>
          <w:tcPr>
            <w:tcW w:type="dxa" w:w="49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Concepto</w:t>
            </w:r>
          </w:p>
        </w:tc>
        <w:tc>
          <w:tcPr>
            <w:tcW w:type="dxa" w:w="11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Riesgos</w:t>
            </w:r>
          </w:p>
        </w:tc>
        <w:tc>
          <w:tcPr>
            <w:tcW w:type="dxa" w:w="13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USD</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i/>
                <w:iCs/>
                <w:sz w:val="18"/>
                <w:szCs w:val="18"/>
              </w:rPr>
              <w:t xml:space="preserve">Hardware</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NAS con dos discos en espejo (2 × 4 TB) para la copia local y disco externo cifrado para la copia fuera de línea (única)</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R1, R5</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760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i/>
                <w:iCs/>
                <w:sz w:val="18"/>
                <w:szCs w:val="18"/>
              </w:rPr>
              <w:t xml:space="preserve">Hardware</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Dos unidades de respaldo de energía (UPS) para equipos de red y almacenamiento (única)</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R5, R6</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300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i/>
                <w:iCs/>
                <w:sz w:val="18"/>
                <w:szCs w:val="18"/>
              </w:rPr>
              <w:t xml:space="preserve">Hardware</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Seis llaves de seguridad FIDO2 para cuentas privilegiadas (única)</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R2, R3</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330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i/>
                <w:iCs/>
                <w:sz w:val="18"/>
                <w:szCs w:val="18"/>
              </w:rPr>
              <w:t xml:space="preserve">Hardware</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Enrutador con </w:t>
            </w:r>
            <w:r>
              <w:rPr>
                <w:rFonts w:ascii="Arial" w:cs="Arial" w:eastAsia="Arial" w:hAnsi="Arial"/>
                <w:i/>
                <w:iCs/>
                <w:sz w:val="18"/>
                <w:szCs w:val="18"/>
              </w:rPr>
              <w:t xml:space="preserve">firewall</w:t>
            </w:r>
            <w:r>
              <w:rPr>
                <w:rFonts w:ascii="Arial" w:cs="Arial" w:eastAsia="Arial" w:hAnsi="Arial"/>
                <w:sz w:val="18"/>
                <w:szCs w:val="18"/>
              </w:rPr>
              <w:t xml:space="preserve"> y VLAN para aislar dispositivos IoT e invitados (única)</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R8</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500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Software y servicios</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Nodo en espera (</w:t>
            </w:r>
            <w:r>
              <w:rPr>
                <w:rFonts w:ascii="Arial" w:cs="Arial" w:eastAsia="Arial" w:hAnsi="Arial"/>
                <w:i/>
                <w:iCs/>
                <w:sz w:val="18"/>
                <w:szCs w:val="18"/>
              </w:rPr>
              <w:t xml:space="preserve">standby</w:t>
            </w:r>
            <w:r>
              <w:rPr>
                <w:rFonts w:ascii="Arial" w:cs="Arial" w:eastAsia="Arial" w:hAnsi="Arial"/>
                <w:sz w:val="18"/>
                <w:szCs w:val="18"/>
              </w:rPr>
              <w:t xml:space="preserve">) de PostgreSQL gestionado y almacenamiento externo cifrado de unos 250 GB para copias (anual)</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R1, R5, R6</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420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Software y servicios</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CDN y WAF en el dominio principal (anual)</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R4, R6</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240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Software y servicios</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Gestor de contraseñas para diez personas (anual)</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R2, R3</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480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Software y servicios</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Protección de equipos terminales (EDR) para 15 equipos (anual)</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R1</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600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Software y servicios</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Endurecimiento y escaneo de WordPress, y monitoreo de disponibilidad con alertas (anual)</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R4, R5, R6</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250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Software y servicios</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Simulacros de </w:t>
            </w:r>
            <w:r>
              <w:rPr>
                <w:rFonts w:ascii="Arial" w:cs="Arial" w:eastAsia="Arial" w:hAnsi="Arial"/>
                <w:i/>
                <w:iCs/>
                <w:sz w:val="18"/>
                <w:szCs w:val="18"/>
              </w:rPr>
              <w:t xml:space="preserve">phishing</w:t>
            </w:r>
            <w:r>
              <w:rPr>
                <w:rFonts w:ascii="Arial" w:cs="Arial" w:eastAsia="Arial" w:hAnsi="Arial"/>
                <w:sz w:val="18"/>
                <w:szCs w:val="18"/>
              </w:rPr>
              <w:t xml:space="preserve"> y material de capacitación (anual)</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R2, R9</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300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Servicios profesionales</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Prueba de penetración externa (anual)</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R3, R4, R7</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3,000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Servicios profesionales</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Consultoría de políticas y diagnóstico de brechas frente a ISO/IEC 27001 (única)</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R7, R9, R10</w:t>
            </w: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2,000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Subtotal</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i/>
                <w:iCs/>
                <w:sz w:val="18"/>
                <w:szCs w:val="18"/>
              </w:rPr>
              <w:t xml:space="preserve">Hardware</w:t>
            </w:r>
            <w:r>
              <w:rPr>
                <w:rFonts w:ascii="Arial" w:cs="Arial" w:eastAsia="Arial" w:hAnsi="Arial"/>
                <w:sz w:val="18"/>
                <w:szCs w:val="18"/>
              </w:rPr>
              <w:t xml:space="preserve"> 1,890 + software y servicios 2,290 + servicios profesionales 5,000</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9,180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Contingencia</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10 % para variaciones de precio y tipo de cambio</w:t>
            </w: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918</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Total año 1</w:t>
            </w:r>
          </w:p>
        </w:tc>
        <w:tc>
          <w:tcPr>
            <w:tcW w:type="dxa" w:w="49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1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p>
        </w:tc>
        <w:tc>
          <w:tcPr>
            <w:tcW w:type="dxa" w:w="1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10,098</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Cifras en dólares estadounidenses. Elaboración propia a partir de precios de lista de referencia, sin cotización formal.</w:t>
      </w:r>
    </w:p>
    <w:p>
      <w:pPr>
        <w:pStyle w:val="Heading3"/>
        <w:keepNext/>
        <w:spacing w:after="0" w:before="0" w:line="360" w:lineRule="auto"/>
        <w:jc w:val="left"/>
      </w:pPr>
      <w:r>
        <w:rPr>
          <w:rFonts w:ascii="Arial" w:cs="Arial" w:eastAsia="Arial" w:hAnsi="Arial"/>
          <w:b/>
          <w:bCs/>
          <w:i/>
          <w:iCs/>
          <w:color w:val="000000"/>
          <w:sz w:val="24"/>
          <w:szCs w:val="24"/>
        </w:rPr>
        <w:t xml:space="preserve">4.3 Cronograma</w:t>
      </w:r>
    </w:p>
    <w:p>
      <w:pPr>
        <w:spacing w:after="0" w:before="0" w:line="360" w:lineRule="auto"/>
        <w:ind w:firstLine="720"/>
        <w:jc w:val="both"/>
      </w:pPr>
      <w:r>
        <w:rPr>
          <w:rFonts w:ascii="Arial" w:cs="Arial" w:eastAsia="Arial" w:hAnsi="Arial"/>
          <w:sz w:val="24"/>
          <w:szCs w:val="24"/>
        </w:rPr>
        <w:t xml:space="preserve">El plan se ejecuta en 12 meses (Tabla 5). Empieza por identidad, correo y respaldos porque atienden los riesgos de nivel Alto (R2 y R3) y el de mayor pérdida esperada entre los cuatro escenarios cuantificados (R1). Los hitos son: aprobación del plan al inicio del mes 1, MFA en todas las cuentas privilegiadas en el mes 3, primera restauración verificada en el mes 4, simulacro de recuperación en el mes 9 y revisión por la Dirección en el mes 12.</w:t>
      </w:r>
    </w:p>
    <w:p>
      <w:pPr>
        <w:keepNext/>
        <w:spacing w:after="0" w:before="0" w:line="360" w:lineRule="auto"/>
      </w:pPr>
      <w:r>
        <w:rPr>
          <w:rFonts w:ascii="Arial" w:cs="Arial" w:eastAsia="Arial" w:hAnsi="Arial"/>
          <w:b/>
          <w:bCs/>
          <w:sz w:val="24"/>
          <w:szCs w:val="24"/>
        </w:rPr>
        <w:t xml:space="preserve">Tabla 5</w:t>
      </w:r>
    </w:p>
    <w:p>
      <w:pPr>
        <w:keepNext/>
        <w:spacing w:after="0" w:before="0" w:line="360" w:lineRule="auto"/>
      </w:pPr>
      <w:r>
        <w:rPr>
          <w:rFonts w:ascii="Arial" w:cs="Arial" w:eastAsia="Arial" w:hAnsi="Arial"/>
          <w:i/>
          <w:iCs/>
          <w:sz w:val="24"/>
          <w:szCs w:val="24"/>
        </w:rPr>
        <w:t xml:space="preserve">Cronograma de implementación a 12 meses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038"/>
        <w:gridCol w:w="400"/>
        <w:gridCol w:w="400"/>
        <w:gridCol w:w="400"/>
        <w:gridCol w:w="400"/>
        <w:gridCol w:w="400"/>
        <w:gridCol w:w="400"/>
        <w:gridCol w:w="400"/>
        <w:gridCol w:w="400"/>
        <w:gridCol w:w="400"/>
        <w:gridCol w:w="400"/>
        <w:gridCol w:w="400"/>
        <w:gridCol w:w="400"/>
      </w:tblGrid>
      <w:tr>
        <w:trPr>
          <w:cantSplit/>
          <w:tblHeader/>
        </w:trPr>
        <w:tc>
          <w:tcPr>
            <w:tcW w:type="dxa" w:w="4038"/>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b/>
                <w:bCs/>
                <w:sz w:val="18"/>
                <w:szCs w:val="18"/>
              </w:rPr>
              <w:t xml:space="preserve">Actividad (número de mes)</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1</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2</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3</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4</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5</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6</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7</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8</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9</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10</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11</w:t>
            </w:r>
          </w:p>
        </w:tc>
        <w:tc>
          <w:tcPr>
            <w:tcW w:type="dxa" w:w="40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12</w:t>
            </w: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1. Comité, apetito de riesgo y línea base</w:t>
            </w: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2. MFA, contraseñas, cuentas y pagos</w:t>
            </w: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3. Respaldo 3-2-1 y restauración verificada</w:t>
            </w: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4. Parcheo, CDN/WAF y SPF/DKIM/DMARC</w:t>
            </w: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5. Segmentación de red, IoT y EDR</w:t>
            </w: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6. Nodo en espera, monitoreo y bitácoras</w:t>
            </w: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7. Políticas, aviso de privacidad, IRP, BCP y DRP</w:t>
            </w: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8. Concienciación y simulacros de </w:t>
            </w:r>
            <w:r>
              <w:rPr>
                <w:rFonts w:ascii="Arial" w:cs="Arial" w:eastAsia="Arial" w:hAnsi="Arial"/>
                <w:i/>
                <w:iCs/>
                <w:sz w:val="18"/>
                <w:szCs w:val="18"/>
              </w:rPr>
              <w:t xml:space="preserve">phishing</w:t>
            </w: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sz w:val="18"/>
                <w:szCs w:val="18"/>
              </w:rPr>
              <w:t xml:space="preserve">9. Prueba de penetración y simulacro de DRP</w:t>
            </w: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val="false"/>
              <w:spacing w:after="40" w:before="40" w:line="240" w:lineRule="auto"/>
              <w:jc w:val="left"/>
            </w:pPr>
          </w:p>
        </w:tc>
      </w:tr>
      <w:tr>
        <w:trPr>
          <w:cantSplit/>
        </w:trPr>
        <w:tc>
          <w:tcPr>
            <w:tcW w:type="dxa" w:w="403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10. Medición y revisión de la Dirección</w:t>
            </w: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40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Los meses se cuentan a partir de la aprobación del plan. La actividad 2 incluye revisión de roles y verificación de pagos por un segundo canal; la 8, una sesión inicial en el mes 3; la 9, la prueba de penetración en los meses 8 a 10 y el simulacro en el mes 9. Elaboración propia.</w:t>
      </w:r>
    </w:p>
    <w:p>
      <w:pPr>
        <w:pStyle w:val="Heading3"/>
        <w:keepNext/>
        <w:spacing w:after="0" w:before="0" w:line="360" w:lineRule="auto"/>
        <w:jc w:val="left"/>
      </w:pPr>
      <w:r>
        <w:rPr>
          <w:rFonts w:ascii="Arial" w:cs="Arial" w:eastAsia="Arial" w:hAnsi="Arial"/>
          <w:b/>
          <w:bCs/>
          <w:i/>
          <w:iCs/>
          <w:color w:val="000000"/>
          <w:sz w:val="24"/>
          <w:szCs w:val="24"/>
        </w:rPr>
        <w:t xml:space="preserve">4.4 Gobierno y responsabilidades</w:t>
      </w:r>
    </w:p>
    <w:p>
      <w:pPr>
        <w:spacing w:after="0" w:before="0" w:line="360" w:lineRule="auto"/>
        <w:ind w:firstLine="720"/>
        <w:jc w:val="both"/>
      </w:pPr>
      <w:r>
        <w:rPr>
          <w:rFonts w:ascii="Arial" w:cs="Arial" w:eastAsia="Arial" w:hAnsi="Arial"/>
          <w:sz w:val="24"/>
          <w:szCs w:val="24"/>
        </w:rPr>
        <w:t xml:space="preserve">Melaku (2023) exige un equipo de gestión del riesgo con funciones claras. Propongo un comité con cinco roles: la Dirección, que patrocina, fija el apetito de riesgo y aprueba el presupuesto; el responsable de seguridad de la información, función que asumo al inicio, que coordina el plan y administra los controles técnicos; una segunda persona administradora, como respaldo; un enlace de protección de datos personales, a cargo del aviso de privacidad y las notificaciones; y las personas responsables de área, dueñas de los activos, que aprueban accesos. Quien opera un sistema no aprueba sus propios accesos.</w:t>
      </w:r>
    </w:p>
    <w:p>
      <w:pPr>
        <w:pStyle w:val="Heading2"/>
        <w:keepNext/>
        <w:spacing w:after="0" w:before="0" w:line="360" w:lineRule="auto"/>
        <w:jc w:val="left"/>
      </w:pPr>
      <w:r>
        <w:rPr>
          <w:rFonts w:ascii="Arial" w:cs="Arial" w:eastAsia="Arial" w:hAnsi="Arial"/>
          <w:b/>
          <w:bCs/>
          <w:color w:val="000000"/>
          <w:sz w:val="24"/>
          <w:szCs w:val="24"/>
        </w:rPr>
        <w:t xml:space="preserve">5. Acciones de seguridad</w:t>
      </w:r>
    </w:p>
    <w:p>
      <w:pPr>
        <w:spacing w:after="0" w:before="0" w:line="360" w:lineRule="auto"/>
        <w:ind w:firstLine="720"/>
        <w:jc w:val="both"/>
      </w:pPr>
      <w:r>
        <w:rPr>
          <w:rFonts w:ascii="Arial" w:cs="Arial" w:eastAsia="Arial" w:hAnsi="Arial"/>
          <w:sz w:val="24"/>
          <w:szCs w:val="24"/>
        </w:rPr>
        <w:t xml:space="preserve">El reto pide estabilidad, accesibilidad y disponibilidad. La estabilidad se logra probando los cambios en una copia, con ventana y reversión; la accesibilidad, garantizando el ingreso autorizado desde cualquier país con MFA y CDN; y la disponibilidad se mide con los RTO, los RPO y la meta mensual del apartado 5.5.</w:t>
      </w:r>
    </w:p>
    <w:p>
      <w:pPr>
        <w:pStyle w:val="Heading3"/>
        <w:keepNext/>
        <w:spacing w:after="0" w:before="0" w:line="360" w:lineRule="auto"/>
        <w:jc w:val="left"/>
      </w:pPr>
      <w:r>
        <w:rPr>
          <w:rFonts w:ascii="Arial" w:cs="Arial" w:eastAsia="Arial" w:hAnsi="Arial"/>
          <w:b/>
          <w:bCs/>
          <w:i/>
          <w:iCs/>
          <w:color w:val="000000"/>
          <w:sz w:val="24"/>
          <w:szCs w:val="24"/>
        </w:rPr>
        <w:t xml:space="preserve">5.1 Inversión en hardware y software</w:t>
      </w:r>
    </w:p>
    <w:p>
      <w:pPr>
        <w:spacing w:after="0" w:before="0" w:line="360" w:lineRule="auto"/>
        <w:ind w:firstLine="720"/>
        <w:jc w:val="both"/>
      </w:pPr>
      <w:r>
        <w:rPr>
          <w:rFonts w:ascii="Arial" w:cs="Arial" w:eastAsia="Arial" w:hAnsi="Arial"/>
          <w:sz w:val="24"/>
          <w:szCs w:val="24"/>
        </w:rPr>
        <w:t xml:space="preserve">La inversión de la Tabla 4 se agrupa por el objetivo que protege. Disponibilidad: NAS, copia fuera de línea, almacenamiento externo, UPS, nodo en espera, monitoreo y CDN/WAF, que Pérez Rodríguez (2025) asocia con la redundancia, los planes de recuperación probados y la mitigación de ataques de denegación de servicio. Confidencialidad y autenticación: llaves FIDO2, gestor de contraseñas, MFA y cifrado (Mata, 2025). Integridad: sumas de verificación (hash SHA-256) y bitácoras de auditoría. Detección: EDR, escaneo de vulnerabilidades y pruebas de penetración. Segmentación: una VLAN para IoT, porque sin ella un dispositivo aparentemente inocuo puede dar acceso a sistemas sensibles (Pérez Rodríguez, 2025).</w:t>
      </w:r>
    </w:p>
    <w:p>
      <w:pPr>
        <w:pStyle w:val="Heading3"/>
        <w:keepNext/>
        <w:spacing w:after="0" w:before="0" w:line="360" w:lineRule="auto"/>
        <w:jc w:val="left"/>
      </w:pPr>
      <w:r>
        <w:rPr>
          <w:rFonts w:ascii="Arial" w:cs="Arial" w:eastAsia="Arial" w:hAnsi="Arial"/>
          <w:b/>
          <w:bCs/>
          <w:i/>
          <w:iCs/>
          <w:color w:val="000000"/>
          <w:sz w:val="24"/>
          <w:szCs w:val="24"/>
        </w:rPr>
        <w:t xml:space="preserve">5.2 Protocolos de acceso</w:t>
      </w:r>
    </w:p>
    <w:p>
      <w:pPr>
        <w:spacing w:after="0" w:before="0" w:line="360" w:lineRule="auto"/>
        <w:ind w:firstLine="720"/>
        <w:jc w:val="both"/>
      </w:pPr>
      <w:r>
        <w:rPr>
          <w:rFonts w:ascii="Arial" w:cs="Arial" w:eastAsia="Arial" w:hAnsi="Arial"/>
          <w:sz w:val="24"/>
          <w:szCs w:val="24"/>
        </w:rPr>
        <w:t xml:space="preserve">La Tabla 6 fija las reglas de acceso. El criterio común es el mínimo privilegio: cada persona y cada sistema reciben solo el acceso que su función requiere, durante el tiempo necesario.</w:t>
      </w:r>
    </w:p>
    <w:p>
      <w:pPr>
        <w:keepNext/>
        <w:spacing w:after="0" w:before="0" w:line="360" w:lineRule="auto"/>
      </w:pPr>
      <w:r>
        <w:rPr>
          <w:rFonts w:ascii="Arial" w:cs="Arial" w:eastAsia="Arial" w:hAnsi="Arial"/>
          <w:b/>
          <w:bCs/>
          <w:sz w:val="24"/>
          <w:szCs w:val="24"/>
        </w:rPr>
        <w:t xml:space="preserve">Tabla 6</w:t>
      </w:r>
    </w:p>
    <w:p>
      <w:pPr>
        <w:keepNext/>
        <w:spacing w:after="0" w:before="0" w:line="360" w:lineRule="auto"/>
      </w:pPr>
      <w:r>
        <w:rPr>
          <w:rFonts w:ascii="Arial" w:cs="Arial" w:eastAsia="Arial" w:hAnsi="Arial"/>
          <w:i/>
          <w:iCs/>
          <w:sz w:val="24"/>
          <w:szCs w:val="24"/>
        </w:rPr>
        <w:t xml:space="preserve">Protocolos de acceso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500"/>
        <w:gridCol w:w="5338"/>
        <w:gridCol w:w="2000"/>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Protocolo</w:t>
            </w:r>
          </w:p>
        </w:tc>
        <w:tc>
          <w:tcPr>
            <w:tcW w:type="dxa" w:w="53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Regla</w:t>
            </w:r>
          </w:p>
        </w:tc>
        <w:tc>
          <w:tcPr>
            <w:tcW w:type="dxa" w:w="20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Evidencia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Autenticación</w:t>
            </w:r>
          </w:p>
        </w:tc>
        <w:tc>
          <w:tcPr>
            <w:tcW w:type="dxa" w:w="5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MFA obligatorio en todas las cuentas y llaves FIDO2 en las privilegiadas (WordPress, Moodle, Workspace, nube y Stripe). Frases de paso largas (Mata, 2025), de al menos 14 caracteres como criterio propio, únicas por servicio (Torres Calvillo, s.f.-b) y guardadas en el gestor</w:t>
            </w:r>
          </w:p>
        </w:tc>
        <w:tc>
          <w:tcPr>
            <w:tcW w:type="dxa" w:w="2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Informe de cobertura de MFA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Autorización</w:t>
            </w:r>
          </w:p>
        </w:tc>
        <w:tc>
          <w:tcPr>
            <w:tcW w:type="dxa" w:w="5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Mínimo privilegio y control de acceso por roles. Cuenta de administración separada de la cuenta de uso diario (Torres Calvillo, s.f.-b). Los cuatro roles del sistema del congreso sirven de modelo para el resto</w:t>
            </w:r>
          </w:p>
        </w:tc>
        <w:tc>
          <w:tcPr>
            <w:tcW w:type="dxa" w:w="2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Matriz de roles, revisada cada trimestre</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Altas, cambios y bajas</w:t>
            </w:r>
          </w:p>
        </w:tc>
        <w:tc>
          <w:tcPr>
            <w:tcW w:type="dxa" w:w="5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Toda alta la aprueba la persona dueña del activo. Los accesos de una persona o proveedor que sale se revocan en un máximo de 24 h. Los accesos de terceros tienen fecha de caducidad</w:t>
            </w:r>
          </w:p>
        </w:tc>
        <w:tc>
          <w:tcPr>
            <w:tcW w:type="dxa" w:w="2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Bitácora de solicitudes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Acceso remoto</w:t>
            </w:r>
          </w:p>
        </w:tc>
        <w:tc>
          <w:tcPr>
            <w:tcW w:type="dxa" w:w="5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Modelo de cero confianza: se verifica cada acceso sin presumir que la red de origen es segura (Pérez Rodríguez, 2025). Administración solo por canal cifrado, con llaves SSH y lista de direcciones permitidas. Sin conexión automática a redes (Torres Calvillo, s.f.-b)</w:t>
            </w:r>
          </w:p>
        </w:tc>
        <w:tc>
          <w:tcPr>
            <w:tcW w:type="dxa" w:w="2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Registros de acceso</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Secretos y claves</w:t>
            </w:r>
          </w:p>
        </w:tc>
        <w:tc>
          <w:tcPr>
            <w:tcW w:type="dxa" w:w="5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Claves API y cadenas de conexión solo en variables de entorno cifradas, nunca en el código ni en mensajes. Rotación semestral y tras cualquier sospecha de exposición</w:t>
            </w:r>
          </w:p>
        </w:tc>
        <w:tc>
          <w:tcPr>
            <w:tcW w:type="dxa" w:w="2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Registro de rotaciones</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Dispositivos conectados</w:t>
            </w:r>
          </w:p>
        </w:tc>
        <w:tc>
          <w:tcPr>
            <w:tcW w:type="dxa" w:w="5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Cambiar credenciales de fábrica, actualizar versiones, abrir solo los puertos necesarios, desactivar el acceso remoto que no se use (Torres Calvillo, s.f.-a). Además, aislarlos en una VLAN propia, como propone Pérez Rodríguez (2025) al hablar de segmentación</w:t>
            </w:r>
          </w:p>
        </w:tc>
        <w:tc>
          <w:tcPr>
            <w:tcW w:type="dxa" w:w="2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revisado cada semestre</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Datos y equipos físicos</w:t>
            </w:r>
          </w:p>
        </w:tc>
        <w:tc>
          <w:tcPr>
            <w:tcW w:type="dxa" w:w="5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Cifrado en tránsito (TLS) y en reposo (AES-256; Mata, 2025). Control de acceso físico al gabinete de red y al NAS, con bitácora de visitas (Pérez Rodríguez, 2025). Cifrado de disco, bloqueo automático y registro de activos en equipos terminales</w:t>
            </w:r>
          </w:p>
        </w:tc>
        <w:tc>
          <w:tcPr>
            <w:tcW w:type="dxa" w:w="2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Auditoría anual</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Operaciones sensibles</w:t>
            </w:r>
          </w:p>
        </w:tc>
        <w:tc>
          <w:tcPr>
            <w:tcW w:type="dxa" w:w="5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Toda instrucción de pago, cambio de datos bancarios o entrega de credenciales recibida por correo, mensaje o llamada se confirma por un segundo canal ya registrado. El fraude del director suplanta a quien ordena el pago (Ballestero, 2020) y hoy puede apoyarse en mensajes personalizados con IA y en </w:t>
            </w:r>
            <w:r>
              <w:rPr>
                <w:rFonts w:ascii="Arial" w:cs="Arial" w:eastAsia="Arial" w:hAnsi="Arial"/>
                <w:i/>
                <w:iCs/>
                <w:sz w:val="18"/>
                <w:szCs w:val="18"/>
              </w:rPr>
              <w:t xml:space="preserve">vishing</w:t>
            </w:r>
            <w:r>
              <w:rPr>
                <w:rFonts w:ascii="Arial" w:cs="Arial" w:eastAsia="Arial" w:hAnsi="Arial"/>
                <w:sz w:val="18"/>
                <w:szCs w:val="18"/>
              </w:rPr>
              <w:t xml:space="preserve"> (Mata, 2025)</w:t>
            </w:r>
          </w:p>
        </w:tc>
        <w:tc>
          <w:tcPr>
            <w:tcW w:type="dxa" w:w="20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Registro de verificaciones</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Mata (2025), Pérez Rodríguez (2025), Ballestero (2020) y Torres Calvillo (s.f.-a, s.f.-b).</w:t>
      </w:r>
    </w:p>
    <w:p>
      <w:pPr>
        <w:pStyle w:val="Heading3"/>
        <w:keepNext/>
        <w:spacing w:after="0" w:before="0" w:line="360" w:lineRule="auto"/>
        <w:jc w:val="left"/>
      </w:pPr>
      <w:r>
        <w:rPr>
          <w:rFonts w:ascii="Arial" w:cs="Arial" w:eastAsia="Arial" w:hAnsi="Arial"/>
          <w:b/>
          <w:bCs/>
          <w:i/>
          <w:iCs/>
          <w:color w:val="000000"/>
          <w:sz w:val="24"/>
          <w:szCs w:val="24"/>
        </w:rPr>
        <w:t xml:space="preserve">5.3 Respaldo, continuidad y recuperación</w:t>
      </w:r>
    </w:p>
    <w:p>
      <w:pPr>
        <w:spacing w:after="0" w:before="0" w:line="360" w:lineRule="auto"/>
        <w:ind w:firstLine="720"/>
        <w:jc w:val="both"/>
      </w:pPr>
      <w:r>
        <w:rPr>
          <w:rFonts w:ascii="Arial" w:cs="Arial" w:eastAsia="Arial" w:hAnsi="Arial"/>
          <w:sz w:val="24"/>
          <w:szCs w:val="24"/>
        </w:rPr>
        <w:t xml:space="preserve">Propongo aplicar la regla 3-2-1: tres copias, en dos medios distintos y una fuera de la organización, más una copia fuera de línea porque el </w:t>
      </w:r>
      <w:r>
        <w:rPr>
          <w:rFonts w:ascii="Arial" w:cs="Arial" w:eastAsia="Arial" w:hAnsi="Arial"/>
          <w:i/>
          <w:iCs/>
          <w:sz w:val="24"/>
          <w:szCs w:val="24"/>
        </w:rPr>
        <w:t xml:space="preserve">ransomware</w:t>
      </w:r>
      <w:r>
        <w:rPr>
          <w:rFonts w:ascii="Arial" w:cs="Arial" w:eastAsia="Arial" w:hAnsi="Arial"/>
          <w:sz w:val="24"/>
          <w:szCs w:val="24"/>
        </w:rPr>
        <w:t xml:space="preserve"> cifra las unidades conectadas. Los respaldos se cifran, se verifican con su hash SHA-256 y se restauran en una muestra cada mes, porque un respaldo que nunca se restauró no es un control. Pérez Rodríguez (2025) indica que las pruebas regulares garantizan la eficacia de los planes de recuperación, y Ballestero (2020) pide un plan de contingencia y uno de continuidad.</w:t>
      </w:r>
    </w:p>
    <w:p>
      <w:pPr>
        <w:spacing w:after="0" w:before="0" w:line="360" w:lineRule="auto"/>
        <w:ind w:firstLine="720"/>
        <w:jc w:val="both"/>
      </w:pPr>
      <w:r>
        <w:rPr>
          <w:rFonts w:ascii="Arial" w:cs="Arial" w:eastAsia="Arial" w:hAnsi="Arial"/>
          <w:sz w:val="24"/>
          <w:szCs w:val="24"/>
        </w:rPr>
        <w:t xml:space="preserve">Los objetivos de la Tabla 1 se cumplirían así. Para A3, la base del congreso, que ya usa PostgreSQL gestionado con respaldos automáticos, tendrá además un nodo en espera con conmutación automática (RPO de 1 h y RTO de 4 h). Para A1 y A2, el campus y el sitio se copiarán a diario al NAS y al almacenamiento externo cifrado. Para A4 a A6, programaré exportaciones periódicas de Drive y Workspace y copias de grabaciones y repositorios, con RPO de 24 h. El plan de continuidad (BCP) prevé usar Meet si falla Zoom y viceversa, y un formulario de contingencia para inscripciones. Para la recuperación ante desastres (DRP) extenderé a todos los sistemas el formato de los documentos de despliegue y migración del repositorio del congreso, para que otra persona pueda restaurar sin depender de mí (R9).</w:t>
      </w:r>
    </w:p>
    <w:p>
      <w:pPr>
        <w:pStyle w:val="Heading3"/>
        <w:keepNext/>
        <w:spacing w:after="0" w:before="0" w:line="360" w:lineRule="auto"/>
        <w:jc w:val="left"/>
      </w:pPr>
      <w:r>
        <w:rPr>
          <w:rFonts w:ascii="Arial" w:cs="Arial" w:eastAsia="Arial" w:hAnsi="Arial"/>
          <w:b/>
          <w:bCs/>
          <w:i/>
          <w:iCs/>
          <w:color w:val="000000"/>
          <w:sz w:val="24"/>
          <w:szCs w:val="24"/>
        </w:rPr>
        <w:t xml:space="preserve">5.4 Detección, respuesta a incidentes y delitos informáticos</w:t>
      </w:r>
    </w:p>
    <w:p>
      <w:pPr>
        <w:spacing w:after="0" w:before="0" w:line="360" w:lineRule="auto"/>
        <w:ind w:firstLine="720"/>
        <w:jc w:val="both"/>
      </w:pPr>
      <w:r>
        <w:rPr>
          <w:rFonts w:ascii="Arial" w:cs="Arial" w:eastAsia="Arial" w:hAnsi="Arial"/>
          <w:sz w:val="24"/>
          <w:szCs w:val="24"/>
        </w:rPr>
        <w:t xml:space="preserve">La detección combina alertas de disponibilidad, EDR, bitácoras de accesos fallidos y cambios de privilegios, y un escaneo semanal de vulnerabilidades con una herramienta de código abierto. Pérez Rodríguez (2025) y la Lección 9 (Universidad Virtual del Estado de Guanajuato [UVEG], s.f.) coinciden en que la IA ayuda a detectar anomalías en tiempo real. La Lección 9 y Mata (2025) advierten que también se usa para delitos como la suplantación con </w:t>
      </w:r>
      <w:r>
        <w:rPr>
          <w:rFonts w:ascii="Arial" w:cs="Arial" w:eastAsia="Arial" w:hAnsi="Arial"/>
          <w:i/>
          <w:iCs/>
          <w:sz w:val="24"/>
          <w:szCs w:val="24"/>
        </w:rPr>
        <w:t xml:space="preserve">deepfakes</w:t>
      </w:r>
      <w:r>
        <w:rPr>
          <w:rFonts w:ascii="Arial" w:cs="Arial" w:eastAsia="Arial" w:hAnsi="Arial"/>
          <w:sz w:val="24"/>
          <w:szCs w:val="24"/>
        </w:rPr>
        <w:t xml:space="preserve"> y el </w:t>
      </w:r>
      <w:r>
        <w:rPr>
          <w:rFonts w:ascii="Arial" w:cs="Arial" w:eastAsia="Arial" w:hAnsi="Arial"/>
          <w:i/>
          <w:iCs/>
          <w:sz w:val="24"/>
          <w:szCs w:val="24"/>
        </w:rPr>
        <w:t xml:space="preserve">phishing</w:t>
      </w:r>
      <w:r>
        <w:rPr>
          <w:rFonts w:ascii="Arial" w:cs="Arial" w:eastAsia="Arial" w:hAnsi="Arial"/>
          <w:sz w:val="24"/>
          <w:szCs w:val="24"/>
        </w:rPr>
        <w:t xml:space="preserve"> inteligente.</w:t>
      </w:r>
    </w:p>
    <w:p>
      <w:pPr>
        <w:spacing w:after="0" w:before="0" w:line="360" w:lineRule="auto"/>
        <w:ind w:firstLine="720"/>
        <w:jc w:val="both"/>
      </w:pPr>
      <w:r>
        <w:rPr>
          <w:rFonts w:ascii="Arial" w:cs="Arial" w:eastAsia="Arial" w:hAnsi="Arial"/>
          <w:sz w:val="24"/>
          <w:szCs w:val="24"/>
        </w:rPr>
        <w:t xml:space="preserve">El plan de respuesta a incidentes (IRP) sigue el orden de Pérez Rodríguez (2025): contención, eliminación y recuperación, con comunicación a las partes interesadas y registro de lecciones aprendidas. Si un incidente supera el umbral de gravedad (indisponibilidad de A1 a A4 por más de su RTO o exposición de datos personales), se escala como desastre y se activan el DRP y el BCP (Melaku, 2023), y se informa de inmediato a las personas titulares cuando la vulneración afecta de forma significativa sus derechos patrimoniales o morales (LFPDPPP, 2025, art. 19).</w:t>
      </w:r>
    </w:p>
    <w:p>
      <w:pPr>
        <w:spacing w:after="0" w:before="0" w:line="360" w:lineRule="auto"/>
        <w:ind w:firstLine="720"/>
        <w:jc w:val="both"/>
      </w:pPr>
      <w:r>
        <w:rPr>
          <w:rFonts w:ascii="Arial" w:cs="Arial" w:eastAsia="Arial" w:hAnsi="Arial"/>
          <w:sz w:val="24"/>
          <w:szCs w:val="24"/>
        </w:rPr>
        <w:t xml:space="preserve">Cada incidente se trata como un posible delito informático. El acceso no autorizado, la alteración o copia de información, la suplantación de identidad, la extorsión y el fraude pueden serlo, y el Código Penal Federal tipifica el acceso ilícito a sistemas y equipos de informática (Código Penal Federal [CPF], 1931, arts. 211 bis 1 a 211 bis 7). El procedimiento exige preservar la evidencia antes de restaurar (copias de bitácoras y discos con su hash SHA-256 y registro de quién las manejó), no pagar un rescate sin decisión de la Dirección ni asesoría jurídica, y denunciar a tiempo ante la autoridad competente, como recomienda la Lección 9 (UVEG, s.f.), que presenta el Convenio de Budapest como referencia internacional contra el ciberdelito.</w:t>
      </w:r>
    </w:p>
    <w:p>
      <w:pPr>
        <w:pStyle w:val="Heading3"/>
        <w:keepNext/>
        <w:spacing w:after="0" w:before="0" w:line="360" w:lineRule="auto"/>
        <w:jc w:val="left"/>
      </w:pPr>
      <w:r>
        <w:rPr>
          <w:rFonts w:ascii="Arial" w:cs="Arial" w:eastAsia="Arial" w:hAnsi="Arial"/>
          <w:b/>
          <w:bCs/>
          <w:i/>
          <w:iCs/>
          <w:color w:val="000000"/>
          <w:sz w:val="24"/>
          <w:szCs w:val="24"/>
        </w:rPr>
        <w:t xml:space="preserve">5.5 Programación de las actividades de revisión</w:t>
      </w:r>
    </w:p>
    <w:p>
      <w:pPr>
        <w:spacing w:after="0" w:before="0" w:line="360" w:lineRule="auto"/>
        <w:ind w:firstLine="720"/>
        <w:jc w:val="both"/>
      </w:pPr>
      <w:r>
        <w:rPr>
          <w:rFonts w:ascii="Arial" w:cs="Arial" w:eastAsia="Arial" w:hAnsi="Arial"/>
          <w:sz w:val="24"/>
          <w:szCs w:val="24"/>
        </w:rPr>
        <w:t xml:space="preserve">La Tabla 7 programa las revisiones y sigue el control continuo que describe Pérez Rodríguez (2025): monitoreo permanente, auditorías periódicas, evaluaciones de vulnerabilidades, pruebas de penetración y mejora continua. El desempeño se mide con las tres técnicas de Melaku (2023). Madurez: pasar del nivel 1 al 3 de un modelo de cinco niveles en 12 meses, con una línea base en los meses 1 y 2. Conformidad: auditoría anual que toma como criterios la LFPDPPP e ISO/IEC 27001. Valor agregado: bajar la pérdida anual esperada de 42,500 a 3,400 USD. Como indicadores operativos fijo: MFA en 100 % de las cuentas; restauraciones exitosas de 100 %; disponibilidad mensual de A1 a A4 de 99 % o más en periodos críticos; parches críticos en 7 días como máximo; y clics en simulacros de </w:t>
      </w:r>
      <w:r>
        <w:rPr>
          <w:rFonts w:ascii="Arial" w:cs="Arial" w:eastAsia="Arial" w:hAnsi="Arial"/>
          <w:i/>
          <w:iCs/>
          <w:sz w:val="24"/>
          <w:szCs w:val="24"/>
        </w:rPr>
        <w:t xml:space="preserve">phishing</w:t>
      </w:r>
      <w:r>
        <w:rPr>
          <w:rFonts w:ascii="Arial" w:cs="Arial" w:eastAsia="Arial" w:hAnsi="Arial"/>
          <w:sz w:val="24"/>
          <w:szCs w:val="24"/>
        </w:rPr>
        <w:t xml:space="preserve"> de 10 % o menos.</w:t>
      </w:r>
    </w:p>
    <w:p>
      <w:pPr>
        <w:keepNext/>
        <w:spacing w:after="0" w:before="0" w:line="360" w:lineRule="auto"/>
      </w:pPr>
      <w:r>
        <w:rPr>
          <w:rFonts w:ascii="Arial" w:cs="Arial" w:eastAsia="Arial" w:hAnsi="Arial"/>
          <w:b/>
          <w:bCs/>
          <w:sz w:val="24"/>
          <w:szCs w:val="24"/>
        </w:rPr>
        <w:t xml:space="preserve">Tabla 7</w:t>
      </w:r>
    </w:p>
    <w:p>
      <w:pPr>
        <w:keepNext/>
        <w:spacing w:after="0" w:before="0" w:line="360" w:lineRule="auto"/>
      </w:pPr>
      <w:r>
        <w:rPr>
          <w:rFonts w:ascii="Arial" w:cs="Arial" w:eastAsia="Arial" w:hAnsi="Arial"/>
          <w:i/>
          <w:iCs/>
          <w:sz w:val="24"/>
          <w:szCs w:val="24"/>
        </w:rPr>
        <w:t xml:space="preserve">Programación de las actividades de revisión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200"/>
        <w:gridCol w:w="4638"/>
        <w:gridCol w:w="1500"/>
        <w:gridCol w:w="1500"/>
      </w:tblGrid>
      <w:tr>
        <w:trPr>
          <w:cantSplit/>
          <w:tblHeader/>
        </w:trPr>
        <w:tc>
          <w:tcPr>
            <w:tcW w:type="dxa" w:w="12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Frecuencia</w:t>
            </w:r>
          </w:p>
        </w:tc>
        <w:tc>
          <w:tcPr>
            <w:tcW w:type="dxa" w:w="46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Actividad</w:t>
            </w:r>
          </w:p>
        </w:tc>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Responsable</w:t>
            </w:r>
          </w:p>
        </w:tc>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Evidencia</w:t>
            </w:r>
          </w:p>
        </w:tc>
      </w:tr>
      <w:tr>
        <w:trPr>
          <w:cantSplit/>
        </w:trPr>
        <w:tc>
          <w:tcPr>
            <w:tcW w:type="dxa" w:w="1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Diaria</w:t>
            </w:r>
          </w:p>
        </w:tc>
        <w:tc>
          <w:tcPr>
            <w:tcW w:type="dxa" w:w="4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Revisar alertas de disponibilidad y de EDR. Confirmar que se ejecutaron los respaldos automáticos</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Responsable de seguridad</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Bitácora operativa</w:t>
            </w:r>
          </w:p>
        </w:tc>
      </w:tr>
      <w:tr>
        <w:trPr>
          <w:cantSplit/>
        </w:trPr>
        <w:tc>
          <w:tcPr>
            <w:tcW w:type="dxa" w:w="1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Semanal</w:t>
            </w:r>
          </w:p>
        </w:tc>
        <w:tc>
          <w:tcPr>
            <w:tcW w:type="dxa" w:w="4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Aplicar parches y actualizaciones de sistemas, WordPress, </w:t>
            </w:r>
            <w:r>
              <w:rPr>
                <w:rFonts w:ascii="Arial" w:cs="Arial" w:eastAsia="Arial" w:hAnsi="Arial"/>
                <w:i/>
                <w:iCs/>
                <w:sz w:val="18"/>
                <w:szCs w:val="18"/>
              </w:rPr>
              <w:t xml:space="preserve">plugins</w:t>
            </w:r>
            <w:r>
              <w:rPr>
                <w:rFonts w:ascii="Arial" w:cs="Arial" w:eastAsia="Arial" w:hAnsi="Arial"/>
                <w:sz w:val="18"/>
                <w:szCs w:val="18"/>
              </w:rPr>
              <w:t xml:space="preserve"> y Moodle, probados antes en una copia, con ventana de cambio y reversión. Ejecutar el escaneo de vulnerabilidades</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Responsable de seguridad</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Reporte de parches y de escaneo</w:t>
            </w:r>
          </w:p>
        </w:tc>
      </w:tr>
      <w:tr>
        <w:trPr>
          <w:cantSplit/>
        </w:trPr>
        <w:tc>
          <w:tcPr>
            <w:tcW w:type="dxa" w:w="1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Mensual</w:t>
            </w:r>
          </w:p>
        </w:tc>
        <w:tc>
          <w:tcPr>
            <w:tcW w:type="dxa" w:w="4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Restaurar una muestra de respaldos y verificar su hash SHA-256. Revisar accesos de terceros, accesos a hojas con datos personales y bitácoras. Emitir el informe de cobertura de MFA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Responsable de seguridad</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Acta de restauración e informe de MFA</w:t>
            </w:r>
          </w:p>
        </w:tc>
      </w:tr>
      <w:tr>
        <w:trPr>
          <w:cantSplit/>
        </w:trPr>
        <w:tc>
          <w:tcPr>
            <w:tcW w:type="dxa" w:w="1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Trimestral</w:t>
            </w:r>
          </w:p>
        </w:tc>
        <w:tc>
          <w:tcPr>
            <w:tcW w:type="dxa" w:w="4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Simulacro de </w:t>
            </w:r>
            <w:r>
              <w:rPr>
                <w:rFonts w:ascii="Arial" w:cs="Arial" w:eastAsia="Arial" w:hAnsi="Arial"/>
                <w:i/>
                <w:iCs/>
                <w:sz w:val="18"/>
                <w:szCs w:val="18"/>
              </w:rPr>
              <w:t xml:space="preserve">phishing</w:t>
            </w:r>
            <w:r>
              <w:rPr>
                <w:rFonts w:ascii="Arial" w:cs="Arial" w:eastAsia="Arial" w:hAnsi="Arial"/>
                <w:sz w:val="18"/>
                <w:szCs w:val="18"/>
              </w:rPr>
              <w:t xml:space="preserve">. Prueba de conmutación de la base de datos. Revisión del registro de riesgos, de los permisos por rol y de las cuentas privilegiadas, que aprueban las personas responsables de área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Comité</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Informe trimestral</w:t>
            </w:r>
          </w:p>
        </w:tc>
      </w:tr>
      <w:tr>
        <w:trPr>
          <w:cantSplit/>
        </w:trPr>
        <w:tc>
          <w:tcPr>
            <w:tcW w:type="dxa" w:w="1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Semestral</w:t>
            </w:r>
          </w:p>
        </w:tc>
        <w:tc>
          <w:tcPr>
            <w:tcW w:type="dxa" w:w="4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Simulacro de recuperación ante desastres (el primero en el mes 9). Revisión de contratos y niveles de servicio de proveedores. Rotación de claves. Revisión del inventario de dispositivos conectados</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Comité y proveedores</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Informe del simulacro y del inventario</w:t>
            </w:r>
          </w:p>
        </w:tc>
      </w:tr>
      <w:tr>
        <w:trPr>
          <w:cantSplit/>
        </w:trPr>
        <w:tc>
          <w:tcPr>
            <w:tcW w:type="dxa" w:w="1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Anual</w:t>
            </w:r>
          </w:p>
        </w:tc>
        <w:tc>
          <w:tcPr>
            <w:tcW w:type="dxa" w:w="4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Prueba de penetración externa. Auditoría independiente que toma como criterios la LFPDPPP e ISO/IEC 27001, con revisión de la seguridad física. Revisión del apetito de riesgo y de este plan</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Dirección y comité</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Informe anual y plan actualizado</w:t>
            </w:r>
          </w:p>
        </w:tc>
      </w:tr>
      <w:tr>
        <w:trPr>
          <w:cantSplit/>
        </w:trPr>
        <w:tc>
          <w:tcPr>
            <w:tcW w:type="dxa" w:w="1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Tras cada incidente</w:t>
            </w:r>
          </w:p>
        </w:tc>
        <w:tc>
          <w:tcPr>
            <w:tcW w:type="dxa" w:w="4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Revisión posterior y actualización de controles y procedimientos</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Comité</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Informe de lecciones aprendidas</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Pérez Rodríguez (2025) y Melaku (2023).</w:t>
      </w:r>
    </w:p>
    <w:p>
      <w:pPr>
        <w:pStyle w:val="Heading3"/>
        <w:keepNext/>
        <w:spacing w:after="0" w:before="0" w:line="360" w:lineRule="auto"/>
        <w:jc w:val="left"/>
      </w:pPr>
      <w:r>
        <w:rPr>
          <w:rFonts w:ascii="Arial" w:cs="Arial" w:eastAsia="Arial" w:hAnsi="Arial"/>
          <w:b/>
          <w:bCs/>
          <w:i/>
          <w:iCs/>
          <w:color w:val="000000"/>
          <w:sz w:val="24"/>
          <w:szCs w:val="24"/>
        </w:rPr>
        <w:t xml:space="preserve">5.6 Capacitación y cultura de seguridad</w:t>
      </w:r>
    </w:p>
    <w:p>
      <w:pPr>
        <w:spacing w:after="0" w:before="0" w:line="360" w:lineRule="auto"/>
        <w:ind w:firstLine="720"/>
        <w:jc w:val="both"/>
      </w:pPr>
      <w:r>
        <w:rPr>
          <w:rFonts w:ascii="Arial" w:cs="Arial" w:eastAsia="Arial" w:hAnsi="Arial"/>
          <w:sz w:val="24"/>
          <w:szCs w:val="24"/>
        </w:rPr>
        <w:t xml:space="preserve">El </w:t>
      </w:r>
      <w:r>
        <w:rPr>
          <w:rFonts w:ascii="Arial" w:cs="Arial" w:eastAsia="Arial" w:hAnsi="Arial"/>
          <w:i/>
          <w:iCs/>
          <w:sz w:val="24"/>
          <w:szCs w:val="24"/>
        </w:rPr>
        <w:t xml:space="preserve">phishing</w:t>
      </w:r>
      <w:r>
        <w:rPr>
          <w:rFonts w:ascii="Arial" w:cs="Arial" w:eastAsia="Arial" w:hAnsi="Arial"/>
          <w:sz w:val="24"/>
          <w:szCs w:val="24"/>
        </w:rPr>
        <w:t xml:space="preserve"> y la ingeniería social explotan la falta de formación (Pérez Rodríguez, 2025), y Mitnick (citado por Mata, 2025) sostiene que las debilidades humanas permiten vulnerar incluso la seguridad más fuerte. Los ataques internos aumentaron 47 % en dos años (Ponemon Institute, 2020, citado por Ballestero, 2020). Por eso propongo el programa de concienciación de Melaku (2023): una sesión inicial para todo el personal, simulacros trimestrales de </w:t>
      </w:r>
      <w:r>
        <w:rPr>
          <w:rFonts w:ascii="Arial" w:cs="Arial" w:eastAsia="Arial" w:hAnsi="Arial"/>
          <w:i/>
          <w:iCs/>
          <w:sz w:val="24"/>
          <w:szCs w:val="24"/>
        </w:rPr>
        <w:t xml:space="preserve">phishing</w:t>
      </w:r>
      <w:r>
        <w:rPr>
          <w:rFonts w:ascii="Arial" w:cs="Arial" w:eastAsia="Arial" w:hAnsi="Arial"/>
          <w:sz w:val="24"/>
          <w:szCs w:val="24"/>
        </w:rPr>
        <w:t xml:space="preserve">, cápsulas sobre contraseñas, uso de IA y datos personales, y un canal para reportar incidentes sin temor a represalias (Pérez Rodríguez, 2025).</w:t>
      </w:r>
    </w:p>
    <w:p>
      <w:pPr>
        <w:pStyle w:val="Heading2"/>
        <w:keepNext/>
        <w:spacing w:after="0" w:before="0" w:line="360" w:lineRule="auto"/>
        <w:jc w:val="left"/>
      </w:pPr>
      <w:r>
        <w:rPr>
          <w:rFonts w:ascii="Arial" w:cs="Arial" w:eastAsia="Arial" w:hAnsi="Arial"/>
          <w:b/>
          <w:bCs/>
          <w:color w:val="000000"/>
          <w:sz w:val="24"/>
          <w:szCs w:val="24"/>
        </w:rPr>
        <w:t xml:space="preserve">6. Relación del plan con mi trabajo actual</w:t>
      </w:r>
    </w:p>
    <w:p>
      <w:pPr>
        <w:spacing w:after="0" w:before="0" w:line="360" w:lineRule="auto"/>
        <w:ind w:firstLine="720"/>
        <w:jc w:val="both"/>
      </w:pPr>
      <w:r>
        <w:rPr>
          <w:rFonts w:ascii="Arial" w:cs="Arial" w:eastAsia="Arial" w:hAnsi="Arial"/>
          <w:sz w:val="24"/>
          <w:szCs w:val="24"/>
        </w:rPr>
        <w:t xml:space="preserve">Las acciones del plan parten de las funciones que desempeño hoy en el CIESS. La Tabla 8 compara, por función, los controles que ya existen con las brechas que encuentro y con la acción del plan. Las brechas de política de mi Reto 3 (Navarrete Flores, 2026), como el aviso de privacidad y el uso de IA, se convierten aquí en actividades con responsables y fechas.</w:t>
      </w:r>
    </w:p>
    <w:p>
      <w:pPr>
        <w:keepNext/>
        <w:spacing w:after="0" w:before="0" w:line="360" w:lineRule="auto"/>
      </w:pPr>
      <w:r>
        <w:rPr>
          <w:rFonts w:ascii="Arial" w:cs="Arial" w:eastAsia="Arial" w:hAnsi="Arial"/>
          <w:b/>
          <w:bCs/>
          <w:sz w:val="24"/>
          <w:szCs w:val="24"/>
        </w:rPr>
        <w:t xml:space="preserve">Tabla 8</w:t>
      </w:r>
    </w:p>
    <w:p>
      <w:pPr>
        <w:keepNext/>
        <w:spacing w:after="0" w:before="0" w:line="360" w:lineRule="auto"/>
      </w:pPr>
      <w:r>
        <w:rPr>
          <w:rFonts w:ascii="Arial" w:cs="Arial" w:eastAsia="Arial" w:hAnsi="Arial"/>
          <w:i/>
          <w:iCs/>
          <w:sz w:val="24"/>
          <w:szCs w:val="24"/>
        </w:rPr>
        <w:t xml:space="preserve">Relación entre mi trabajo actual y el plan de gestión de riesgos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338"/>
        <w:gridCol w:w="2300"/>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Función actual</w:t>
            </w:r>
          </w:p>
        </w:tc>
        <w:tc>
          <w:tcPr>
            <w:tcW w:type="dxa" w:w="2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Controles que ya existen</w:t>
            </w:r>
          </w:p>
        </w:tc>
        <w:tc>
          <w:tcPr>
            <w:tcW w:type="dxa" w:w="23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Brecha</w:t>
            </w:r>
          </w:p>
        </w:tc>
        <w:tc>
          <w:tcPr>
            <w:tcW w:type="dxa" w:w="23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Acción del plan</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Sistema de registro del congreso (desarrollo y operación)</w:t>
            </w:r>
          </w:p>
        </w:tc>
        <w:tc>
          <w:tcPr>
            <w:tcW w:type="dxa" w:w="2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PostgreSQL 16 gestionado con conexión cifrada. Roles y auditoría. Campo señuelo, tiempo mínimo de llenado y tope por red con huella irreversible de la IP. Réplica en Google Sheets. Aviso de privacidad trilingüe, pendiente de validación jurídica</w:t>
            </w:r>
          </w:p>
        </w:tc>
        <w:tc>
          <w:tcPr>
            <w:tcW w:type="dxa" w:w="2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Sin segundo factor en el panel, sin nodo en espera y sin pruebas de restauración documentadas. La conexión cifrada no valida el certificado del servidor y la aplicación usa la cuenta administradora de la base</w:t>
            </w:r>
          </w:p>
        </w:tc>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MFA en el panel y rotación de secretos (R3). Usuario de aplicación con mínimo privilegio y validación del certificado (R3, R7). Nodo en espera y restauración mensual (R5). CDN y WAF (R6)</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Sitio web institucional y micrositios</w:t>
            </w:r>
          </w:p>
        </w:tc>
        <w:tc>
          <w:tcPr>
            <w:tcW w:type="dxa" w:w="2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Respaldos y optimización continua como parte de mis funciones</w:t>
            </w:r>
          </w:p>
        </w:tc>
        <w:tc>
          <w:tcPr>
            <w:tcW w:type="dxa" w:w="2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No hay calendario formal de parches, ni WAF, ni segundo factor, y el sitio usa el aviso de privacidad de la CISS (hallazgo del Reto 3)</w:t>
            </w:r>
          </w:p>
        </w:tc>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Parcheo semanal, CDN/WAF, llaves FIDO2 y respaldo 3-2-1 (R1, R3, R4). Aviso de privacidad propio, a cargo del enlace de protección de datos (R7)</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Campus virtual y herramientas propias (constancias y actas)</w:t>
            </w:r>
          </w:p>
        </w:tc>
        <w:tc>
          <w:tcPr>
            <w:tcW w:type="dxa" w:w="2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Constancias con código QR</w:t>
            </w:r>
          </w:p>
        </w:tc>
        <w:tc>
          <w:tcPr>
            <w:tcW w:type="dxa" w:w="2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Las constancias públicas exponen datos personales sin plazo de publicación ni procedimiento de retiro (hallazgo del Reto 3)</w:t>
            </w:r>
          </w:p>
        </w:tc>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Plazo de publicación y retiro, hash SHA-256 por constancia y bitácoras de administración (R7, R9)</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Reportes en Google Sheets y sesiones en línea (Zoom y Meet)</w:t>
            </w:r>
          </w:p>
        </w:tc>
        <w:tc>
          <w:tcPr>
            <w:tcW w:type="dxa" w:w="2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Acceso controlado por cuenta y dos plataformas de videoconferencia</w:t>
            </w:r>
          </w:p>
        </w:tc>
        <w:tc>
          <w:tcPr>
            <w:tcW w:type="dxa" w:w="2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Hojas con datos personales sin clasificación ni revisión de accesos. Sin procedimiento escrito para cambiar de plataforma</w:t>
            </w:r>
          </w:p>
        </w:tc>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Clasificación y revisión mensual de accesos (R7). Alternativa de servicio en el BCP (R10)</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Desarrollo con asistentes de IA y </w:t>
            </w:r>
            <w:r>
              <w:rPr>
                <w:rFonts w:ascii="Arial" w:cs="Arial" w:eastAsia="Arial" w:hAnsi="Arial"/>
                <w:i/>
                <w:iCs/>
                <w:sz w:val="18"/>
                <w:szCs w:val="18"/>
              </w:rPr>
              <w:t xml:space="preserve">chatbot</w:t>
            </w:r>
            <w:r>
              <w:rPr>
                <w:rFonts w:ascii="Arial" w:cs="Arial" w:eastAsia="Arial" w:hAnsi="Arial"/>
                <w:sz w:val="18"/>
                <w:szCs w:val="18"/>
              </w:rPr>
              <w:t xml:space="preserve"> en pruebas</w:t>
            </w:r>
          </w:p>
        </w:tc>
        <w:tc>
          <w:tcPr>
            <w:tcW w:type="dxa" w:w="2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Reviso y pruebo todo en una copia antes de publicar. No comparto contraseñas ni datos personales reales con el asistente</w:t>
            </w:r>
          </w:p>
        </w:tc>
        <w:tc>
          <w:tcPr>
            <w:tcW w:type="dxa" w:w="23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No existe política de uso de IA ni inventario de funciones de IA activas (hallazgo del Reto 3)</w:t>
            </w:r>
          </w:p>
        </w:tc>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Política de uso de IA y de datos, y revisión de los términos de los proveedores (R7, R10)</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a partir de mis funciones en el CIESS y de Navarrete Flores (2026).</w:t>
      </w:r>
    </w:p>
    <w:p>
      <w:pPr>
        <w:spacing w:after="0" w:before="0" w:line="360" w:lineRule="auto"/>
        <w:ind w:firstLine="720"/>
        <w:jc w:val="both"/>
      </w:pPr>
      <w:r>
        <w:rPr>
          <w:rFonts w:ascii="Arial" w:cs="Arial" w:eastAsia="Arial" w:hAnsi="Arial"/>
          <w:sz w:val="24"/>
          <w:szCs w:val="24"/>
        </w:rPr>
        <w:t xml:space="preserve">Una brecha no aparece en la tabla y es la más importante: la administración de estas piezas se concentra hoy en una sola persona. Es el riesgo R9, y el plan lo atiende con una segunda persona administradora, manuales de recuperación y una cuenta de emergencia custodiada por la Dirección. Como desarrollador, aplico además seguridad desde el diseño en cada herramienta que construyo, como ya lo hice en el sistema del congreso.</w:t>
      </w:r>
    </w:p>
    <w:p>
      <w:pPr>
        <w:pStyle w:val="Heading1"/>
        <w:keepNext/>
        <w:spacing w:after="0" w:before="0" w:line="360" w:lineRule="auto"/>
        <w:jc w:val="center"/>
      </w:pPr>
      <w:r>
        <w:rPr>
          <w:rFonts w:ascii="Arial" w:cs="Arial" w:eastAsia="Arial" w:hAnsi="Arial"/>
          <w:b/>
          <w:bCs/>
          <w:color w:val="000000"/>
          <w:sz w:val="24"/>
          <w:szCs w:val="24"/>
        </w:rPr>
        <w:t xml:space="preserve">Conclusión</w:t>
      </w:r>
    </w:p>
    <w:p>
      <w:pPr>
        <w:spacing w:after="0" w:before="0" w:line="360" w:lineRule="auto"/>
        <w:ind w:firstLine="720"/>
        <w:jc w:val="both"/>
      </w:pPr>
      <w:r>
        <w:rPr>
          <w:rFonts w:ascii="Arial" w:cs="Arial" w:eastAsia="Arial" w:hAnsi="Arial"/>
          <w:sz w:val="24"/>
          <w:szCs w:val="24"/>
        </w:rPr>
        <w:t xml:space="preserve">El plan sigue el marco de Melaku (2023) y lo adapta al tamaño y al contexto del CIESS. Identifica diez riesgos, prioriza los dos de nivel Alto, ambos de identidad, y propone invertir 10,098 USD en el primer año para reducir la pérdida anual esperada en 39,100 USD, con objetivos de recuperación medibles, protocolos de acceso, revisiones programadas y una respuesta a incidentes que considera su aspecto penal. El siguiente paso es presentarlo a la Dirección para su aprobación y, una vez aprobado, constituir el comité e iniciar los controles de identidad y respaldos.</w:t>
      </w:r>
    </w:p>
    <w:p>
      <w:pPr>
        <w:pStyle w:val="Heading1"/>
        <w:keepNext/>
        <w:spacing w:after="0" w:before="0" w:line="360" w:lineRule="auto"/>
        <w:jc w:val="center"/>
      </w:pPr>
      <w:r>
        <w:rPr>
          <w:rFonts w:ascii="Arial" w:cs="Arial" w:eastAsia="Arial" w:hAnsi="Arial"/>
          <w:b/>
          <w:bCs/>
          <w:color w:val="000000"/>
          <w:sz w:val="24"/>
          <w:szCs w:val="24"/>
        </w:rPr>
        <w:t xml:space="preserve">Referencias</w:t>
      </w:r>
    </w:p>
    <w:p>
      <w:pPr>
        <w:spacing w:after="0" w:before="0" w:line="360" w:lineRule="auto"/>
        <w:ind w:left="720" w:hanging="720"/>
        <w:jc w:val="left"/>
      </w:pPr>
      <w:r>
        <w:rPr>
          <w:rFonts w:ascii="Arial" w:cs="Arial" w:eastAsia="Arial" w:hAnsi="Arial"/>
          <w:sz w:val="24"/>
          <w:szCs w:val="24"/>
        </w:rPr>
        <w:t xml:space="preserve">Ballestero, F. (2020). La ciberseguridad en tiempos difíciles: ¿Nos ocupamos de ella o nos preocupamos por ella? </w:t>
      </w:r>
      <w:r>
        <w:rPr>
          <w:rFonts w:ascii="Arial" w:cs="Arial" w:eastAsia="Arial" w:hAnsi="Arial"/>
          <w:i/>
          <w:iCs/>
          <w:sz w:val="24"/>
          <w:szCs w:val="24"/>
        </w:rPr>
        <w:t xml:space="preserve">Boletín Económico de ICE</w:t>
      </w:r>
      <w:r>
        <w:rPr>
          <w:rFonts w:ascii="Arial" w:cs="Arial" w:eastAsia="Arial" w:hAnsi="Arial"/>
          <w:sz w:val="24"/>
          <w:szCs w:val="24"/>
        </w:rPr>
        <w:t xml:space="preserve">, (3122), 39–48. </w:t>
      </w:r>
      <w:hyperlink w:history="1" r:id="rIdd9sy3c3aodjjgp41pkr9m">
        <w:r>
          <w:rPr>
            <w:rStyle w:val="Hyperlink"/>
            <w:rFonts w:ascii="Arial" w:cs="Arial" w:eastAsia="Arial" w:hAnsi="Arial"/>
            <w:sz w:val="24"/>
            <w:szCs w:val="24"/>
          </w:rPr>
          <w:t xml:space="preserve">https://doi.org/10.32796/bice.2020.3122.6993</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(14 de agosto de 1931). </w:t>
      </w:r>
      <w:r>
        <w:rPr>
          <w:rFonts w:ascii="Arial" w:cs="Arial" w:eastAsia="Arial" w:hAnsi="Arial"/>
          <w:i/>
          <w:iCs/>
          <w:sz w:val="24"/>
          <w:szCs w:val="24"/>
        </w:rPr>
        <w:t xml:space="preserve">Código Penal Federal</w:t>
      </w:r>
      <w:r>
        <w:rPr>
          <w:rFonts w:ascii="Arial" w:cs="Arial" w:eastAsia="Arial" w:hAnsi="Arial"/>
          <w:sz w:val="24"/>
          <w:szCs w:val="24"/>
        </w:rPr>
        <w:t xml:space="preserve">. Diario Oficial de la Federación. México: Cámara de Diputados del Honorable Congreso de la Unión. Recuperado el 11 de octubre de 2026, de </w:t>
      </w:r>
      <w:hyperlink w:history="1" r:id="rId1bgaoydmvngufd9p9kryq">
        <w:r>
          <w:rPr>
            <w:rStyle w:val="Hyperlink"/>
            <w:rFonts w:ascii="Arial" w:cs="Arial" w:eastAsia="Arial" w:hAnsi="Arial"/>
            <w:sz w:val="24"/>
            <w:szCs w:val="24"/>
          </w:rPr>
          <w:t xml:space="preserve">https://www.diputados.gob.mx/LeyesBiblio/pdf/CPF.pdf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 de marzo de 2025). </w:t>
      </w:r>
      <w:r>
        <w:rPr>
          <w:rFonts w:ascii="Arial" w:cs="Arial" w:eastAsia="Arial" w:hAnsi="Arial"/>
          <w:i/>
          <w:iCs/>
          <w:sz w:val="24"/>
          <w:szCs w:val="24"/>
        </w:rPr>
        <w:t xml:space="preserve">Ley Federal de Protección de Datos Personales en Posesión de los Particulares</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opd43yxpn_ipebhympeo_">
        <w:r>
          <w:rPr>
            <w:rStyle w:val="Hyperlink"/>
            <w:rFonts w:ascii="Arial" w:cs="Arial" w:eastAsia="Arial" w:hAnsi="Arial"/>
            <w:sz w:val="24"/>
            <w:szCs w:val="24"/>
          </w:rPr>
          <w:t xml:space="preserve">https://www.diputados.gob.mx/LeyesBiblio/pdf/LFPDPPP.pdf</w:t>
        </w:r>
      </w:hyperlink>
    </w:p>
    <w:p>
      <w:pPr>
        <w:spacing w:after="0" w:before="0" w:line="360" w:lineRule="auto"/>
        <w:ind w:left="720" w:hanging="720"/>
        <w:jc w:val="left"/>
      </w:pPr>
      <w:r>
        <w:rPr>
          <w:rFonts w:ascii="Arial" w:cs="Arial" w:eastAsia="Arial" w:hAnsi="Arial"/>
          <w:sz w:val="24"/>
          <w:szCs w:val="24"/>
        </w:rPr>
        <w:t xml:space="preserve">Mata, A. E. (2025). </w:t>
      </w:r>
      <w:r>
        <w:rPr>
          <w:rFonts w:ascii="Arial" w:cs="Arial" w:eastAsia="Arial" w:hAnsi="Arial"/>
          <w:i/>
          <w:iCs/>
          <w:sz w:val="24"/>
          <w:szCs w:val="24"/>
        </w:rPr>
        <w:t xml:space="preserve">Ciberseguridad para todos: aprende, protege y responde</w:t>
      </w:r>
      <w:r>
        <w:rPr>
          <w:rFonts w:ascii="Arial" w:cs="Arial" w:eastAsia="Arial" w:hAnsi="Arial"/>
          <w:sz w:val="24"/>
          <w:szCs w:val="24"/>
        </w:rPr>
        <w:t xml:space="preserve">. RA-MA. </w:t>
      </w:r>
      <w:hyperlink w:history="1" r:id="rIdo6xflvy4ftowpcdtwbluy">
        <w:r>
          <w:rPr>
            <w:rStyle w:val="Hyperlink"/>
            <w:rFonts w:ascii="Arial" w:cs="Arial" w:eastAsia="Arial" w:hAnsi="Arial"/>
            <w:sz w:val="24"/>
            <w:szCs w:val="24"/>
          </w:rPr>
          <w:t xml:space="preserve">https://elibro.net/es/ereader/bibliotecauveg/285276?page=13</w:t>
        </w:r>
      </w:hyperlink>
    </w:p>
    <w:p>
      <w:pPr>
        <w:spacing w:after="0" w:before="0" w:line="360" w:lineRule="auto"/>
        <w:ind w:left="720" w:hanging="720"/>
        <w:jc w:val="left"/>
      </w:pPr>
      <w:r>
        <w:rPr>
          <w:rFonts w:ascii="Arial" w:cs="Arial" w:eastAsia="Arial" w:hAnsi="Arial"/>
          <w:sz w:val="24"/>
          <w:szCs w:val="24"/>
        </w:rPr>
        <w:t xml:space="preserve">Melaku, H. M. (2023). Context-based and adaptive cybersecurity risk management framework. </w:t>
      </w:r>
      <w:r>
        <w:rPr>
          <w:rFonts w:ascii="Arial" w:cs="Arial" w:eastAsia="Arial" w:hAnsi="Arial"/>
          <w:i/>
          <w:iCs/>
          <w:sz w:val="24"/>
          <w:szCs w:val="24"/>
        </w:rPr>
        <w:t xml:space="preserve">Risks</w:t>
      </w:r>
      <w:r>
        <w:rPr>
          <w:rFonts w:ascii="Arial" w:cs="Arial" w:eastAsia="Arial" w:hAnsi="Arial"/>
          <w:sz w:val="24"/>
          <w:szCs w:val="24"/>
        </w:rPr>
        <w:t xml:space="preserve">, </w:t>
      </w:r>
      <w:r>
        <w:rPr>
          <w:rFonts w:ascii="Arial" w:cs="Arial" w:eastAsia="Arial" w:hAnsi="Arial"/>
          <w:i/>
          <w:iCs/>
          <w:sz w:val="24"/>
          <w:szCs w:val="24"/>
        </w:rPr>
        <w:t xml:space="preserve">11</w:t>
      </w:r>
      <w:r>
        <w:rPr>
          <w:rFonts w:ascii="Arial" w:cs="Arial" w:eastAsia="Arial" w:hAnsi="Arial"/>
          <w:sz w:val="24"/>
          <w:szCs w:val="24"/>
        </w:rPr>
        <w:t xml:space="preserve">(6), Artículo 101. </w:t>
      </w:r>
      <w:hyperlink w:history="1" r:id="rIdvebvbfji3mdq26vjvxslq">
        <w:r>
          <w:rPr>
            <w:rStyle w:val="Hyperlink"/>
            <w:rFonts w:ascii="Arial" w:cs="Arial" w:eastAsia="Arial" w:hAnsi="Arial"/>
            <w:sz w:val="24"/>
            <w:szCs w:val="24"/>
          </w:rPr>
          <w:t xml:space="preserve">https://doi.org/10.3390/risks11060101</w:t>
        </w:r>
      </w:hyperlink>
    </w:p>
    <w:p>
      <w:pPr>
        <w:spacing w:after="0" w:before="0" w:line="360" w:lineRule="auto"/>
        <w:ind w:left="720" w:hanging="720"/>
        <w:jc w:val="left"/>
      </w:pPr>
      <w:r>
        <w:rPr>
          <w:rFonts w:ascii="Arial" w:cs="Arial" w:eastAsia="Arial" w:hAnsi="Arial"/>
          <w:sz w:val="24"/>
          <w:szCs w:val="24"/>
        </w:rPr>
        <w:t xml:space="preserve">National Institute of Standards and Technology. (2024). </w:t>
      </w:r>
      <w:r>
        <w:rPr>
          <w:rFonts w:ascii="Arial" w:cs="Arial" w:eastAsia="Arial" w:hAnsi="Arial"/>
          <w:i/>
          <w:iCs/>
          <w:sz w:val="24"/>
          <w:szCs w:val="24"/>
        </w:rPr>
        <w:t xml:space="preserve">The NIST cybersecurity framework (CSF) 2.0</w:t>
      </w:r>
      <w:r>
        <w:rPr>
          <w:rFonts w:ascii="Arial" w:cs="Arial" w:eastAsia="Arial" w:hAnsi="Arial"/>
          <w:sz w:val="24"/>
          <w:szCs w:val="24"/>
        </w:rPr>
        <w:t xml:space="preserve"> (NIST CSWP 29). </w:t>
      </w:r>
      <w:hyperlink w:history="1" r:id="rIdiwtpzpsunghn7lqybfcae">
        <w:r>
          <w:rPr>
            <w:rStyle w:val="Hyperlink"/>
            <w:rFonts w:ascii="Arial" w:cs="Arial" w:eastAsia="Arial" w:hAnsi="Arial"/>
            <w:sz w:val="24"/>
            <w:szCs w:val="24"/>
          </w:rPr>
          <w:t xml:space="preserve">https://doi.org/10.6028/NIST.CSWP.29</w:t>
        </w:r>
      </w:hyperlink>
    </w:p>
    <w:p>
      <w:pPr>
        <w:spacing w:after="0" w:before="0" w:line="360" w:lineRule="auto"/>
        <w:ind w:left="720" w:hanging="720"/>
        <w:jc w:val="left"/>
      </w:pPr>
      <w:r>
        <w:rPr>
          <w:rFonts w:ascii="Arial" w:cs="Arial" w:eastAsia="Arial" w:hAnsi="Arial"/>
          <w:sz w:val="24"/>
          <w:szCs w:val="24"/>
        </w:rPr>
        <w:t xml:space="preserve">Navarrete Flores, A. D. (2026). </w:t>
      </w:r>
      <w:r>
        <w:rPr>
          <w:rFonts w:ascii="Arial" w:cs="Arial" w:eastAsia="Arial" w:hAnsi="Arial"/>
          <w:i/>
          <w:iCs/>
          <w:sz w:val="24"/>
          <w:szCs w:val="24"/>
        </w:rPr>
        <w:t xml:space="preserve">Normatividad aplicable al uso de la ciencia de datos y la inteligencia artificial en el CIESS: evaluación y recomendaciones</w:t>
      </w:r>
      <w:r>
        <w:rPr>
          <w:rFonts w:ascii="Arial" w:cs="Arial" w:eastAsia="Arial" w:hAnsi="Arial"/>
          <w:sz w:val="24"/>
          <w:szCs w:val="24"/>
        </w:rPr>
        <w:t xml:space="preserve"> [Reto 3, trabajo no publicado]. Universidad Virtual del Estado de Guanajuato.</w:t>
      </w:r>
    </w:p>
    <w:p>
      <w:pPr>
        <w:spacing w:after="0" w:before="0" w:line="360" w:lineRule="auto"/>
        <w:ind w:left="720" w:hanging="720"/>
        <w:jc w:val="left"/>
      </w:pPr>
      <w:r>
        <w:rPr>
          <w:rFonts w:ascii="Arial" w:cs="Arial" w:eastAsia="Arial" w:hAnsi="Arial"/>
          <w:sz w:val="24"/>
          <w:szCs w:val="24"/>
        </w:rPr>
        <w:t xml:space="preserve">Pérez Rodríguez, M. D. (Coord.). (2025). </w:t>
      </w:r>
      <w:r>
        <w:rPr>
          <w:rFonts w:ascii="Arial" w:cs="Arial" w:eastAsia="Arial" w:hAnsi="Arial"/>
          <w:i/>
          <w:iCs/>
          <w:sz w:val="24"/>
          <w:szCs w:val="24"/>
        </w:rPr>
        <w:t xml:space="preserve">Seguridad de la información y ciberseguridad en la empresa</w:t>
      </w:r>
      <w:r>
        <w:rPr>
          <w:rFonts w:ascii="Arial" w:cs="Arial" w:eastAsia="Arial" w:hAnsi="Arial"/>
          <w:sz w:val="24"/>
          <w:szCs w:val="24"/>
        </w:rPr>
        <w:t xml:space="preserve">. ICB. </w:t>
      </w:r>
      <w:hyperlink w:history="1" r:id="rIdyif4ppsfsyfkxpwvtftfa">
        <w:r>
          <w:rPr>
            <w:rStyle w:val="Hyperlink"/>
            <w:rFonts w:ascii="Arial" w:cs="Arial" w:eastAsia="Arial" w:hAnsi="Arial"/>
            <w:sz w:val="24"/>
            <w:szCs w:val="24"/>
          </w:rPr>
          <w:t xml:space="preserve">https://elibro.net/es/ereader/bibliotecauveg/283847?page=6</w:t>
        </w:r>
      </w:hyperlink>
    </w:p>
    <w:p>
      <w:pPr>
        <w:spacing w:after="0" w:before="0" w:line="360" w:lineRule="auto"/>
        <w:ind w:left="720" w:hanging="720"/>
        <w:jc w:val="left"/>
      </w:pPr>
      <w:r>
        <w:rPr>
          <w:rFonts w:ascii="Arial" w:cs="Arial" w:eastAsia="Arial" w:hAnsi="Arial"/>
          <w:sz w:val="24"/>
          <w:szCs w:val="24"/>
        </w:rPr>
        <w:t xml:space="preserve">Torres Calvillo, O. T. (s.f.-a). </w:t>
      </w:r>
      <w:r>
        <w:rPr>
          <w:rFonts w:ascii="Arial" w:cs="Arial" w:eastAsia="Arial" w:hAnsi="Arial"/>
          <w:i/>
          <w:iCs/>
          <w:sz w:val="24"/>
          <w:szCs w:val="24"/>
        </w:rPr>
        <w:t xml:space="preserve">Ataque por internet de las cosas</w:t>
      </w:r>
      <w:r>
        <w:rPr>
          <w:rFonts w:ascii="Arial" w:cs="Arial" w:eastAsia="Arial" w:hAnsi="Arial"/>
          <w:sz w:val="24"/>
          <w:szCs w:val="24"/>
        </w:rPr>
        <w:t xml:space="preserve"> [Texto de la Lección 8]. Universidad Virtual del Estado de Guanajuato.</w:t>
      </w:r>
    </w:p>
    <w:p>
      <w:pPr>
        <w:spacing w:after="0" w:before="0" w:line="360" w:lineRule="auto"/>
        <w:ind w:left="720" w:hanging="720"/>
        <w:jc w:val="left"/>
      </w:pPr>
      <w:r>
        <w:rPr>
          <w:rFonts w:ascii="Arial" w:cs="Arial" w:eastAsia="Arial" w:hAnsi="Arial"/>
          <w:sz w:val="24"/>
          <w:szCs w:val="24"/>
        </w:rPr>
        <w:t xml:space="preserve">Torres Calvillo, O. T. (s.f.-b). </w:t>
      </w:r>
      <w:r>
        <w:rPr>
          <w:rFonts w:ascii="Arial" w:cs="Arial" w:eastAsia="Arial" w:hAnsi="Arial"/>
          <w:i/>
          <w:iCs/>
          <w:sz w:val="24"/>
          <w:szCs w:val="24"/>
        </w:rPr>
        <w:t xml:space="preserve">Lucha contra el ciber-riesgo</w:t>
      </w:r>
      <w:r>
        <w:rPr>
          <w:rFonts w:ascii="Arial" w:cs="Arial" w:eastAsia="Arial" w:hAnsi="Arial"/>
          <w:sz w:val="24"/>
          <w:szCs w:val="24"/>
        </w:rPr>
        <w:t xml:space="preserve"> [Texto de la Lección 8]. Universidad Virtual del Estado de Guanajuato.</w:t>
      </w:r>
    </w:p>
    <w:p>
      <w:pPr>
        <w:spacing w:after="0" w:before="0" w:line="360" w:lineRule="auto"/>
        <w:ind w:left="720" w:hanging="720"/>
        <w:jc w:val="left"/>
      </w:pPr>
      <w:r>
        <w:rPr>
          <w:rFonts w:ascii="Arial" w:cs="Arial" w:eastAsia="Arial" w:hAnsi="Arial"/>
          <w:sz w:val="24"/>
          <w:szCs w:val="24"/>
        </w:rPr>
        <w:t xml:space="preserve">Torres Calvillo, O. T. (s.f.-c). </w:t>
      </w:r>
      <w:r>
        <w:rPr>
          <w:rFonts w:ascii="Arial" w:cs="Arial" w:eastAsia="Arial" w:hAnsi="Arial"/>
          <w:i/>
          <w:iCs/>
          <w:sz w:val="24"/>
          <w:szCs w:val="24"/>
        </w:rPr>
        <w:t xml:space="preserve">Principales ciber-riesgos</w:t>
      </w:r>
      <w:r>
        <w:rPr>
          <w:rFonts w:ascii="Arial" w:cs="Arial" w:eastAsia="Arial" w:hAnsi="Arial"/>
          <w:sz w:val="24"/>
          <w:szCs w:val="24"/>
        </w:rPr>
        <w:t xml:space="preserve"> [Texto de la Lección 8]. Universidad Virtual del Estado de Guanajuato.</w:t>
      </w:r>
    </w:p>
    <w:p>
      <w:pPr>
        <w:spacing w:after="0" w:before="0" w:line="360" w:lineRule="auto"/>
        <w:ind w:left="720" w:hanging="720"/>
        <w:jc w:val="left"/>
      </w:pPr>
      <w:r>
        <w:rPr>
          <w:rFonts w:ascii="Arial" w:cs="Arial" w:eastAsia="Arial" w:hAnsi="Arial"/>
          <w:sz w:val="24"/>
          <w:szCs w:val="24"/>
        </w:rPr>
        <w:t xml:space="preserve">Universidad Virtual del Estado de Guanajuato. (s.f.). </w:t>
      </w:r>
      <w:r>
        <w:rPr>
          <w:rFonts w:ascii="Arial" w:cs="Arial" w:eastAsia="Arial" w:hAnsi="Arial"/>
          <w:i/>
          <w:iCs/>
          <w:sz w:val="24"/>
          <w:szCs w:val="24"/>
        </w:rPr>
        <w:t xml:space="preserve">Delitos informáticos</w:t>
      </w:r>
      <w:r>
        <w:rPr>
          <w:rFonts w:ascii="Arial" w:cs="Arial" w:eastAsia="Arial" w:hAnsi="Arial"/>
          <w:sz w:val="24"/>
          <w:szCs w:val="24"/>
        </w:rPr>
        <w:t xml:space="preserve"> [Texto de la Lección 9]. Universidad Virtual del Estado de Guanajuato.</w:t>
      </w:r>
    </w:p>
    <w:sectPr>
      <w:headerReference w:type="default" r:id="rId7"/>
      <w:headerReference w:type="first" r:id="rId8"/>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spacing w:after="0" w:before="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spacing w:after="0" w:before="0" w:line="360" w:lineRule="auto"/>
      <w:outlineLvl w:val="2"/>
    </w:pPr>
    <w:rPr>
      <w:rFonts w:ascii="Arial" w:cs="Arial" w:eastAsia="Arial" w:hAnsi="Arial"/>
      <w:b/>
      <w:bCs/>
      <w:i/>
      <w:i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d9sy3c3aodjjgp41pkr9m" Type="http://schemas.openxmlformats.org/officeDocument/2006/relationships/hyperlink" Target="https://doi.org/10.32796/bice.2020.3122.6993" TargetMode="External"/><Relationship Id="rId1bgaoydmvngufd9p9kryq" Type="http://schemas.openxmlformats.org/officeDocument/2006/relationships/hyperlink" Target="https://www.diputados.gob.mx/LeyesBiblio/pdf/CPF.pdf" TargetMode="External"/><Relationship Id="rIdopd43yxpn_ipebhympeo_" Type="http://schemas.openxmlformats.org/officeDocument/2006/relationships/hyperlink" Target="https://www.diputados.gob.mx/LeyesBiblio/pdf/LFPDPPP.pdf" TargetMode="External"/><Relationship Id="rIdo6xflvy4ftowpcdtwbluy" Type="http://schemas.openxmlformats.org/officeDocument/2006/relationships/hyperlink" Target="https://elibro.net/es/ereader/bibliotecauveg/285276?page=13" TargetMode="External"/><Relationship Id="rIdvebvbfji3mdq26vjvxslq" Type="http://schemas.openxmlformats.org/officeDocument/2006/relationships/hyperlink" Target="https://doi.org/10.3390/risks11060101" TargetMode="External"/><Relationship Id="rIdiwtpzpsunghn7lqybfcae" Type="http://schemas.openxmlformats.org/officeDocument/2006/relationships/hyperlink" Target="https://doi.org/10.6028/NIST.CSWP.29" TargetMode="External"/><Relationship Id="rIdyif4ppsfsyfkxpwvtftfa" Type="http://schemas.openxmlformats.org/officeDocument/2006/relationships/hyperlink" Target="https://elibro.net/es/ereader/bibliotecauveg/283847?page=6" TargetMode="External"/><Relationship Id="rId9" Type="http://schemas.openxmlformats.org/officeDocument/2006/relationships/image" Target="media/5951818202f0ae4061aa00d74cf0fca5c1ca172b.png"/><Relationship Id="rId10" Type="http://schemas.openxmlformats.org/officeDocument/2006/relationships/image" Target="media/759452d37c7609302b9d34d617285dd8479bc98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integral de gestión de riesgos informáticos del CIESS: estabilidad, accesibilidad y disponibilidad de funciones y bases de datos</dc:title>
  <dc:creator>Arturo David Navarrete Flores</dc:creator>
  <cp:lastModifiedBy>Un-named</cp:lastModifiedBy>
  <cp:revision>1</cp:revision>
  <dcterms:created xsi:type="dcterms:W3CDTF">2026-10-11T10:48:23.758Z</dcterms:created>
  <dcterms:modified xsi:type="dcterms:W3CDTF">2026-10-11T10:48:23.758Z</dcterms:modified>
</cp:coreProperties>
</file>

<file path=docProps/custom.xml><?xml version="1.0" encoding="utf-8"?>
<Properties xmlns="http://schemas.openxmlformats.org/officeDocument/2006/custom-properties" xmlns:vt="http://schemas.openxmlformats.org/officeDocument/2006/docPropsVTypes"/>
</file>