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line="360" w:lineRule="auto"/>
        <w:jc w:val="center"/>
      </w:pPr>
      <w:r>
        <w:rPr>
          <w:rFonts w:ascii="Arial" w:cs="Arial" w:eastAsia="Arial" w:hAnsi="Arial"/>
          <w:b/>
          <w:bCs/>
          <w:sz w:val="24"/>
          <w:szCs w:val="24"/>
        </w:rPr>
        <w:t xml:space="preserve">Universidad Virtual del Estado de Guanajuato</w:t>
      </w:r>
    </w:p>
    <w:p>
      <w:pPr>
        <w:spacing w:after="0" w:before="0" w:line="360" w:lineRule="auto"/>
        <w:jc w:val="center"/>
      </w:pPr>
      <w:r>
        <w:rPr>
          <w:rFonts w:ascii="Arial" w:cs="Arial" w:eastAsia="Arial" w:hAnsi="Arial"/>
          <w:sz w:val="24"/>
          <w:szCs w:val="24"/>
        </w:rPr>
        <w:t xml:space="preserve">Maestría en Inteligencia Artificial</w:t>
      </w:r>
    </w:p>
    <w:p>
      <w:pPr>
        <w:spacing w:after="0" w:before="480" w:line="360" w:lineRule="auto"/>
        <w:jc w:val="center"/>
      </w:pPr>
      <w:r>
        <w:rPr>
          <w:rFonts w:ascii="Arial" w:cs="Arial" w:eastAsia="Arial" w:hAnsi="Arial"/>
          <w:b/>
          <w:bCs/>
          <w:sz w:val="24"/>
          <w:szCs w:val="24"/>
        </w:rPr>
        <w:t xml:space="preserve">Módulo:</w:t>
      </w:r>
      <w:r>
        <w:rPr>
          <w:rFonts w:ascii="Arial" w:cs="Arial" w:eastAsia="Arial" w:hAnsi="Arial"/>
          <w:sz w:val="24"/>
          <w:szCs w:val="24"/>
        </w:rPr>
        <w:t xml:space="preserve"> </w:t>
      </w:r>
      <w:r>
        <w:rPr>
          <w:rFonts w:ascii="Arial" w:cs="Arial" w:eastAsia="Arial" w:hAnsi="Arial"/>
          <w:sz w:val="24"/>
          <w:szCs w:val="24"/>
          <w:shd w:fill="FFFF00" w:color="auto" w:val="clear"/>
        </w:rPr>
        <w:t xml:space="preserve">[Nombre del módulo]</w:t>
      </w:r>
    </w:p>
    <w:p>
      <w:pPr>
        <w:spacing w:after="0" w:before="0" w:line="360" w:lineRule="auto"/>
        <w:jc w:val="center"/>
      </w:pPr>
      <w:r>
        <w:rPr>
          <w:rFonts w:ascii="Arial" w:cs="Arial" w:eastAsia="Arial" w:hAnsi="Arial"/>
          <w:b/>
          <w:bCs/>
          <w:sz w:val="24"/>
          <w:szCs w:val="24"/>
        </w:rPr>
        <w:t xml:space="preserve">Reto 2:</w:t>
      </w:r>
      <w:r>
        <w:rPr>
          <w:rFonts w:ascii="Arial" w:cs="Arial" w:eastAsia="Arial" w:hAnsi="Arial"/>
          <w:sz w:val="24"/>
          <w:szCs w:val="24"/>
        </w:rPr>
        <w:t xml:space="preserve"> Prospectiva de aspectos éticos involucrados en los avances de la ciencia de datos e IA</w:t>
      </w:r>
    </w:p>
    <w:p>
      <w:pPr>
        <w:spacing w:after="0" w:before="600" w:line="360" w:lineRule="auto"/>
        <w:jc w:val="center"/>
      </w:pPr>
      <w:r>
        <w:rPr>
          <w:rFonts w:ascii="Arial" w:cs="Arial" w:eastAsia="Arial" w:hAnsi="Arial"/>
          <w:b/>
          <w:bCs/>
          <w:sz w:val="24"/>
          <w:szCs w:val="24"/>
        </w:rPr>
        <w:t xml:space="preserve">Entre la eficiencia y la responsabilidad: dilemas éticos del uso de la inteligencia artificial en los procesos académicos del CIESS</w:t>
      </w:r>
    </w:p>
    <w:p>
      <w:pPr>
        <w:spacing w:after="0" w:before="720" w:line="360" w:lineRule="auto"/>
        <w:jc w:val="center"/>
      </w:pPr>
      <w:r>
        <w:rPr>
          <w:rFonts w:ascii="Arial" w:cs="Arial" w:eastAsia="Arial" w:hAnsi="Arial"/>
          <w:b/>
          <w:bCs/>
          <w:sz w:val="24"/>
          <w:szCs w:val="24"/>
        </w:rPr>
        <w:t xml:space="preserve">Nombre del alumno:</w:t>
      </w:r>
      <w:r>
        <w:rPr>
          <w:rFonts w:ascii="Arial" w:cs="Arial" w:eastAsia="Arial" w:hAnsi="Arial"/>
          <w:sz w:val="24"/>
          <w:szCs w:val="24"/>
        </w:rPr>
        <w:t xml:space="preserve"> Arturo David Navarrete Flores</w:t>
      </w:r>
    </w:p>
    <w:p>
      <w:pPr>
        <w:spacing w:after="0" w:before="0" w:line="360" w:lineRule="auto"/>
        <w:jc w:val="center"/>
      </w:pPr>
      <w:r>
        <w:rPr>
          <w:rFonts w:ascii="Arial" w:cs="Arial" w:eastAsia="Arial" w:hAnsi="Arial"/>
          <w:b/>
          <w:bCs/>
          <w:sz w:val="24"/>
          <w:szCs w:val="24"/>
        </w:rPr>
        <w:t xml:space="preserve">Número de matrícula:</w:t>
      </w:r>
      <w:r>
        <w:rPr>
          <w:rFonts w:ascii="Arial" w:cs="Arial" w:eastAsia="Arial" w:hAnsi="Arial"/>
          <w:sz w:val="24"/>
          <w:szCs w:val="24"/>
        </w:rPr>
        <w:t xml:space="preserve"> 26014842</w:t>
      </w:r>
    </w:p>
    <w:p>
      <w:pPr>
        <w:spacing w:after="0" w:before="0" w:line="360" w:lineRule="auto"/>
        <w:jc w:val="center"/>
      </w:pPr>
      <w:r>
        <w:rPr>
          <w:rFonts w:ascii="Arial" w:cs="Arial" w:eastAsia="Arial" w:hAnsi="Arial"/>
          <w:b/>
          <w:bCs/>
          <w:sz w:val="24"/>
          <w:szCs w:val="24"/>
        </w:rPr>
        <w:t xml:space="preserve">Nombre del asesor:</w:t>
      </w:r>
      <w:r>
        <w:rPr>
          <w:rFonts w:ascii="Arial" w:cs="Arial" w:eastAsia="Arial" w:hAnsi="Arial"/>
          <w:sz w:val="24"/>
          <w:szCs w:val="24"/>
        </w:rPr>
        <w:t xml:space="preserve"> </w:t>
      </w:r>
      <w:r>
        <w:rPr>
          <w:rFonts w:ascii="Arial" w:cs="Arial" w:eastAsia="Arial" w:hAnsi="Arial"/>
          <w:sz w:val="24"/>
          <w:szCs w:val="24"/>
          <w:shd w:fill="FFFF00" w:color="auto" w:val="clear"/>
        </w:rPr>
        <w:t xml:space="preserve">[Nombre del asesor o asesora]</w:t>
      </w:r>
    </w:p>
    <w:p>
      <w:pPr>
        <w:spacing w:after="0" w:before="0" w:line="360" w:lineRule="auto"/>
        <w:jc w:val="center"/>
      </w:pPr>
      <w:r>
        <w:rPr>
          <w:rFonts w:ascii="Arial" w:cs="Arial" w:eastAsia="Arial" w:hAnsi="Arial"/>
          <w:b/>
          <w:bCs/>
          <w:sz w:val="24"/>
          <w:szCs w:val="24"/>
        </w:rPr>
        <w:t xml:space="preserve">Fecha de entrega:</w:t>
      </w:r>
      <w:r>
        <w:rPr>
          <w:rFonts w:ascii="Arial" w:cs="Arial" w:eastAsia="Arial" w:hAnsi="Arial"/>
          <w:sz w:val="24"/>
          <w:szCs w:val="24"/>
        </w:rPr>
        <w:t xml:space="preserve"> </w:t>
      </w:r>
      <w:r>
        <w:rPr>
          <w:rFonts w:ascii="Arial" w:cs="Arial" w:eastAsia="Arial" w:hAnsi="Arial"/>
          <w:sz w:val="24"/>
          <w:szCs w:val="24"/>
          <w:shd w:fill="FFFF00" w:color="auto" w:val="clear"/>
        </w:rPr>
        <w:t xml:space="preserve">[Fecha de entrega]</w:t>
      </w:r>
    </w:p>
    <w:p>
      <w:pPr>
        <w:spacing w:after="0" w:before="0" w:line="360" w:lineRule="auto"/>
        <w:jc w:val="center"/>
      </w:pPr>
      <w:r>
        <w:rPr>
          <w:rFonts w:ascii="Arial" w:cs="Arial" w:eastAsia="Arial" w:hAnsi="Arial"/>
          <w:b/>
          <w:bCs/>
          <w:sz w:val="24"/>
          <w:szCs w:val="24"/>
        </w:rPr>
        <w:t xml:space="preserve">Declaratoria de originalidad:</w:t>
      </w:r>
      <w:r>
        <w:rPr>
          <w:rFonts w:ascii="Arial" w:cs="Arial" w:eastAsia="Arial" w:hAnsi="Arial"/>
          <w:sz w:val="24"/>
          <w:szCs w:val="24"/>
        </w:rPr>
        <w:t xml:space="preserve"> se adjunta el formato firmado</w:t>
      </w:r>
    </w:p>
    <w:p>
      <w:pPr>
        <w:pStyle w:val="Heading1"/>
        <w:keepNext/>
        <w:pageBreakBefore/>
        <w:spacing w:after="0" w:before="0" w:line="360" w:lineRule="auto"/>
        <w:jc w:val="center"/>
      </w:pPr>
      <w:r>
        <w:rPr>
          <w:rFonts w:ascii="Arial" w:cs="Arial" w:eastAsia="Arial" w:hAnsi="Arial"/>
          <w:b/>
          <w:bCs/>
          <w:color w:val="000000"/>
          <w:sz w:val="24"/>
          <w:szCs w:val="24"/>
        </w:rPr>
        <w:t xml:space="preserve">Entre la eficiencia y la responsabilidad: dilemas éticos del uso de la inteligencia artificial en los procesos académicos del CIESS</w:t>
      </w:r>
    </w:p>
    <w:p>
      <w:pPr>
        <w:pStyle w:val="Heading1"/>
        <w:keepNext/>
        <w:spacing w:after="0" w:before="0" w:line="360" w:lineRule="auto"/>
        <w:jc w:val="center"/>
      </w:pPr>
      <w:r>
        <w:rPr>
          <w:rFonts w:ascii="Arial" w:cs="Arial" w:eastAsia="Arial" w:hAnsi="Arial"/>
          <w:b/>
          <w:bCs/>
          <w:color w:val="000000"/>
          <w:sz w:val="24"/>
          <w:szCs w:val="24"/>
        </w:rPr>
        <w:t xml:space="preserve">Introducción</w:t>
      </w:r>
    </w:p>
    <w:p>
      <w:pPr>
        <w:spacing w:after="0" w:before="0" w:line="360" w:lineRule="auto"/>
        <w:ind w:firstLine="720"/>
        <w:jc w:val="both"/>
      </w:pPr>
      <w:r>
        <w:rPr>
          <w:rFonts w:ascii="Arial" w:cs="Arial" w:eastAsia="Arial" w:hAnsi="Arial"/>
          <w:sz w:val="24"/>
          <w:szCs w:val="24"/>
        </w:rPr>
        <w:t xml:space="preserve">El Centro Interamericano de Estudios de Seguridad Social (CIESS, s. f.-d) es el órgano de docencia, capacitación e investigación de la Conferencia Interamericana de Seguridad Social (CISS), un organismo internacional, técnico y sin fines de lucro que integra a más de 80 instituciones de 36 países. Laboro en esta institución, donde desarrollo y mantengo herramientas digitales que apoyan su operación académica: un sistema que automatiza la emisión de constancias, un sistema de registro para un congreso internacional y un complemento (</w:t>
      </w:r>
      <w:r>
        <w:rPr>
          <w:rFonts w:ascii="Arial" w:cs="Arial" w:eastAsia="Arial" w:hAnsi="Arial"/>
          <w:i/>
          <w:iCs/>
          <w:sz w:val="24"/>
          <w:szCs w:val="24"/>
        </w:rPr>
        <w:t xml:space="preserve">plugin</w:t>
      </w:r>
      <w:r>
        <w:rPr>
          <w:rFonts w:ascii="Arial" w:cs="Arial" w:eastAsia="Arial" w:hAnsi="Arial"/>
          <w:sz w:val="24"/>
          <w:szCs w:val="24"/>
        </w:rPr>
        <w:t xml:space="preserve">) del campus virtual que genera actas de calificaciones. Estas herramientas manejan datos de personas de numerosos países y se construyeron con apoyo de asistentes de inteligencia artificial (IA) generativa.</w:t>
      </w:r>
    </w:p>
    <w:p>
      <w:pPr>
        <w:spacing w:after="0" w:before="0" w:line="360" w:lineRule="auto"/>
        <w:ind w:firstLine="720"/>
        <w:jc w:val="both"/>
      </w:pPr>
      <w:r>
        <w:rPr>
          <w:rFonts w:ascii="Arial" w:cs="Arial" w:eastAsia="Arial" w:hAnsi="Arial"/>
          <w:sz w:val="24"/>
          <w:szCs w:val="24"/>
        </w:rPr>
        <w:t xml:space="preserve">En este contexto identifico cuatro dilemas éticos principales. El primero es el de la responsabilidad: cuando una tarea se automatiza, ¿quién responde por un error que se replica a escala? El segundo es el de la confidencialidad: ¿qué datos personales o institucionales pueden confiarse a plataformas y asistentes externos? El tercero es el de la transparencia: ¿cómo se deja constancia de qué hizo la máquina y qué hizo una persona? El cuarto es el del efecto sobre el trabajo del personal administrativo, que es el más expuesto a estas tecnologías.</w:t>
      </w:r>
    </w:p>
    <w:p>
      <w:pPr>
        <w:spacing w:after="0" w:before="0" w:line="360" w:lineRule="auto"/>
        <w:ind w:firstLine="720"/>
        <w:jc w:val="both"/>
      </w:pPr>
      <w:r>
        <w:rPr>
          <w:rFonts w:ascii="Arial" w:cs="Arial" w:eastAsia="Arial" w:hAnsi="Arial"/>
          <w:sz w:val="24"/>
          <w:szCs w:val="24"/>
        </w:rPr>
        <w:t xml:space="preserve">Sostengo que el dilema de fondo no es tecnológico, sino de responsabilidad. La automatización y la IA amplían lo que la institución puede hacer, pero también el alcance de sus errores; por ello deben acompañarse de personas identificables que respondan por sus resultados, de datos protegidos desde el diseño y de un rastro verificable de cada decisión.</w:t>
      </w:r>
    </w:p>
    <w:p>
      <w:pPr>
        <w:pStyle w:val="Heading1"/>
        <w:keepNext/>
        <w:spacing w:after="0" w:before="0" w:line="360" w:lineRule="auto"/>
        <w:jc w:val="center"/>
      </w:pPr>
      <w:r>
        <w:rPr>
          <w:rFonts w:ascii="Arial" w:cs="Arial" w:eastAsia="Arial" w:hAnsi="Arial"/>
          <w:b/>
          <w:bCs/>
          <w:color w:val="000000"/>
          <w:sz w:val="24"/>
          <w:szCs w:val="24"/>
        </w:rPr>
        <w:t xml:space="preserve">Desarrollo</w:t>
      </w:r>
    </w:p>
    <w:p>
      <w:pPr>
        <w:pStyle w:val="Heading2"/>
        <w:keepNext/>
        <w:spacing w:after="0" w:before="120" w:line="360" w:lineRule="auto"/>
        <w:jc w:val="left"/>
      </w:pPr>
      <w:r>
        <w:rPr>
          <w:rFonts w:ascii="Arial" w:cs="Arial" w:eastAsia="Arial" w:hAnsi="Arial"/>
          <w:b/>
          <w:bCs/>
          <w:color w:val="000000"/>
          <w:sz w:val="24"/>
          <w:szCs w:val="24"/>
        </w:rPr>
        <w:t xml:space="preserve">La ciencia de datos y la IA en la operación del CIESS</w:t>
      </w:r>
    </w:p>
    <w:p>
      <w:pPr>
        <w:spacing w:after="0" w:before="0" w:line="360" w:lineRule="auto"/>
        <w:ind w:firstLine="720"/>
        <w:jc w:val="both"/>
      </w:pPr>
      <w:r>
        <w:rPr>
          <w:rFonts w:ascii="Arial" w:cs="Arial" w:eastAsia="Arial" w:hAnsi="Arial"/>
          <w:sz w:val="24"/>
          <w:szCs w:val="24"/>
        </w:rPr>
        <w:t xml:space="preserve">El CIESS ofrece cursos, diplomados, seminarios, talleres y microaprendizajes con apoyo de su campus virtual. Cada actividad genera datos de inscripción, acreditación y calificaciones, así como documentos con valor curricular para quien los recibe. Mi trabajo consiste en reducir la carga manual de esos procesos. El sistema de constancias sustituyó un procedimiento de siete pasos manuales —entre ellos la composición en software de diseño, la generación del código QR y la publicación por FTP— por un flujo que se dispara desde una casilla de la base de datos académica: el sistema compone el documento, genera el QR, lo publica, verifica que la dirección responda y registra la emisión en un historial. El sistema de registro del congreso incluye un formulario trilingüe, un panel de estadísticas, el dictamen de ponencias y el consentimiento informado de cada participante. El complemento del campus virtual permite que el personal docente genere las actas de calificaciones sin salir de la plataforma ni descargar y volver a cargar archivos CSV.</w:t>
      </w:r>
    </w:p>
    <w:p>
      <w:pPr>
        <w:spacing w:after="0" w:before="0" w:line="360" w:lineRule="auto"/>
        <w:ind w:firstLine="720"/>
        <w:jc w:val="both"/>
      </w:pPr>
      <w:r>
        <w:rPr>
          <w:rFonts w:ascii="Arial" w:cs="Arial" w:eastAsia="Arial" w:hAnsi="Arial"/>
          <w:sz w:val="24"/>
          <w:szCs w:val="24"/>
        </w:rPr>
        <w:t xml:space="preserve">Conviene precisar que el motor de constancias es automatización basada en reglas y no aprendizaje automático. Aun así, enfrenta los mismos dilemas que un sistema de IA, porque delega en una máquina una tarea con consecuencias para personas reales, y se desarrolló con asistentes de IA generativa. Además, el CIESS imparte un microaprendizaje dirigido al personal administrativo y técnico de instituciones de seguridad social para usar de forma efectiva y responsable asistentes de IA generativa, con un módulo sobre uso responsable, ética y privacidad (CIESS, s. f.-c). Esto plantea una exigencia de coherencia: una institución que forma a otros en el uso responsable de la IA debe practicarlo en su propia operación, en línea con sus valores de integridad y transparencia (CIESS, s. f.-d).</w:t>
      </w:r>
    </w:p>
    <w:p>
      <w:pPr>
        <w:pStyle w:val="Heading2"/>
        <w:keepNext/>
        <w:spacing w:after="0" w:before="120" w:line="360" w:lineRule="auto"/>
        <w:jc w:val="left"/>
      </w:pPr>
      <w:r>
        <w:rPr>
          <w:rFonts w:ascii="Arial" w:cs="Arial" w:eastAsia="Arial" w:hAnsi="Arial"/>
          <w:b/>
          <w:bCs/>
          <w:color w:val="000000"/>
          <w:sz w:val="24"/>
          <w:szCs w:val="24"/>
        </w:rPr>
        <w:t xml:space="preserve">Primer dilema: eficiencia frente a responsabilidad</w:t>
      </w:r>
    </w:p>
    <w:p>
      <w:pPr>
        <w:spacing w:after="0" w:before="0" w:line="360" w:lineRule="auto"/>
        <w:ind w:firstLine="720"/>
        <w:jc w:val="both"/>
      </w:pPr>
      <w:r>
        <w:rPr>
          <w:rFonts w:ascii="Arial" w:cs="Arial" w:eastAsia="Arial" w:hAnsi="Arial"/>
          <w:sz w:val="24"/>
          <w:szCs w:val="24"/>
        </w:rPr>
        <w:t xml:space="preserve">Automatizar multiplica la capacidad, pero también multiplica el error. Un descuido al elaborar una constancia a mano afecta a una persona; el mismo descuido en un sistema que emite decenas de documentos con un clic afecta a todas. Lo viví a pequeña escala: al probar el sistema en una copia de la base de datos antes de conectarlo a la real, detectamos que las fechas llegaban en un formato distinto al esperado y que el cálculo del periodo habría publicado las constancias en una ruta inexistente. Lo detectó una persona que revisó el resultado, no la máquina.</w:t>
      </w:r>
    </w:p>
    <w:p>
      <w:pPr>
        <w:spacing w:after="0" w:before="0" w:line="360" w:lineRule="auto"/>
        <w:ind w:firstLine="720"/>
        <w:jc w:val="both"/>
      </w:pPr>
      <w:r>
        <w:rPr>
          <w:rFonts w:ascii="Arial" w:cs="Arial" w:eastAsia="Arial" w:hAnsi="Arial"/>
          <w:sz w:val="24"/>
          <w:szCs w:val="24"/>
        </w:rPr>
        <w:t xml:space="preserve">La literatura explica por qué esa revisión no debe darse por sentada. Parasuraman y Manzey (2010) describen que quienes supervisan sistemas automatizados tienden a la complacencia y al sesgo de automatización: confían en el sistema y verifican menos su resultado, lo que puede producir errores de omisión y de comisión. Cuando el error ocurre, la responsabilidad suele recaer en quien está más cerca de la máquina. Elish (2019) llama zonas de deformación moral (</w:t>
      </w:r>
      <w:r>
        <w:rPr>
          <w:rFonts w:ascii="Arial" w:cs="Arial" w:eastAsia="Arial" w:hAnsi="Arial"/>
          <w:i/>
          <w:iCs/>
          <w:sz w:val="24"/>
          <w:szCs w:val="24"/>
        </w:rPr>
        <w:t xml:space="preserve">moral crumple zones</w:t>
      </w:r>
      <w:r>
        <w:rPr>
          <w:rFonts w:ascii="Arial" w:cs="Arial" w:eastAsia="Arial" w:hAnsi="Arial"/>
          <w:sz w:val="24"/>
          <w:szCs w:val="24"/>
        </w:rPr>
        <w:t xml:space="preserve">) a esta situación, en la que la persona que opera un sistema automatizado, con control limitado sobre él, absorbe la culpa de sus fallas mientras el sistema queda protegido.</w:t>
      </w:r>
    </w:p>
    <w:p>
      <w:pPr>
        <w:spacing w:after="0" w:before="0" w:line="360" w:lineRule="auto"/>
        <w:ind w:firstLine="720"/>
        <w:jc w:val="both"/>
      </w:pPr>
      <w:r>
        <w:rPr>
          <w:rFonts w:ascii="Arial" w:cs="Arial" w:eastAsia="Arial" w:hAnsi="Arial"/>
          <w:sz w:val="24"/>
          <w:szCs w:val="24"/>
        </w:rPr>
        <w:t xml:space="preserve">La IA no puede asumir esa responsabilidad. Según Serafim et al. (2024), solo sigue reglas externas y emula criterios de juicio, sin experiencia moral, y Gzyl (2023) advierte que los generadores de texto no son responsables ni rinden cuentas por lo que producen. El debate sobre si una IA general llegaría a ser sujeto de derechos y deberes (Aguilar Blanc, 2023) es hoy prospectivo; lo que ya existe es la tentación de atribuir a la herramienta lo que corresponde a quien la diseña, la configura o la usa. Por eso la Recomendación de la Organización de las Naciones Unidas para la Educación, la Ciencia y la Cultura (UNESCO, 2022) establece que debe ser siempre posible atribuir la responsabilidad ética y jurídica de los sistemas de IA a personas físicas o a entidades jurídicas existentes, y la Organisation for Economic Co-operation and Development (OECD, 2024) incluye la rendición de cuentas entre sus principios.</w:t>
      </w:r>
    </w:p>
    <w:p>
      <w:pPr>
        <w:spacing w:after="0" w:before="0" w:line="360" w:lineRule="auto"/>
        <w:ind w:firstLine="720"/>
        <w:jc w:val="both"/>
      </w:pPr>
      <w:r>
        <w:rPr>
          <w:rFonts w:ascii="Arial" w:cs="Arial" w:eastAsia="Arial" w:hAnsi="Arial"/>
          <w:sz w:val="24"/>
          <w:szCs w:val="24"/>
        </w:rPr>
        <w:t xml:space="preserve">Mi postura es que la eficiencia es legítima, pero no puede lograrse a costa de diluir la responsabilidad. En el sistema de constancias esto se tradujo en decisiones de diseño concretas: el folio y los datos oficiales se leen de los registros que mantiene Registro Escolar en lugar de calcularse por el sistema; el sistema valida los datos mínimos y rechaza expresamente lo que no puede hacer bien, como las constancias en inglés, para las cuales no existe plantilla; y cada emisión queda en un historial con versión y marca de tiempo. A ello añado un criterio de gestión: quien activa una emisión es una persona identificable y responde por ella.</w:t>
      </w:r>
    </w:p>
    <w:p>
      <w:pPr>
        <w:pStyle w:val="Heading2"/>
        <w:keepNext/>
        <w:spacing w:after="0" w:before="120" w:line="360" w:lineRule="auto"/>
        <w:jc w:val="left"/>
      </w:pPr>
      <w:r>
        <w:rPr>
          <w:rFonts w:ascii="Arial" w:cs="Arial" w:eastAsia="Arial" w:hAnsi="Arial"/>
          <w:b/>
          <w:bCs/>
          <w:color w:val="000000"/>
          <w:sz w:val="24"/>
          <w:szCs w:val="24"/>
        </w:rPr>
        <w:t xml:space="preserve">Segundo dilema: datos personales y herramientas externas</w:t>
      </w:r>
    </w:p>
    <w:p>
      <w:pPr>
        <w:spacing w:after="0" w:before="0" w:line="360" w:lineRule="auto"/>
        <w:ind w:firstLine="720"/>
        <w:jc w:val="both"/>
      </w:pPr>
      <w:r>
        <w:rPr>
          <w:rFonts w:ascii="Arial" w:cs="Arial" w:eastAsia="Arial" w:hAnsi="Arial"/>
          <w:sz w:val="24"/>
          <w:szCs w:val="24"/>
        </w:rPr>
        <w:t xml:space="preserve">Las actividades del CIESS reúnen datos de participantes de numerosos países: nombres, correos, instituciones, fotografías, calificaciones y, en las inscripciones, documentos de identidad. Hoy esa documentación se recibe por correo electrónico en un único buzón (CIESS, s. f.-b), un canal que no ofrece los controles de un formulario con aviso de privacidad y almacenamiento acotado. Además, el aviso que acompaña a la convocatoria de registro de investigadores limita el uso de los datos a mantener el contacto con la persona y establece que no se difundirán, pero en esa página no menciona los derechos ARCO ni las transferencias (CIESS, s. f.-a).</w:t>
      </w:r>
    </w:p>
    <w:p>
      <w:pPr>
        <w:spacing w:after="0" w:before="0" w:line="360" w:lineRule="auto"/>
        <w:ind w:firstLine="720"/>
        <w:jc w:val="both"/>
      </w:pPr>
      <w:r>
        <w:rPr>
          <w:rFonts w:ascii="Arial" w:cs="Arial" w:eastAsia="Arial" w:hAnsi="Arial"/>
          <w:sz w:val="24"/>
          <w:szCs w:val="24"/>
        </w:rPr>
        <w:t xml:space="preserve">Los sistemas que desarrollo se apoyan, además, en servicios de terceros (hojas de cálculo y almacenamiento en la nube, correo transaccional, alojamiento) y, durante su desarrollo, en asistentes de IA generativa. El dilema está entre la comodidad de usar la herramienta más capaz y el deber de proteger lo que las personas confiaron a la institución. Hay dos riesgos distintos. El primero es la exposición: Carlini et al. (2021) demostraron que es posible extraer fragmentos textuales de los datos de entrenamiento de un modelo de lenguaje, incluidos nombres, teléfonos y correos electrónicos, por lo que conviene suponer que lo que se entrega a una herramienta externa podría salir de la institución si el proveedor lo usa para entrenar sus modelos. El segundo es el normativo: la Ley Federal de Protección de Datos Personales en Posesión de los Particulares, que en 2025 sustituyó a la de 2010, exige informar al titular mediante un aviso de privacidad y tratar sus datos de forma legítima (Cámara de Diputados del Honorable Congreso de la Unión [CDHCU], 2025). Aunque el CIESS, como organismo internacional, cuenta con su propio régimen, la tomo como referencia mínima, junto con el principio de privacidad y protección de datos de la UNESCO (2022).</w:t>
      </w:r>
    </w:p>
    <w:p>
      <w:pPr>
        <w:spacing w:after="0" w:before="0" w:line="360" w:lineRule="auto"/>
        <w:ind w:firstLine="720"/>
        <w:jc w:val="both"/>
      </w:pPr>
      <w:r>
        <w:rPr>
          <w:rFonts w:ascii="Arial" w:cs="Arial" w:eastAsia="Arial" w:hAnsi="Arial"/>
          <w:sz w:val="24"/>
          <w:szCs w:val="24"/>
        </w:rPr>
        <w:t xml:space="preserve">Mis criterios para este dilema son cuatro. Primero, minimizar: no entregar datos personales reales ni credenciales a herramientas externas, y usar registros de demostración para desarrollar y probar, como lo permite el sistema de registro del congreso. Segundo, evitar copias intermedias: el complemento del campus obtiene las calificaciones directamente de Moodle con los permisos de cada docente, de modo que dejan de circular archivos CSV con datos de estudiantes. Tercero, incorporar el consentimiento y el aviso de privacidad desde el diseño y limitar quién ve qué: el registro del congreso contempla la ley mexicana y las normativas de Brasil y de la Unión Europea, y su panel de análisis —con mapas, tableros y una proyección de inscripciones por regresión lineal simple— restringe el acceso por roles y deja un registro de auditoría. Cuarto, revisar el aviso de privacidad institucional para que mencione expresamente el tratamiento mediante plataformas de terceros y los derechos de las personas.</w:t>
      </w:r>
    </w:p>
    <w:p>
      <w:pPr>
        <w:pStyle w:val="Heading2"/>
        <w:keepNext/>
        <w:spacing w:after="0" w:before="120" w:line="360" w:lineRule="auto"/>
        <w:jc w:val="left"/>
      </w:pPr>
      <w:r>
        <w:rPr>
          <w:rFonts w:ascii="Arial" w:cs="Arial" w:eastAsia="Arial" w:hAnsi="Arial"/>
          <w:b/>
          <w:bCs/>
          <w:color w:val="000000"/>
          <w:sz w:val="24"/>
          <w:szCs w:val="24"/>
        </w:rPr>
        <w:t xml:space="preserve">Tercer dilema: transparencia y trazabilidad</w:t>
      </w:r>
    </w:p>
    <w:p>
      <w:pPr>
        <w:spacing w:after="0" w:before="0" w:line="360" w:lineRule="auto"/>
        <w:ind w:firstLine="720"/>
        <w:jc w:val="both"/>
      </w:pPr>
      <w:r>
        <w:rPr>
          <w:rFonts w:ascii="Arial" w:cs="Arial" w:eastAsia="Arial" w:hAnsi="Arial"/>
          <w:sz w:val="24"/>
          <w:szCs w:val="24"/>
        </w:rPr>
        <w:t xml:space="preserve">Una constancia o un acta tienen valor porque se confía en su autenticidad. Por eso cada constancia lleva un código QR que apunta al archivo publicado, el sistema comprueba que la dirección responda antes de darla por emitida y la versión anterior se archiva cuando se corrige un dato. Esa trazabilidad se acerca a lo que Floridi et al. (2018) llaman explicabilidad: no solo entender cómo funciona un sistema, sino saber quién responde por él. La UNESCO (2022) y la OECD (2024) también exigen transparencia y explicabilidad, y el CIESS reconoce la integridad y la transparencia entre sus valores (CIESS, s. f.-d).</w:t>
      </w:r>
    </w:p>
    <w:p>
      <w:pPr>
        <w:spacing w:after="0" w:before="0" w:line="360" w:lineRule="auto"/>
        <w:ind w:firstLine="720"/>
        <w:jc w:val="both"/>
      </w:pPr>
      <w:r>
        <w:rPr>
          <w:rFonts w:ascii="Arial" w:cs="Arial" w:eastAsia="Arial" w:hAnsi="Arial"/>
          <w:sz w:val="24"/>
          <w:szCs w:val="24"/>
        </w:rPr>
        <w:t xml:space="preserve">La transparencia tiene también una dimensión personal: declarar cuándo se usó IA. Los sistemas descritos se construyeron con asistentes de IA generativa, y considero que debe quedar documentado qué generó la herramienta, qué revisó y probó una persona y con qué criterios, de la misma manera en que se citan las fuentes en un trabajo académico. Ocultar el uso de IA no es un problema técnico, sino de honestidad, y erosiona la confianza en documentos que valen precisamente por esa confianza.</w:t>
      </w:r>
    </w:p>
    <w:p>
      <w:pPr>
        <w:pStyle w:val="Heading2"/>
        <w:keepNext/>
        <w:spacing w:after="0" w:before="120" w:line="360" w:lineRule="auto"/>
        <w:jc w:val="left"/>
      </w:pPr>
      <w:r>
        <w:rPr>
          <w:rFonts w:ascii="Arial" w:cs="Arial" w:eastAsia="Arial" w:hAnsi="Arial"/>
          <w:b/>
          <w:bCs/>
          <w:color w:val="000000"/>
          <w:sz w:val="24"/>
          <w:szCs w:val="24"/>
        </w:rPr>
        <w:t xml:space="preserve">Cuarto dilema: las personas y el trabajo</w:t>
      </w:r>
    </w:p>
    <w:p>
      <w:pPr>
        <w:spacing w:after="0" w:before="0" w:line="360" w:lineRule="auto"/>
        <w:ind w:firstLine="720"/>
        <w:jc w:val="both"/>
      </w:pPr>
      <w:r>
        <w:rPr>
          <w:rFonts w:ascii="Arial" w:cs="Arial" w:eastAsia="Arial" w:hAnsi="Arial"/>
          <w:sz w:val="24"/>
          <w:szCs w:val="24"/>
        </w:rPr>
        <w:t xml:space="preserve">Pasar de siete pasos manuales a uno libera tiempo del personal, pero también cambia su papel. Según la Organización Internacional del Trabajo, las ocupaciones administrativas son las más expuestas a la IA generativa; sin embargo, el efecto dominante sería aumentar las tareas más que eliminar empleos, y el principal riesgo está en la calidad del trabajo, en particular en su intensidad y su autonomía (Gmyrek et al., 2023). Si el tiempo ganado solo se traduce en más carga, la automatización empeora el trabajo en lugar de mejorarlo. No dispongo de un cronometraje formal del procedimiento manual anterior, por lo que hablo de pasos y no de horas ahorradas.</w:t>
      </w:r>
    </w:p>
    <w:p>
      <w:pPr>
        <w:spacing w:after="0" w:before="0" w:line="360" w:lineRule="auto"/>
        <w:ind w:firstLine="720"/>
        <w:jc w:val="both"/>
      </w:pPr>
      <w:r>
        <w:rPr>
          <w:rFonts w:ascii="Arial" w:cs="Arial" w:eastAsia="Arial" w:hAnsi="Arial"/>
          <w:sz w:val="24"/>
          <w:szCs w:val="24"/>
        </w:rPr>
        <w:t xml:space="preserve">El dilema, entonces, no es si automatizar, sino qué hacer con el tiempo ganado: reasignarlo a tareas de mayor valor, como la atención personalizada a los participantes, la revisión de calidad y el diseño de nuevas actividades, y capacitar al personal para supervisar las herramientas y no solo para usarlas. El CIESS ya cuenta con esa capacidad formativa (CIESS, s. f.-c) y puede aplicarla hacia dentro.</w:t>
      </w:r>
    </w:p>
    <w:p>
      <w:pPr>
        <w:pStyle w:val="Heading2"/>
        <w:keepNext/>
        <w:spacing w:after="0" w:before="120" w:line="360" w:lineRule="auto"/>
        <w:jc w:val="left"/>
      </w:pPr>
      <w:r>
        <w:rPr>
          <w:rFonts w:ascii="Arial" w:cs="Arial" w:eastAsia="Arial" w:hAnsi="Arial"/>
          <w:b/>
          <w:bCs/>
          <w:color w:val="000000"/>
          <w:sz w:val="24"/>
          <w:szCs w:val="24"/>
        </w:rPr>
        <w:t xml:space="preserve">Mi perspectiva: cinco compromisos para un uso responsable</w:t>
      </w:r>
    </w:p>
    <w:p>
      <w:pPr>
        <w:spacing w:after="0" w:before="0" w:line="360" w:lineRule="auto"/>
        <w:ind w:firstLine="720"/>
        <w:jc w:val="both"/>
      </w:pPr>
      <w:r>
        <w:rPr>
          <w:rFonts w:ascii="Arial" w:cs="Arial" w:eastAsia="Arial" w:hAnsi="Arial"/>
          <w:sz w:val="24"/>
          <w:szCs w:val="24"/>
        </w:rPr>
        <w:t xml:space="preserve">A partir de lo anterior, propongo cinco compromisos para el uso de la IA y la automatización en los procesos académicos del CIESS:</w:t>
      </w:r>
    </w:p>
    <w:p>
      <w:pPr>
        <w:pStyle w:val="ListParagraph"/>
        <w:numPr>
          <w:ilvl w:val="0"/>
          <w:numId w:val="2"/>
        </w:numPr>
        <w:spacing w:after="0" w:before="0" w:line="360" w:lineRule="auto"/>
        <w:jc w:val="both"/>
      </w:pPr>
      <w:r>
        <w:rPr>
          <w:rFonts w:ascii="Arial" w:cs="Arial" w:eastAsia="Arial" w:hAnsi="Arial"/>
          <w:b/>
          <w:bCs/>
          <w:sz w:val="24"/>
          <w:szCs w:val="24"/>
        </w:rPr>
        <w:t xml:space="preserve">Un responsable nominal por cada proceso automatizado.</w:t>
      </w:r>
      <w:r>
        <w:rPr>
          <w:rFonts w:ascii="Arial" w:cs="Arial" w:eastAsia="Arial" w:hAnsi="Arial"/>
          <w:sz w:val="24"/>
          <w:szCs w:val="24"/>
        </w:rPr>
        <w:t xml:space="preserve"> Siempre habrá una persona identificable que responda por el resultado (UNESCO, 2022).</w:t>
      </w:r>
    </w:p>
    <w:p>
      <w:pPr>
        <w:pStyle w:val="ListParagraph"/>
        <w:numPr>
          <w:ilvl w:val="0"/>
          <w:numId w:val="2"/>
        </w:numPr>
        <w:spacing w:after="0" w:before="0" w:line="360" w:lineRule="auto"/>
        <w:jc w:val="both"/>
      </w:pPr>
      <w:r>
        <w:rPr>
          <w:rFonts w:ascii="Arial" w:cs="Arial" w:eastAsia="Arial" w:hAnsi="Arial"/>
          <w:b/>
          <w:bCs/>
          <w:sz w:val="24"/>
          <w:szCs w:val="24"/>
        </w:rPr>
        <w:t xml:space="preserve">Una persona en el circuito.</w:t>
      </w:r>
      <w:r>
        <w:rPr>
          <w:rFonts w:ascii="Arial" w:cs="Arial" w:eastAsia="Arial" w:hAnsi="Arial"/>
          <w:sz w:val="24"/>
          <w:szCs w:val="24"/>
        </w:rPr>
        <w:t xml:space="preserve"> Probar en una copia antes de pasar a producción y verificar una muestra antes de cada emisión masiva, para contrarrestar la complacencia (Parasuraman &amp; Manzey, 2010).</w:t>
      </w:r>
    </w:p>
    <w:p>
      <w:pPr>
        <w:pStyle w:val="ListParagraph"/>
        <w:numPr>
          <w:ilvl w:val="0"/>
          <w:numId w:val="2"/>
        </w:numPr>
        <w:spacing w:after="0" w:before="0" w:line="360" w:lineRule="auto"/>
        <w:jc w:val="both"/>
      </w:pPr>
      <w:r>
        <w:rPr>
          <w:rFonts w:ascii="Arial" w:cs="Arial" w:eastAsia="Arial" w:hAnsi="Arial"/>
          <w:b/>
          <w:bCs/>
          <w:sz w:val="24"/>
          <w:szCs w:val="24"/>
        </w:rPr>
        <w:t xml:space="preserve">Datos mínimos y protegidos.</w:t>
      </w:r>
      <w:r>
        <w:rPr>
          <w:rFonts w:ascii="Arial" w:cs="Arial" w:eastAsia="Arial" w:hAnsi="Arial"/>
          <w:sz w:val="24"/>
          <w:szCs w:val="24"/>
        </w:rPr>
        <w:t xml:space="preserve"> No entregar datos personales reales a herramientas externas, evitar copias intermedias y mantener un aviso de privacidad actualizado.</w:t>
      </w:r>
    </w:p>
    <w:p>
      <w:pPr>
        <w:pStyle w:val="ListParagraph"/>
        <w:numPr>
          <w:ilvl w:val="0"/>
          <w:numId w:val="2"/>
        </w:numPr>
        <w:spacing w:after="0" w:before="0" w:line="360" w:lineRule="auto"/>
        <w:jc w:val="both"/>
      </w:pPr>
      <w:r>
        <w:rPr>
          <w:rFonts w:ascii="Arial" w:cs="Arial" w:eastAsia="Arial" w:hAnsi="Arial"/>
          <w:b/>
          <w:bCs/>
          <w:sz w:val="24"/>
          <w:szCs w:val="24"/>
        </w:rPr>
        <w:t xml:space="preserve">Rastro verificable.</w:t>
      </w:r>
      <w:r>
        <w:rPr>
          <w:rFonts w:ascii="Arial" w:cs="Arial" w:eastAsia="Arial" w:hAnsi="Arial"/>
          <w:sz w:val="24"/>
          <w:szCs w:val="24"/>
        </w:rPr>
        <w:t xml:space="preserve"> Conservar el historial de emisiones y versiones, y una bitácora de dónde se usó IA en el desarrollo.</w:t>
      </w:r>
    </w:p>
    <w:p>
      <w:pPr>
        <w:pStyle w:val="ListParagraph"/>
        <w:numPr>
          <w:ilvl w:val="0"/>
          <w:numId w:val="2"/>
        </w:numPr>
        <w:spacing w:after="0" w:before="0" w:line="360" w:lineRule="auto"/>
        <w:jc w:val="both"/>
      </w:pPr>
      <w:r>
        <w:rPr>
          <w:rFonts w:ascii="Arial" w:cs="Arial" w:eastAsia="Arial" w:hAnsi="Arial"/>
          <w:b/>
          <w:bCs/>
          <w:sz w:val="24"/>
          <w:szCs w:val="24"/>
        </w:rPr>
        <w:t xml:space="preserve">Formación y transparencia.</w:t>
      </w:r>
      <w:r>
        <w:rPr>
          <w:rFonts w:ascii="Arial" w:cs="Arial" w:eastAsia="Arial" w:hAnsi="Arial"/>
          <w:sz w:val="24"/>
          <w:szCs w:val="24"/>
        </w:rPr>
        <w:t xml:space="preserve"> Capacitar al personal para supervisar las herramientas y declarar abiertamente cuándo se usó IA.</w:t>
      </w:r>
    </w:p>
    <w:p>
      <w:pPr>
        <w:pStyle w:val="Heading2"/>
        <w:keepNext/>
        <w:spacing w:after="0" w:before="120" w:line="360" w:lineRule="auto"/>
        <w:jc w:val="left"/>
      </w:pPr>
      <w:r>
        <w:rPr>
          <w:rFonts w:ascii="Arial" w:cs="Arial" w:eastAsia="Arial" w:hAnsi="Arial"/>
          <w:b/>
          <w:bCs/>
          <w:color w:val="000000"/>
          <w:sz w:val="24"/>
          <w:szCs w:val="24"/>
        </w:rPr>
        <w:t xml:space="preserve">Reflexión final</w:t>
      </w:r>
    </w:p>
    <w:p>
      <w:pPr>
        <w:spacing w:after="0" w:before="0" w:line="360" w:lineRule="auto"/>
        <w:ind w:firstLine="720"/>
        <w:jc w:val="both"/>
      </w:pPr>
      <w:r>
        <w:rPr>
          <w:rFonts w:ascii="Arial" w:cs="Arial" w:eastAsia="Arial" w:hAnsi="Arial"/>
          <w:sz w:val="24"/>
          <w:szCs w:val="24"/>
        </w:rPr>
        <w:t xml:space="preserve">La IA y la ciencia de datos ofrecen al CIESS una oportunidad real de atender a más personas con mayor calidad, pero no modifican una verdad básica: la herramienta no es un agente moral, y quien la diseña, la configura y la usa conserva la responsabilidad de sus resultados (Serafim et al., 2024). Mi experiencia desarrollando estos sistemas me enseñó que los riesgos más serios surgen al confiar en la tecnología sin verificarla, al compartir datos sin medir las consecuencias y al no dejar rastro de lo que se hizo. Por eso la ética no frena la innovación: es lo que permite que documentos como las constancias y las actas sigan valiendo. Una institución que enseña a otras a usar la IA de forma responsable tiene la oportunidad, y la obligación, de ser la primera en practicarlo.</w:t>
      </w:r>
    </w:p>
    <w:p>
      <w:pPr>
        <w:pStyle w:val="Heading1"/>
        <w:keepNext/>
        <w:pageBreakBefore/>
        <w:spacing w:after="0" w:before="0" w:line="360" w:lineRule="auto"/>
        <w:jc w:val="center"/>
      </w:pPr>
      <w:r>
        <w:rPr>
          <w:rFonts w:ascii="Arial" w:cs="Arial" w:eastAsia="Arial" w:hAnsi="Arial"/>
          <w:b/>
          <w:bCs/>
          <w:color w:val="000000"/>
          <w:sz w:val="24"/>
          <w:szCs w:val="24"/>
        </w:rPr>
        <w:t xml:space="preserve">Evidencias de Participación en el Foro</w:t>
      </w:r>
    </w:p>
    <w:p>
      <w:pPr>
        <w:spacing w:after="0" w:before="0" w:line="360" w:lineRule="auto"/>
        <w:ind w:firstLine="720"/>
        <w:jc w:val="both"/>
      </w:pPr>
      <w:r>
        <w:rPr>
          <w:rFonts w:ascii="Arial" w:cs="Arial" w:eastAsia="Arial" w:hAnsi="Arial"/>
          <w:sz w:val="24"/>
          <w:szCs w:val="24"/>
        </w:rPr>
        <w:t xml:space="preserve">En esta sección se presentan las capturas de pantalla de mi aportación principal y de las retroalimentaciones que realicé a tres compañeras y compañeros en el Foro </w:t>
      </w:r>
      <w:r>
        <w:rPr>
          <w:rFonts w:ascii="Arial" w:cs="Arial" w:eastAsia="Arial" w:hAnsi="Arial"/>
          <w:i/>
          <w:iCs/>
          <w:sz w:val="24"/>
          <w:szCs w:val="24"/>
        </w:rPr>
        <w:t xml:space="preserve">Hablemos de IA</w:t>
      </w:r>
      <w:r>
        <w:rPr>
          <w:rFonts w:ascii="Arial" w:cs="Arial" w:eastAsia="Arial" w:hAnsi="Arial"/>
          <w:sz w:val="24"/>
          <w:szCs w:val="24"/>
        </w:rPr>
        <w:t xml:space="preserve">. Las imágenes tienen el mismo tamaño y permiten apreciar las preguntas detonadoras y los comentarios.</w:t>
      </w:r>
    </w:p>
    <w:p>
      <w:pPr>
        <w:keepNext/>
        <w:spacing w:after="0" w:before="0" w:line="360" w:lineRule="auto"/>
      </w:pPr>
      <w:r>
        <w:rPr>
          <w:rFonts w:ascii="Arial" w:cs="Arial" w:eastAsia="Arial" w:hAnsi="Arial"/>
          <w:b/>
          <w:bCs/>
          <w:sz w:val="24"/>
          <w:szCs w:val="24"/>
        </w:rPr>
        <w:t xml:space="preserve">Figura 1</w:t>
      </w:r>
    </w:p>
    <w:p>
      <w:pPr>
        <w:keepNext/>
        <w:spacing w:after="0" w:before="0" w:line="360" w:lineRule="auto"/>
      </w:pPr>
      <w:r>
        <w:rPr>
          <w:rFonts w:ascii="Arial" w:cs="Arial" w:eastAsia="Arial" w:hAnsi="Arial"/>
          <w:i/>
          <w:iCs/>
          <w:sz w:val="24"/>
          <w:szCs w:val="24"/>
        </w:rPr>
        <w:t xml:space="preserve">Aportación principal en el Foro Hablemos de IA</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keepNext/>
        <w:pageBreakBefore/>
        <w:spacing w:after="0" w:before="0" w:line="360" w:lineRule="auto"/>
      </w:pPr>
      <w:r>
        <w:rPr>
          <w:rFonts w:ascii="Arial" w:cs="Arial" w:eastAsia="Arial" w:hAnsi="Arial"/>
          <w:b/>
          <w:bCs/>
          <w:sz w:val="24"/>
          <w:szCs w:val="24"/>
        </w:rPr>
        <w:t xml:space="preserve">Figura 2</w:t>
      </w:r>
    </w:p>
    <w:p>
      <w:pPr>
        <w:keepNext/>
        <w:spacing w:after="0" w:before="0" w:line="360" w:lineRule="auto"/>
      </w:pPr>
      <w:r>
        <w:rPr>
          <w:rFonts w:ascii="Arial" w:cs="Arial" w:eastAsia="Arial" w:hAnsi="Arial"/>
          <w:i/>
          <w:iCs/>
          <w:sz w:val="24"/>
          <w:szCs w:val="24"/>
        </w:rPr>
        <w:t xml:space="preserve">Retroalimentación a </w:t>
      </w:r>
      <w:r>
        <w:rPr>
          <w:rFonts w:ascii="Arial" w:cs="Arial" w:eastAsia="Arial" w:hAnsi="Arial"/>
          <w:i/>
          <w:iCs/>
          <w:sz w:val="24"/>
          <w:szCs w:val="24"/>
          <w:shd w:fill="FFFF00" w:color="auto" w:val="clear"/>
        </w:rPr>
        <w:t xml:space="preserve">[nombre del compañero o compañera 1]</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keepNext/>
        <w:pageBreakBefore/>
        <w:spacing w:after="0" w:before="0" w:line="360" w:lineRule="auto"/>
      </w:pPr>
      <w:r>
        <w:rPr>
          <w:rFonts w:ascii="Arial" w:cs="Arial" w:eastAsia="Arial" w:hAnsi="Arial"/>
          <w:b/>
          <w:bCs/>
          <w:sz w:val="24"/>
          <w:szCs w:val="24"/>
        </w:rPr>
        <w:t xml:space="preserve">Figura 3</w:t>
      </w:r>
    </w:p>
    <w:p>
      <w:pPr>
        <w:keepNext/>
        <w:spacing w:after="0" w:before="0" w:line="360" w:lineRule="auto"/>
      </w:pPr>
      <w:r>
        <w:rPr>
          <w:rFonts w:ascii="Arial" w:cs="Arial" w:eastAsia="Arial" w:hAnsi="Arial"/>
          <w:i/>
          <w:iCs/>
          <w:sz w:val="24"/>
          <w:szCs w:val="24"/>
        </w:rPr>
        <w:t xml:space="preserve">Retroalimentación a </w:t>
      </w:r>
      <w:r>
        <w:rPr>
          <w:rFonts w:ascii="Arial" w:cs="Arial" w:eastAsia="Arial" w:hAnsi="Arial"/>
          <w:i/>
          <w:iCs/>
          <w:sz w:val="24"/>
          <w:szCs w:val="24"/>
          <w:shd w:fill="FFFF00" w:color="auto" w:val="clear"/>
        </w:rPr>
        <w:t xml:space="preserve">[nombre del compañero o compañera 2]</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keepNext/>
        <w:pageBreakBefore/>
        <w:spacing w:after="0" w:before="0" w:line="360" w:lineRule="auto"/>
      </w:pPr>
      <w:r>
        <w:rPr>
          <w:rFonts w:ascii="Arial" w:cs="Arial" w:eastAsia="Arial" w:hAnsi="Arial"/>
          <w:b/>
          <w:bCs/>
          <w:sz w:val="24"/>
          <w:szCs w:val="24"/>
        </w:rPr>
        <w:t xml:space="preserve">Figura 4</w:t>
      </w:r>
    </w:p>
    <w:p>
      <w:pPr>
        <w:keepNext/>
        <w:spacing w:after="0" w:before="0" w:line="360" w:lineRule="auto"/>
      </w:pPr>
      <w:r>
        <w:rPr>
          <w:rFonts w:ascii="Arial" w:cs="Arial" w:eastAsia="Arial" w:hAnsi="Arial"/>
          <w:i/>
          <w:iCs/>
          <w:sz w:val="24"/>
          <w:szCs w:val="24"/>
        </w:rPr>
        <w:t xml:space="preserve">Retroalimentación a </w:t>
      </w:r>
      <w:r>
        <w:rPr>
          <w:rFonts w:ascii="Arial" w:cs="Arial" w:eastAsia="Arial" w:hAnsi="Arial"/>
          <w:i/>
          <w:iCs/>
          <w:sz w:val="24"/>
          <w:szCs w:val="24"/>
          <w:shd w:fill="FFFF00" w:color="auto" w:val="clear"/>
        </w:rPr>
        <w:t xml:space="preserve">[nombre del compañero o compañera 3]</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pStyle w:val="Heading1"/>
        <w:keepNext/>
        <w:pageBreakBefore/>
        <w:spacing w:after="0" w:before="0" w:line="360" w:lineRule="auto"/>
        <w:jc w:val="center"/>
      </w:pPr>
      <w:r>
        <w:rPr>
          <w:rFonts w:ascii="Arial" w:cs="Arial" w:eastAsia="Arial" w:hAnsi="Arial"/>
          <w:b/>
          <w:bCs/>
          <w:color w:val="000000"/>
          <w:sz w:val="24"/>
          <w:szCs w:val="24"/>
        </w:rPr>
        <w:t xml:space="preserve">Referencias</w:t>
      </w:r>
    </w:p>
    <w:p>
      <w:pPr>
        <w:spacing w:after="0" w:before="0" w:line="360" w:lineRule="auto"/>
        <w:ind w:left="720" w:hanging="720"/>
        <w:jc w:val="left"/>
      </w:pPr>
      <w:r>
        <w:rPr>
          <w:rFonts w:ascii="Arial" w:cs="Arial" w:eastAsia="Arial" w:hAnsi="Arial"/>
          <w:sz w:val="24"/>
          <w:szCs w:val="24"/>
        </w:rPr>
        <w:t xml:space="preserve">Aguilar Blanc, C. (2023). “El despertar de las máquinas”: reflexiones acerca de los derechos y el estatus moral de la inteligencia artificial. </w:t>
      </w:r>
      <w:r>
        <w:rPr>
          <w:rFonts w:ascii="Arial" w:cs="Arial" w:eastAsia="Arial" w:hAnsi="Arial"/>
          <w:i/>
          <w:iCs/>
          <w:sz w:val="24"/>
          <w:szCs w:val="24"/>
        </w:rPr>
        <w:t xml:space="preserve">Revista Internacional de Pensamiento Político, 18</w:t>
      </w:r>
      <w:r>
        <w:rPr>
          <w:rFonts w:ascii="Arial" w:cs="Arial" w:eastAsia="Arial" w:hAnsi="Arial"/>
          <w:sz w:val="24"/>
          <w:szCs w:val="24"/>
        </w:rPr>
        <w:t xml:space="preserve">, 215-244.</w:t>
      </w:r>
    </w:p>
    <w:p>
      <w:pPr>
        <w:spacing w:after="0" w:before="0" w:line="360" w:lineRule="auto"/>
        <w:ind w:left="720" w:hanging="720"/>
        <w:jc w:val="left"/>
      </w:pPr>
      <w:r>
        <w:rPr>
          <w:rFonts w:ascii="Arial" w:cs="Arial" w:eastAsia="Arial" w:hAnsi="Arial"/>
          <w:sz w:val="24"/>
          <w:szCs w:val="24"/>
        </w:rPr>
        <w:t xml:space="preserve">Cámara de Diputados del Honorable Congreso de la Unión. (20 de marzo de 2025). </w:t>
      </w:r>
      <w:r>
        <w:rPr>
          <w:rFonts w:ascii="Arial" w:cs="Arial" w:eastAsia="Arial" w:hAnsi="Arial"/>
          <w:i/>
          <w:iCs/>
          <w:sz w:val="24"/>
          <w:szCs w:val="24"/>
        </w:rPr>
        <w:t xml:space="preserve">Ley Federal de Protección de Datos Personales en Posesión de los Particulares</w:t>
      </w:r>
      <w:r>
        <w:rPr>
          <w:rFonts w:ascii="Arial" w:cs="Arial" w:eastAsia="Arial" w:hAnsi="Arial"/>
          <w:sz w:val="24"/>
          <w:szCs w:val="24"/>
        </w:rPr>
        <w:t xml:space="preserve">. Diario Oficial de la Federación. </w:t>
      </w:r>
      <w:hyperlink w:history="1" r:id="rIdtwyx17uh3fky3vne2drw1">
        <w:r>
          <w:rPr>
            <w:rStyle w:val="Hyperlink"/>
            <w:rFonts w:ascii="Arial" w:cs="Arial" w:eastAsia="Arial" w:hAnsi="Arial"/>
            <w:sz w:val="24"/>
            <w:szCs w:val="24"/>
          </w:rPr>
          <w:t xml:space="preserve">https://www.diputados.gob.mx/LeyesBiblio/pdf/LFPDPPP.pdf</w:t>
        </w:r>
      </w:hyperlink>
    </w:p>
    <w:p>
      <w:pPr>
        <w:spacing w:after="0" w:before="0" w:line="360" w:lineRule="auto"/>
        <w:ind w:left="720" w:hanging="720"/>
        <w:jc w:val="left"/>
      </w:pPr>
      <w:r>
        <w:rPr>
          <w:rFonts w:ascii="Arial" w:cs="Arial" w:eastAsia="Arial" w:hAnsi="Arial"/>
          <w:sz w:val="24"/>
          <w:szCs w:val="24"/>
        </w:rPr>
        <w:t xml:space="preserve">Carlini, N., Tramèr, F., Wallace, E., Jagielski, M., Herbert-Voss, A., Lee, K., Roberts, A., Brown, T., Song, D., Erlingsson, Ú., Oprea, A., &amp; Raffel, C. (2021). Extracting training data from large language models. In </w:t>
      </w:r>
      <w:r>
        <w:rPr>
          <w:rFonts w:ascii="Arial" w:cs="Arial" w:eastAsia="Arial" w:hAnsi="Arial"/>
          <w:i/>
          <w:iCs/>
          <w:sz w:val="24"/>
          <w:szCs w:val="24"/>
        </w:rPr>
        <w:t xml:space="preserve">30th USENIX Security Symposium (USENIX Security 21)</w:t>
      </w:r>
      <w:r>
        <w:rPr>
          <w:rFonts w:ascii="Arial" w:cs="Arial" w:eastAsia="Arial" w:hAnsi="Arial"/>
          <w:sz w:val="24"/>
          <w:szCs w:val="24"/>
        </w:rPr>
        <w:t xml:space="preserve"> (pp. 2633-2650). USENIX Association. </w:t>
      </w:r>
      <w:hyperlink w:history="1" r:id="rIdivqcuwnpj3mo_dwldgmit">
        <w:r>
          <w:rPr>
            <w:rStyle w:val="Hyperlink"/>
            <w:rFonts w:ascii="Arial" w:cs="Arial" w:eastAsia="Arial" w:hAnsi="Arial"/>
            <w:sz w:val="24"/>
            <w:szCs w:val="24"/>
          </w:rPr>
          <w:t xml:space="preserve">https://www.usenix.org/conference/usenixsecurity21/presentation/carlini-extracting</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 f.-a). </w:t>
      </w:r>
      <w:r>
        <w:rPr>
          <w:rFonts w:ascii="Arial" w:cs="Arial" w:eastAsia="Arial" w:hAnsi="Arial"/>
          <w:i/>
          <w:iCs/>
          <w:sz w:val="24"/>
          <w:szCs w:val="24"/>
        </w:rPr>
        <w:t xml:space="preserve">Convocatoria: Registro de investigadores / especialistas de seguridad social</w:t>
      </w:r>
      <w:r>
        <w:rPr>
          <w:rFonts w:ascii="Arial" w:cs="Arial" w:eastAsia="Arial" w:hAnsi="Arial"/>
          <w:sz w:val="24"/>
          <w:szCs w:val="24"/>
        </w:rPr>
        <w:t xml:space="preserve">. </w:t>
      </w:r>
      <w:hyperlink w:history="1" r:id="rId4fdveuzuoooxdr1yvk4y-">
        <w:r>
          <w:rPr>
            <w:rStyle w:val="Hyperlink"/>
            <w:rFonts w:ascii="Arial" w:cs="Arial" w:eastAsia="Arial" w:hAnsi="Arial"/>
            <w:sz w:val="24"/>
            <w:szCs w:val="24"/>
          </w:rPr>
          <w:t xml:space="preserve">https://home.ciess.org/convocatoria-registro-de-investigadores-especialistas-de-seguridad-social/</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 f.-b). </w:t>
      </w:r>
      <w:r>
        <w:rPr>
          <w:rFonts w:ascii="Arial" w:cs="Arial" w:eastAsia="Arial" w:hAnsi="Arial"/>
          <w:i/>
          <w:iCs/>
          <w:sz w:val="24"/>
          <w:szCs w:val="24"/>
        </w:rPr>
        <w:t xml:space="preserve">Inscripciones y admisiones</w:t>
      </w:r>
      <w:r>
        <w:rPr>
          <w:rFonts w:ascii="Arial" w:cs="Arial" w:eastAsia="Arial" w:hAnsi="Arial"/>
          <w:sz w:val="24"/>
          <w:szCs w:val="24"/>
        </w:rPr>
        <w:t xml:space="preserve">. </w:t>
      </w:r>
      <w:hyperlink w:history="1" r:id="rIdu9v5wgtkirljqpxtmkig-">
        <w:r>
          <w:rPr>
            <w:rStyle w:val="Hyperlink"/>
            <w:rFonts w:ascii="Arial" w:cs="Arial" w:eastAsia="Arial" w:hAnsi="Arial"/>
            <w:sz w:val="24"/>
            <w:szCs w:val="24"/>
          </w:rPr>
          <w:t xml:space="preserve">https://home.ciess.org/inscripciones-y-admisiones/</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 f.-c). </w:t>
      </w:r>
      <w:r>
        <w:rPr>
          <w:rFonts w:ascii="Arial" w:cs="Arial" w:eastAsia="Arial" w:hAnsi="Arial"/>
          <w:i/>
          <w:iCs/>
          <w:sz w:val="24"/>
          <w:szCs w:val="24"/>
        </w:rPr>
        <w:t xml:space="preserve">Microaprendizaje ABC de la inteligencia artificial 2026</w:t>
      </w:r>
      <w:r>
        <w:rPr>
          <w:rFonts w:ascii="Arial" w:cs="Arial" w:eastAsia="Arial" w:hAnsi="Arial"/>
          <w:sz w:val="24"/>
          <w:szCs w:val="24"/>
        </w:rPr>
        <w:t xml:space="preserve">. </w:t>
      </w:r>
      <w:hyperlink w:history="1" r:id="rIdcwe15-7nl6ovpcswgpvda">
        <w:r>
          <w:rPr>
            <w:rStyle w:val="Hyperlink"/>
            <w:rFonts w:ascii="Arial" w:cs="Arial" w:eastAsia="Arial" w:hAnsi="Arial"/>
            <w:sz w:val="24"/>
            <w:szCs w:val="24"/>
          </w:rPr>
          <w:t xml:space="preserve">https://home.ciess.org/microaprendizaje-abc-de-la-inteligencia-artificial-2026/</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 f.-d). </w:t>
      </w:r>
      <w:r>
        <w:rPr>
          <w:rFonts w:ascii="Arial" w:cs="Arial" w:eastAsia="Arial" w:hAnsi="Arial"/>
          <w:i/>
          <w:iCs/>
          <w:sz w:val="24"/>
          <w:szCs w:val="24"/>
        </w:rPr>
        <w:t xml:space="preserve">Nosotros</w:t>
      </w:r>
      <w:r>
        <w:rPr>
          <w:rFonts w:ascii="Arial" w:cs="Arial" w:eastAsia="Arial" w:hAnsi="Arial"/>
          <w:sz w:val="24"/>
          <w:szCs w:val="24"/>
        </w:rPr>
        <w:t xml:space="preserve">. </w:t>
      </w:r>
      <w:hyperlink w:history="1" r:id="rIdj2ppkivqpft0he-exnasu">
        <w:r>
          <w:rPr>
            <w:rStyle w:val="Hyperlink"/>
            <w:rFonts w:ascii="Arial" w:cs="Arial" w:eastAsia="Arial" w:hAnsi="Arial"/>
            <w:sz w:val="24"/>
            <w:szCs w:val="24"/>
          </w:rPr>
          <w:t xml:space="preserve">https://home.ciess.org/nosotros/</w:t>
        </w:r>
      </w:hyperlink>
    </w:p>
    <w:p>
      <w:pPr>
        <w:spacing w:after="0" w:before="0" w:line="360" w:lineRule="auto"/>
        <w:ind w:left="720" w:hanging="720"/>
        <w:jc w:val="left"/>
      </w:pPr>
      <w:r>
        <w:rPr>
          <w:rFonts w:ascii="Arial" w:cs="Arial" w:eastAsia="Arial" w:hAnsi="Arial"/>
          <w:sz w:val="24"/>
          <w:szCs w:val="24"/>
        </w:rPr>
        <w:t xml:space="preserve">Elish, M. C. (2019). Moral crumple zones: Cautionary tales in human-robot interaction. </w:t>
      </w:r>
      <w:r>
        <w:rPr>
          <w:rFonts w:ascii="Arial" w:cs="Arial" w:eastAsia="Arial" w:hAnsi="Arial"/>
          <w:i/>
          <w:iCs/>
          <w:sz w:val="24"/>
          <w:szCs w:val="24"/>
        </w:rPr>
        <w:t xml:space="preserve">Engaging Science, Technology, and Society, 5</w:t>
      </w:r>
      <w:r>
        <w:rPr>
          <w:rFonts w:ascii="Arial" w:cs="Arial" w:eastAsia="Arial" w:hAnsi="Arial"/>
          <w:sz w:val="24"/>
          <w:szCs w:val="24"/>
        </w:rPr>
        <w:t xml:space="preserve">, 40-60. </w:t>
      </w:r>
      <w:hyperlink w:history="1" r:id="rIdtksscykpsqv5f6lfnscyt">
        <w:r>
          <w:rPr>
            <w:rStyle w:val="Hyperlink"/>
            <w:rFonts w:ascii="Arial" w:cs="Arial" w:eastAsia="Arial" w:hAnsi="Arial"/>
            <w:sz w:val="24"/>
            <w:szCs w:val="24"/>
          </w:rPr>
          <w:t xml:space="preserve">https://doi.org/10.17351/ests2019.260</w:t>
        </w:r>
      </w:hyperlink>
    </w:p>
    <w:p>
      <w:pPr>
        <w:spacing w:after="0" w:before="0" w:line="360" w:lineRule="auto"/>
        <w:ind w:left="720" w:hanging="720"/>
        <w:jc w:val="left"/>
      </w:pPr>
      <w:r>
        <w:rPr>
          <w:rFonts w:ascii="Arial" w:cs="Arial" w:eastAsia="Arial" w:hAnsi="Arial"/>
          <w:sz w:val="24"/>
          <w:szCs w:val="24"/>
        </w:rPr>
        <w:t xml:space="preserve">Floridi, L., Cowls, J., Beltrametti, M., Chatila, R., Chazerand, P., Dignum, V., Luetge, C., Madelin, R., Pagallo, U., Rossi, F., Schafer, B., Valcke, P., &amp; Vayena, E. (2018). AI4People—An ethical framework for a good AI society: Opportunities, risks, principles, and recommendations. </w:t>
      </w:r>
      <w:r>
        <w:rPr>
          <w:rFonts w:ascii="Arial" w:cs="Arial" w:eastAsia="Arial" w:hAnsi="Arial"/>
          <w:i/>
          <w:iCs/>
          <w:sz w:val="24"/>
          <w:szCs w:val="24"/>
        </w:rPr>
        <w:t xml:space="preserve">Minds and Machines, 28</w:t>
      </w:r>
      <w:r>
        <w:rPr>
          <w:rFonts w:ascii="Arial" w:cs="Arial" w:eastAsia="Arial" w:hAnsi="Arial"/>
          <w:sz w:val="24"/>
          <w:szCs w:val="24"/>
        </w:rPr>
        <w:t xml:space="preserve">(4), 689-707. </w:t>
      </w:r>
      <w:hyperlink w:history="1" r:id="rIdrxhs3nnuszsyhrzvqrsn0">
        <w:r>
          <w:rPr>
            <w:rStyle w:val="Hyperlink"/>
            <w:rFonts w:ascii="Arial" w:cs="Arial" w:eastAsia="Arial" w:hAnsi="Arial"/>
            <w:sz w:val="24"/>
            <w:szCs w:val="24"/>
          </w:rPr>
          <w:t xml:space="preserve">https://doi.org/10.1007/s11023-018-9482-5</w:t>
        </w:r>
      </w:hyperlink>
    </w:p>
    <w:p>
      <w:pPr>
        <w:spacing w:after="0" w:before="0" w:line="360" w:lineRule="auto"/>
        <w:ind w:left="720" w:hanging="720"/>
        <w:jc w:val="left"/>
      </w:pPr>
      <w:r>
        <w:rPr>
          <w:rFonts w:ascii="Arial" w:cs="Arial" w:eastAsia="Arial" w:hAnsi="Arial"/>
          <w:sz w:val="24"/>
          <w:szCs w:val="24"/>
        </w:rPr>
        <w:t xml:space="preserve">Gmyrek, P., Berg, J., &amp; Bescond, D. (2023). </w:t>
      </w:r>
      <w:r>
        <w:rPr>
          <w:rFonts w:ascii="Arial" w:cs="Arial" w:eastAsia="Arial" w:hAnsi="Arial"/>
          <w:i/>
          <w:iCs/>
          <w:sz w:val="24"/>
          <w:szCs w:val="24"/>
        </w:rPr>
        <w:t xml:space="preserve">Generative AI and jobs: A global analysis of potential effects on job quantity and quality</w:t>
      </w:r>
      <w:r>
        <w:rPr>
          <w:rFonts w:ascii="Arial" w:cs="Arial" w:eastAsia="Arial" w:hAnsi="Arial"/>
          <w:sz w:val="24"/>
          <w:szCs w:val="24"/>
        </w:rPr>
        <w:t xml:space="preserve"> (ILO Working Paper 96). International Labour Organization. </w:t>
      </w:r>
      <w:hyperlink w:history="1" r:id="rIdhtvsmrrnflqqwboz2q2-z">
        <w:r>
          <w:rPr>
            <w:rStyle w:val="Hyperlink"/>
            <w:rFonts w:ascii="Arial" w:cs="Arial" w:eastAsia="Arial" w:hAnsi="Arial"/>
            <w:sz w:val="24"/>
            <w:szCs w:val="24"/>
          </w:rPr>
          <w:t xml:space="preserve">https://www.ilo.org/publications/generative-ai-and-jobs-global-analysis-potential-effects-job-quantity-and</w:t>
        </w:r>
      </w:hyperlink>
    </w:p>
    <w:p>
      <w:pPr>
        <w:spacing w:after="0" w:before="0" w:line="360" w:lineRule="auto"/>
        <w:ind w:left="720" w:hanging="720"/>
        <w:jc w:val="left"/>
      </w:pPr>
      <w:r>
        <w:rPr>
          <w:rFonts w:ascii="Arial" w:cs="Arial" w:eastAsia="Arial" w:hAnsi="Arial"/>
          <w:sz w:val="24"/>
          <w:szCs w:val="24"/>
        </w:rPr>
        <w:t xml:space="preserve">Gzyl, H. (2023). No confíes en la inteligencia artificial: usa la tuya. </w:t>
      </w:r>
      <w:r>
        <w:rPr>
          <w:rFonts w:ascii="Arial" w:cs="Arial" w:eastAsia="Arial" w:hAnsi="Arial"/>
          <w:i/>
          <w:iCs/>
          <w:sz w:val="24"/>
          <w:szCs w:val="24"/>
        </w:rPr>
        <w:t xml:space="preserve">DEBATES IESA, 28</w:t>
      </w:r>
      <w:r>
        <w:rPr>
          <w:rFonts w:ascii="Arial" w:cs="Arial" w:eastAsia="Arial" w:hAnsi="Arial"/>
          <w:sz w:val="24"/>
          <w:szCs w:val="24"/>
        </w:rPr>
        <w:t xml:space="preserve">(2), 10-12.</w:t>
      </w:r>
    </w:p>
    <w:p>
      <w:pPr>
        <w:spacing w:after="0" w:before="0" w:line="360" w:lineRule="auto"/>
        <w:ind w:left="720" w:hanging="720"/>
        <w:jc w:val="left"/>
      </w:pPr>
      <w:r>
        <w:rPr>
          <w:rFonts w:ascii="Arial" w:cs="Arial" w:eastAsia="Arial" w:hAnsi="Arial"/>
          <w:sz w:val="24"/>
          <w:szCs w:val="24"/>
        </w:rPr>
        <w:t xml:space="preserve">Organisation for Economic Co-operation and Development. (2024). </w:t>
      </w:r>
      <w:r>
        <w:rPr>
          <w:rFonts w:ascii="Arial" w:cs="Arial" w:eastAsia="Arial" w:hAnsi="Arial"/>
          <w:i/>
          <w:iCs/>
          <w:sz w:val="24"/>
          <w:szCs w:val="24"/>
        </w:rPr>
        <w:t xml:space="preserve">Recommendation of the Council on Artificial Intelligence</w:t>
      </w:r>
      <w:r>
        <w:rPr>
          <w:rFonts w:ascii="Arial" w:cs="Arial" w:eastAsia="Arial" w:hAnsi="Arial"/>
          <w:sz w:val="24"/>
          <w:szCs w:val="24"/>
        </w:rPr>
        <w:t xml:space="preserve"> (OECD/LEGAL/0449). OECD Legal Instruments. </w:t>
      </w:r>
      <w:hyperlink w:history="1" r:id="rIdprmaeklmbshd9_q0rmaqf">
        <w:r>
          <w:rPr>
            <w:rStyle w:val="Hyperlink"/>
            <w:rFonts w:ascii="Arial" w:cs="Arial" w:eastAsia="Arial" w:hAnsi="Arial"/>
            <w:sz w:val="24"/>
            <w:szCs w:val="24"/>
          </w:rPr>
          <w:t xml:space="preserve">https://legalinstruments.oecd.org/en/instruments/OECD-LEGAL-0449</w:t>
        </w:r>
      </w:hyperlink>
    </w:p>
    <w:p>
      <w:pPr>
        <w:spacing w:after="0" w:before="0" w:line="360" w:lineRule="auto"/>
        <w:ind w:left="720" w:hanging="720"/>
        <w:jc w:val="left"/>
      </w:pPr>
      <w:r>
        <w:rPr>
          <w:rFonts w:ascii="Arial" w:cs="Arial" w:eastAsia="Arial" w:hAnsi="Arial"/>
          <w:sz w:val="24"/>
          <w:szCs w:val="24"/>
        </w:rPr>
        <w:t xml:space="preserve">Organización de las Naciones Unidas para la Educación, la Ciencia y la Cultura. (2022). </w:t>
      </w:r>
      <w:r>
        <w:rPr>
          <w:rFonts w:ascii="Arial" w:cs="Arial" w:eastAsia="Arial" w:hAnsi="Arial"/>
          <w:i/>
          <w:iCs/>
          <w:sz w:val="24"/>
          <w:szCs w:val="24"/>
        </w:rPr>
        <w:t xml:space="preserve">Recomendación sobre la ética de la inteligencia artificial</w:t>
      </w:r>
      <w:r>
        <w:rPr>
          <w:rFonts w:ascii="Arial" w:cs="Arial" w:eastAsia="Arial" w:hAnsi="Arial"/>
          <w:sz w:val="24"/>
          <w:szCs w:val="24"/>
        </w:rPr>
        <w:t xml:space="preserve"> (SHS/BIO/PI/2021/1). </w:t>
      </w:r>
      <w:hyperlink w:history="1" r:id="rIdxyythqhvysr9gf381_cx-">
        <w:r>
          <w:rPr>
            <w:rStyle w:val="Hyperlink"/>
            <w:rFonts w:ascii="Arial" w:cs="Arial" w:eastAsia="Arial" w:hAnsi="Arial"/>
            <w:sz w:val="24"/>
            <w:szCs w:val="24"/>
          </w:rPr>
          <w:t xml:space="preserve">https://unesdoc.unesco.org/ark:/48223/pf0000381137_spa</w:t>
        </w:r>
      </w:hyperlink>
    </w:p>
    <w:p>
      <w:pPr>
        <w:spacing w:after="0" w:before="0" w:line="360" w:lineRule="auto"/>
        <w:ind w:left="720" w:hanging="720"/>
        <w:jc w:val="left"/>
      </w:pPr>
      <w:r>
        <w:rPr>
          <w:rFonts w:ascii="Arial" w:cs="Arial" w:eastAsia="Arial" w:hAnsi="Arial"/>
          <w:sz w:val="24"/>
          <w:szCs w:val="24"/>
        </w:rPr>
        <w:t xml:space="preserve">Parasuraman, R., &amp; Manzey, D. H. (2010). Complacency and bias in human use of automation: An attentional integration. </w:t>
      </w:r>
      <w:r>
        <w:rPr>
          <w:rFonts w:ascii="Arial" w:cs="Arial" w:eastAsia="Arial" w:hAnsi="Arial"/>
          <w:i/>
          <w:iCs/>
          <w:sz w:val="24"/>
          <w:szCs w:val="24"/>
        </w:rPr>
        <w:t xml:space="preserve">Human Factors, 52</w:t>
      </w:r>
      <w:r>
        <w:rPr>
          <w:rFonts w:ascii="Arial" w:cs="Arial" w:eastAsia="Arial" w:hAnsi="Arial"/>
          <w:sz w:val="24"/>
          <w:szCs w:val="24"/>
        </w:rPr>
        <w:t xml:space="preserve">(3), 381-410. </w:t>
      </w:r>
      <w:hyperlink w:history="1" r:id="rId0lk1v0g61sd-qqhzwxw26">
        <w:r>
          <w:rPr>
            <w:rStyle w:val="Hyperlink"/>
            <w:rFonts w:ascii="Arial" w:cs="Arial" w:eastAsia="Arial" w:hAnsi="Arial"/>
            <w:sz w:val="24"/>
            <w:szCs w:val="24"/>
          </w:rPr>
          <w:t xml:space="preserve">https://doi.org/10.1177/0018720810376055</w:t>
        </w:r>
      </w:hyperlink>
    </w:p>
    <w:p>
      <w:pPr>
        <w:spacing w:after="0" w:before="0" w:line="360" w:lineRule="auto"/>
        <w:ind w:left="720" w:hanging="720"/>
        <w:jc w:val="left"/>
      </w:pPr>
      <w:r>
        <w:rPr>
          <w:rFonts w:ascii="Arial" w:cs="Arial" w:eastAsia="Arial" w:hAnsi="Arial"/>
          <w:sz w:val="24"/>
          <w:szCs w:val="24"/>
        </w:rPr>
        <w:t xml:space="preserve">Serafim, M. C., Ames, M. C., Bertoncini, A. L. y Pansera, D. (2024). Inteligencia artificial (de)generativa: Sobre la imposibilidad de que un sistema de IA tenga una experiencia moral. </w:t>
      </w:r>
      <w:r>
        <w:rPr>
          <w:rFonts w:ascii="Arial" w:cs="Arial" w:eastAsia="Arial" w:hAnsi="Arial"/>
          <w:i/>
          <w:iCs/>
          <w:sz w:val="24"/>
          <w:szCs w:val="24"/>
        </w:rPr>
        <w:t xml:space="preserve">Scripta Theologica, 56</w:t>
      </w:r>
      <w:r>
        <w:rPr>
          <w:rFonts w:ascii="Arial" w:cs="Arial" w:eastAsia="Arial" w:hAnsi="Arial"/>
          <w:sz w:val="24"/>
          <w:szCs w:val="24"/>
        </w:rPr>
        <w:t xml:space="preserve">, 467-502.</w:t>
      </w:r>
    </w:p>
    <w:sectPr>
      <w:headerReference w:type="default" r:id="rId7"/>
      <w:headerReference w:type="first" r:id="rId8"/>
      <w:pgSz w:w="12240" w:h="15840"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spacing w:after="0" w:before="0" w:line="360" w:lineRule="auto"/>
      <w:outlineLvl w:val="1"/>
    </w:pPr>
    <w:rPr>
      <w:rFonts w:ascii="Arial" w:cs="Arial" w:eastAsia="Arial" w:hAnsi="Arial"/>
      <w:b/>
      <w:bCs/>
      <w:color w:val="000000"/>
      <w:sz w:val="24"/>
      <w:szCs w:val="24"/>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twyx17uh3fky3vne2drw1" Type="http://schemas.openxmlformats.org/officeDocument/2006/relationships/hyperlink" Target="https://www.diputados.gob.mx/LeyesBiblio/pdf/LFPDPPP.pdf" TargetMode="External"/><Relationship Id="rIdivqcuwnpj3mo_dwldgmit" Type="http://schemas.openxmlformats.org/officeDocument/2006/relationships/hyperlink" Target="https://www.usenix.org/conference/usenixsecurity21/presentation/carlini-extracting" TargetMode="External"/><Relationship Id="rId4fdveuzuoooxdr1yvk4y-" Type="http://schemas.openxmlformats.org/officeDocument/2006/relationships/hyperlink" Target="https://home.ciess.org/convocatoria-registro-de-investigadores-especialistas-de-seguridad-social/" TargetMode="External"/><Relationship Id="rIdu9v5wgtkirljqpxtmkig-" Type="http://schemas.openxmlformats.org/officeDocument/2006/relationships/hyperlink" Target="https://home.ciess.org/inscripciones-y-admisiones/" TargetMode="External"/><Relationship Id="rIdcwe15-7nl6ovpcswgpvda" Type="http://schemas.openxmlformats.org/officeDocument/2006/relationships/hyperlink" Target="https://home.ciess.org/microaprendizaje-abc-de-la-inteligencia-artificial-2026/" TargetMode="External"/><Relationship Id="rIdj2ppkivqpft0he-exnasu" Type="http://schemas.openxmlformats.org/officeDocument/2006/relationships/hyperlink" Target="https://home.ciess.org/nosotros/" TargetMode="External"/><Relationship Id="rIdtksscykpsqv5f6lfnscyt" Type="http://schemas.openxmlformats.org/officeDocument/2006/relationships/hyperlink" Target="https://doi.org/10.17351/ests2019.260" TargetMode="External"/><Relationship Id="rIdrxhs3nnuszsyhrzvqrsn0" Type="http://schemas.openxmlformats.org/officeDocument/2006/relationships/hyperlink" Target="https://doi.org/10.1007/s11023-018-9482-5" TargetMode="External"/><Relationship Id="rIdhtvsmrrnflqqwboz2q2-z" Type="http://schemas.openxmlformats.org/officeDocument/2006/relationships/hyperlink" Target="https://www.ilo.org/publications/generative-ai-and-jobs-global-analysis-potential-effects-job-quantity-and" TargetMode="External"/><Relationship Id="rIdprmaeklmbshd9_q0rmaqf" Type="http://schemas.openxmlformats.org/officeDocument/2006/relationships/hyperlink" Target="https://legalinstruments.oecd.org/en/instruments/OECD-LEGAL-0449" TargetMode="External"/><Relationship Id="rIdxyythqhvysr9gf381_cx-" Type="http://schemas.openxmlformats.org/officeDocument/2006/relationships/hyperlink" Target="https://unesdoc.unesco.org/ark:/48223/pf0000381137_spa" TargetMode="External"/><Relationship Id="rId0lk1v0g61sd-qqhzwxw26" Type="http://schemas.openxmlformats.org/officeDocument/2006/relationships/hyperlink" Target="https://doi.org/10.1177/0018720810376055"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 la eficiencia y la responsabilidad: dilemas éticos del uso de la inteligencia artificial en los procesos académicos del CIESS</dc:title>
  <dc:creator>Arturo David Navarrete Flores</dc:creator>
  <cp:lastModifiedBy>Un-named</cp:lastModifiedBy>
  <cp:revision>1</cp:revision>
  <dcterms:created xsi:type="dcterms:W3CDTF">2026-10-09T19:49:49.269Z</dcterms:created>
  <dcterms:modified xsi:type="dcterms:W3CDTF">2026-10-09T19:49:49.270Z</dcterms:modified>
</cp:coreProperties>
</file>

<file path=docProps/custom.xml><?xml version="1.0" encoding="utf-8"?>
<Properties xmlns="http://schemas.openxmlformats.org/officeDocument/2006/custom-properties" xmlns:vt="http://schemas.openxmlformats.org/officeDocument/2006/docPropsVTypes"/>
</file>