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240" w:line="276" w:lineRule="auto"/>
        <w:jc w:val="center"/>
      </w:pPr>
      <w:r>
        <w:drawing>
          <wp:inline distT="0" distB="0" distL="0" distR="0">
            <wp:extent cx="1714500" cy="819150"/>
            <wp:effectExtent t="0" r="0" b="0" l="0"/>
            <wp:docPr id="1" name="logo" descr="Logotipo de la Universidad Virtual del Estado de Guanajuato" title="UV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819150"/>
                    </a:xfrm>
                    <a:prstGeom prst="rect">
                      <a:avLst/>
                    </a:prstGeom>
                  </pic:spPr>
                </pic:pic>
              </a:graphicData>
            </a:graphic>
          </wp:inline>
        </w:drawing>
      </w:r>
    </w:p>
    <w:p>
      <w:pPr>
        <w:spacing w:after="0" w:before="0" w:line="276" w:lineRule="auto"/>
        <w:jc w:val="center"/>
      </w:pPr>
      <w:r>
        <w:rPr>
          <w:rFonts w:ascii="Arial" w:cs="Arial" w:eastAsia="Arial" w:hAnsi="Arial"/>
          <w:b/>
          <w:bCs/>
          <w:color w:val="1F4E79"/>
          <w:sz w:val="32"/>
          <w:szCs w:val="32"/>
        </w:rPr>
        <w:t xml:space="preserve">Universidad Virtual del Estado de Guanajuato</w:t>
      </w:r>
    </w:p>
    <w:p>
      <w:pPr>
        <w:spacing w:after="0" w:before="120" w:line="276" w:lineRule="auto"/>
        <w:jc w:val="center"/>
      </w:pPr>
      <w:r>
        <w:rPr>
          <w:rFonts w:ascii="Arial" w:cs="Arial" w:eastAsia="Arial" w:hAnsi="Arial"/>
          <w:b/>
          <w:bCs/>
          <w:color w:val="1F4E79"/>
          <w:sz w:val="32"/>
          <w:szCs w:val="32"/>
        </w:rPr>
        <w:t xml:space="preserve">Maestría en Inteligencia Artificial</w:t>
      </w:r>
    </w:p>
    <w:p>
      <w:pPr>
        <w:spacing w:after="0" w:before="360" w:line="276" w:lineRule="auto"/>
        <w:jc w:val="center"/>
      </w:pPr>
      <w:r>
        <w:rPr>
          <w:rFonts w:ascii="Arial" w:cs="Arial" w:eastAsia="Arial" w:hAnsi="Arial"/>
          <w:b/>
          <w:bCs/>
          <w:color w:val="1F4E79"/>
          <w:sz w:val="32"/>
          <w:szCs w:val="32"/>
        </w:rPr>
        <w:t xml:space="preserve">Módulo: </w:t>
      </w:r>
      <w:r>
        <w:rPr>
          <w:rFonts w:ascii="Arial" w:cs="Arial" w:eastAsia="Arial" w:hAnsi="Arial"/>
          <w:b/>
          <w:bCs/>
          <w:color w:val="1F4E79"/>
          <w:sz w:val="32"/>
          <w:szCs w:val="32"/>
        </w:rPr>
        <w:t xml:space="preserve">Aspectos éticos y normativos de la Ciencia de Datos e Inteligencia Artificial</w:t>
      </w:r>
    </w:p>
    <w:p>
      <w:pPr>
        <w:spacing w:after="0" w:before="360" w:line="276" w:lineRule="auto"/>
        <w:jc w:val="center"/>
      </w:pPr>
      <w:r>
        <w:rPr>
          <w:rFonts w:ascii="Arial" w:cs="Arial" w:eastAsia="Arial" w:hAnsi="Arial"/>
          <w:b/>
          <w:bCs/>
          <w:color w:val="1F4E79"/>
          <w:sz w:val="32"/>
          <w:szCs w:val="32"/>
        </w:rPr>
        <w:t xml:space="preserve">Reto 5: </w:t>
      </w:r>
      <w:r>
        <w:rPr>
          <w:rFonts w:ascii="Arial" w:cs="Arial" w:eastAsia="Arial" w:hAnsi="Arial"/>
          <w:b/>
          <w:bCs/>
          <w:color w:val="1F4E79"/>
          <w:sz w:val="32"/>
          <w:szCs w:val="32"/>
        </w:rPr>
        <w:t xml:space="preserve">Propiedad intelectual en la era digital</w:t>
      </w:r>
    </w:p>
    <w:p>
      <w:pPr>
        <w:spacing w:after="0" w:before="360" w:line="276" w:lineRule="auto"/>
        <w:jc w:val="center"/>
      </w:pPr>
      <w:r>
        <w:rPr>
          <w:rFonts w:ascii="Arial" w:cs="Arial" w:eastAsia="Arial" w:hAnsi="Arial"/>
          <w:b/>
          <w:bCs/>
          <w:color w:val="1F4E79"/>
          <w:sz w:val="32"/>
          <w:szCs w:val="32"/>
        </w:rPr>
        <w:t xml:space="preserve">Plan integral de gestión de riesgos informáticos relacionados con la violación de derechos de propiedad intelectual en el CIESS</w:t>
      </w:r>
    </w:p>
    <w:p>
      <w:pPr>
        <w:spacing w:after="0" w:before="600" w:line="276" w:lineRule="auto"/>
        <w:jc w:val="center"/>
      </w:pPr>
      <w:r>
        <w:rPr>
          <w:rFonts w:ascii="Arial" w:cs="Arial" w:eastAsia="Arial" w:hAnsi="Arial"/>
          <w:b/>
          <w:bCs/>
          <w:color w:val="1F4E79"/>
          <w:sz w:val="32"/>
          <w:szCs w:val="32"/>
        </w:rPr>
        <w:t xml:space="preserve">Nombre del alumno: </w:t>
      </w:r>
      <w:r>
        <w:rPr>
          <w:rFonts w:ascii="Arial" w:cs="Arial" w:eastAsia="Arial" w:hAnsi="Arial"/>
          <w:b/>
          <w:bCs/>
          <w:color w:val="1F4E79"/>
          <w:sz w:val="32"/>
          <w:szCs w:val="32"/>
        </w:rPr>
        <w:t xml:space="preserve">Arturo David Navarrete Flores</w:t>
      </w:r>
    </w:p>
    <w:p>
      <w:pPr>
        <w:spacing w:after="0" w:before="120" w:line="276" w:lineRule="auto"/>
        <w:jc w:val="center"/>
      </w:pPr>
      <w:r>
        <w:rPr>
          <w:rFonts w:ascii="Arial" w:cs="Arial" w:eastAsia="Arial" w:hAnsi="Arial"/>
          <w:b/>
          <w:bCs/>
          <w:color w:val="1F4E79"/>
          <w:sz w:val="32"/>
          <w:szCs w:val="32"/>
        </w:rPr>
        <w:t xml:space="preserve">Matrícula: </w:t>
      </w:r>
      <w:r>
        <w:rPr>
          <w:rFonts w:ascii="Arial" w:cs="Arial" w:eastAsia="Arial" w:hAnsi="Arial"/>
          <w:b/>
          <w:bCs/>
          <w:color w:val="1F4E79"/>
          <w:sz w:val="32"/>
          <w:szCs w:val="32"/>
        </w:rPr>
        <w:t xml:space="preserve">26014842</w:t>
      </w:r>
    </w:p>
    <w:p>
      <w:pPr>
        <w:spacing w:after="0" w:before="120" w:line="276" w:lineRule="auto"/>
        <w:jc w:val="center"/>
      </w:pPr>
      <w:r>
        <w:rPr>
          <w:rFonts w:ascii="Arial" w:cs="Arial" w:eastAsia="Arial" w:hAnsi="Arial"/>
          <w:b/>
          <w:bCs/>
          <w:color w:val="1F4E79"/>
          <w:sz w:val="32"/>
          <w:szCs w:val="32"/>
        </w:rPr>
        <w:t xml:space="preserve">Nombre del asesor: </w:t>
      </w:r>
      <w:r>
        <w:rPr>
          <w:rFonts w:ascii="Arial" w:cs="Arial" w:eastAsia="Arial" w:hAnsi="Arial"/>
          <w:b/>
          <w:bCs/>
          <w:color w:val="1F4E79"/>
          <w:sz w:val="32"/>
          <w:szCs w:val="32"/>
        </w:rPr>
        <w:t xml:space="preserve">Laura Antonia Aldana Ortiz</w:t>
      </w:r>
    </w:p>
    <w:p>
      <w:pPr>
        <w:spacing w:after="0" w:before="120" w:line="276" w:lineRule="auto"/>
        <w:jc w:val="center"/>
      </w:pPr>
      <w:r>
        <w:rPr>
          <w:rFonts w:ascii="Arial" w:cs="Arial" w:eastAsia="Arial" w:hAnsi="Arial"/>
          <w:b/>
          <w:bCs/>
          <w:color w:val="1F4E79"/>
          <w:sz w:val="32"/>
          <w:szCs w:val="32"/>
        </w:rPr>
        <w:t xml:space="preserve">Fecha de elaboración: </w:t>
      </w:r>
      <w:r>
        <w:rPr>
          <w:rFonts w:ascii="Arial" w:cs="Arial" w:eastAsia="Arial" w:hAnsi="Arial"/>
          <w:b/>
          <w:bCs/>
          <w:color w:val="1F4E79"/>
          <w:sz w:val="32"/>
          <w:szCs w:val="32"/>
        </w:rPr>
        <w:t xml:space="preserve">11 de octubre de 2026</w:t>
      </w:r>
    </w:p>
    <w:p>
      <w:pPr>
        <w:spacing w:after="0" w:before="120" w:line="276" w:lineRule="auto"/>
        <w:jc w:val="center"/>
      </w:pPr>
      <w:r>
        <w:rPr>
          <w:rFonts w:ascii="Arial" w:cs="Arial" w:eastAsia="Arial" w:hAnsi="Arial"/>
          <w:b/>
          <w:bCs/>
          <w:color w:val="1F4E79"/>
          <w:sz w:val="32"/>
          <w:szCs w:val="32"/>
        </w:rPr>
        <w:t xml:space="preserve">Declaratoria de originalidad: </w:t>
      </w:r>
      <w:r>
        <w:rPr>
          <w:rFonts w:ascii="Arial" w:cs="Arial" w:eastAsia="Arial" w:hAnsi="Arial"/>
          <w:b/>
          <w:bCs/>
          <w:color w:val="1F4E79"/>
          <w:sz w:val="32"/>
          <w:szCs w:val="32"/>
        </w:rPr>
        <w:t xml:space="preserve">se anexa en la página siguiente</w:t>
      </w:r>
    </w:p>
    <w:p>
      <w:pPr>
        <w:pageBreakBefore/>
        <w:spacing w:line="240" w:lineRule="auto"/>
        <w:jc w:val="center"/>
      </w:pPr>
      <w:r>
        <w:drawing>
          <wp:inline distT="0" distB="0" distL="0" distR="0">
            <wp:extent cx="5619750" cy="6981825"/>
            <wp:effectExtent t="0" r="0" b="0" l="0"/>
            <wp:docPr id="1" name="declaratoria" descr="Declaración del estudiante firmada (declaratoria de originalidad)" title="Declarat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6981825"/>
                    </a:xfrm>
                    <a:prstGeom prst="rect">
                      <a:avLst/>
                    </a:prstGeom>
                  </pic:spPr>
                </pic:pic>
              </a:graphicData>
            </a:graphic>
          </wp:inline>
        </w:drawing>
      </w:r>
    </w:p>
    <w:p>
      <w:pPr>
        <w:pStyle w:val="Heading1"/>
        <w:keepNext/>
        <w:pageBreakBefore/>
        <w:spacing w:after="0" w:before="0" w:line="360" w:lineRule="auto"/>
        <w:jc w:val="center"/>
      </w:pPr>
      <w:r>
        <w:rPr>
          <w:rFonts w:ascii="Arial" w:cs="Arial" w:eastAsia="Arial" w:hAnsi="Arial"/>
          <w:b/>
          <w:bCs/>
          <w:color w:val="000000"/>
          <w:sz w:val="24"/>
          <w:szCs w:val="24"/>
        </w:rPr>
        <w:t xml:space="preserve">Plan integral de gestión de riesgos informáticos relacionados con la violación de derechos de propiedad intelectual en el CIESS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Trabajo desde 2014 en el Centro Interamericano de Estudios de Seguridad Social (CIESS), el órgano de docencia, capacitación e investigación de la Conferencia Interamericana de Seguridad Social (CISS) (CIESS, s.f.-b). Soy diseñador UX/UI y desarrollador: diseño interfaces, administro el sitio web institucional y sus micrositios, desarrollo herramientas para el campus virtual (constancias y actas de calificaciones), mantengo reportes en Google Sheets y desarrollé el sistema de registro del 1er Congreso de Estudios Interamericanos de Seguridad Social (CIESS, s.f.-a). También diseñé el logotipo actual y participé en el rediseño de identidad de 2020 a 2022.</w:t>
      </w:r>
    </w:p>
    <w:p>
      <w:pPr>
        <w:spacing w:after="0" w:before="0" w:line="360" w:lineRule="auto"/>
        <w:ind w:firstLine="720"/>
        <w:jc w:val="both"/>
      </w:pPr>
      <w:r>
        <w:rPr>
          <w:rFonts w:ascii="Arial" w:cs="Arial" w:eastAsia="Arial" w:hAnsi="Arial"/>
          <w:sz w:val="24"/>
          <w:szCs w:val="24"/>
        </w:rPr>
        <w:t xml:space="preserve">El sitio del CIESS presenta cursos y eventos (CIESS, s.f.-b) y la Red Interamericana de Universidades para la Seguridad Social, RIUSS (CIESS, s.f.-c). Eso significa que cada día manejo textos, imágenes, videos, código, marcas y bases de datos de participantes de varios países. Todo eso es propiedad intelectual (PI), y todo eso se puede proteger, o violar, con un clic.</w:t>
      </w:r>
    </w:p>
    <w:p>
      <w:pPr>
        <w:spacing w:after="0" w:before="0" w:line="360" w:lineRule="auto"/>
        <w:ind w:firstLine="720"/>
        <w:jc w:val="both"/>
      </w:pPr>
      <w:r>
        <w:rPr>
          <w:rFonts w:ascii="Arial" w:cs="Arial" w:eastAsia="Arial" w:hAnsi="Arial"/>
          <w:sz w:val="24"/>
          <w:szCs w:val="24"/>
        </w:rPr>
        <w:t xml:space="preserve">Este plan atiende dos riesgos informáticos: que otras personas usen sin permiso lo que es del CIESS y que el CIESS use sin permiso lo que es de otras personas. Me apoyé en la Lección 10 (Universidad Virtual del Estado de Guanajuato [UVEG], s.f.), en el capítulo 1 de Uceda Carrillo (2025) y en el artículo de Bernal Guzmán (2025) sobre bases de datos. No soy abogado, así que dejo claro que los puntos legales deben revisarse con el área jurídica antes de aplicarse.</w:t>
      </w:r>
    </w:p>
    <w:p>
      <w:pPr>
        <w:spacing w:after="0" w:before="0" w:line="360" w:lineRule="auto"/>
        <w:ind w:firstLine="720"/>
        <w:jc w:val="both"/>
      </w:pPr>
      <w:r>
        <w:rPr>
          <w:rFonts w:ascii="Arial" w:cs="Arial" w:eastAsia="Arial" w:hAnsi="Arial"/>
          <w:b/>
          <w:bCs/>
          <w:sz w:val="24"/>
          <w:szCs w:val="24"/>
        </w:rPr>
        <w:t xml:space="preserve">Lo que pido a la Dirección:</w:t>
      </w:r>
      <w:r>
        <w:rPr>
          <w:rFonts w:ascii="Arial" w:cs="Arial" w:eastAsia="Arial" w:hAnsi="Arial"/>
          <w:sz w:val="24"/>
          <w:szCs w:val="24"/>
        </w:rPr>
        <w:t xml:space="preserve"> nombrar a una persona responsable de la PI (puedo serlo con apoyo jurídico), aprobar las políticas cortas del apartado 7 y reservar unas 3 horas por semana durante 6 meses.</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160" w:line="360" w:lineRule="auto"/>
        <w:jc w:val="left"/>
      </w:pPr>
      <w:r>
        <w:rPr>
          <w:rFonts w:ascii="Arial" w:cs="Arial" w:eastAsia="Arial" w:hAnsi="Arial"/>
          <w:b/>
          <w:bCs/>
          <w:color w:val="000000"/>
          <w:sz w:val="24"/>
          <w:szCs w:val="24"/>
        </w:rPr>
        <w:t xml:space="preserve">1. Contexto y activos concretos</w:t>
      </w:r>
    </w:p>
    <w:p>
      <w:pPr>
        <w:spacing w:after="0" w:before="0" w:line="360" w:lineRule="auto"/>
        <w:ind w:firstLine="720"/>
        <w:jc w:val="both"/>
      </w:pPr>
      <w:r>
        <w:rPr>
          <w:rFonts w:ascii="Arial" w:cs="Arial" w:eastAsia="Arial" w:hAnsi="Arial"/>
          <w:sz w:val="24"/>
          <w:szCs w:val="24"/>
        </w:rPr>
        <w:t xml:space="preserve">Antes de hablar de leyes, quise listar lo que realmente hay que cuidar. Los activos de PI que identifiqué en mi trabajo son estos:</w:t>
      </w:r>
    </w:p>
    <w:p>
      <w:pPr>
        <w:pStyle w:val="ListParagraph"/>
        <w:numPr>
          <w:ilvl w:val="0"/>
          <w:numId w:val="2"/>
        </w:numPr>
        <w:spacing w:after="0" w:before="0" w:line="360" w:lineRule="auto"/>
        <w:jc w:val="both"/>
      </w:pPr>
      <w:r>
        <w:rPr>
          <w:rFonts w:ascii="Arial" w:cs="Arial" w:eastAsia="Arial" w:hAnsi="Arial"/>
          <w:b/>
          <w:bCs/>
          <w:sz w:val="24"/>
          <w:szCs w:val="24"/>
        </w:rPr>
        <w:t xml:space="preserve">Marca e identidad:</w:t>
      </w:r>
      <w:r>
        <w:rPr>
          <w:rFonts w:ascii="Arial" w:cs="Arial" w:eastAsia="Arial" w:hAnsi="Arial"/>
          <w:sz w:val="24"/>
          <w:szCs w:val="24"/>
        </w:rPr>
        <w:t xml:space="preserve"> el nombre y el logotipo del CIESS, RIUSS y el nombre del congreso.</w:t>
      </w:r>
    </w:p>
    <w:p>
      <w:pPr>
        <w:pStyle w:val="ListParagraph"/>
        <w:numPr>
          <w:ilvl w:val="0"/>
          <w:numId w:val="2"/>
        </w:numPr>
        <w:spacing w:after="0" w:before="0" w:line="360" w:lineRule="auto"/>
        <w:jc w:val="both"/>
      </w:pPr>
      <w:r>
        <w:rPr>
          <w:rFonts w:ascii="Arial" w:cs="Arial" w:eastAsia="Arial" w:hAnsi="Arial"/>
          <w:b/>
          <w:bCs/>
          <w:sz w:val="24"/>
          <w:szCs w:val="24"/>
        </w:rPr>
        <w:t xml:space="preserve">Contenido académico y editorial:</w:t>
      </w:r>
      <w:r>
        <w:rPr>
          <w:rFonts w:ascii="Arial" w:cs="Arial" w:eastAsia="Arial" w:hAnsi="Arial"/>
          <w:sz w:val="24"/>
          <w:szCs w:val="24"/>
        </w:rPr>
        <w:t xml:space="preserve"> materiales de cursos, boletines, revistas, videos y pódcast.</w:t>
      </w:r>
    </w:p>
    <w:p>
      <w:pPr>
        <w:pStyle w:val="ListParagraph"/>
        <w:numPr>
          <w:ilvl w:val="0"/>
          <w:numId w:val="2"/>
        </w:numPr>
        <w:spacing w:after="0" w:before="0" w:line="360" w:lineRule="auto"/>
        <w:jc w:val="both"/>
      </w:pPr>
      <w:r>
        <w:rPr>
          <w:rFonts w:ascii="Arial" w:cs="Arial" w:eastAsia="Arial" w:hAnsi="Arial"/>
          <w:b/>
          <w:bCs/>
          <w:sz w:val="24"/>
          <w:szCs w:val="24"/>
        </w:rPr>
        <w:t xml:space="preserve">Software propio:</w:t>
      </w:r>
      <w:r>
        <w:rPr>
          <w:rFonts w:ascii="Arial" w:cs="Arial" w:eastAsia="Arial" w:hAnsi="Arial"/>
          <w:sz w:val="24"/>
          <w:szCs w:val="24"/>
        </w:rPr>
        <w:t xml:space="preserve"> el sistema de registro del congreso y las herramientas del campus (constancias y actas).</w:t>
      </w:r>
    </w:p>
    <w:p>
      <w:pPr>
        <w:pStyle w:val="ListParagraph"/>
        <w:numPr>
          <w:ilvl w:val="0"/>
          <w:numId w:val="2"/>
        </w:numPr>
        <w:spacing w:after="0" w:before="0" w:line="360" w:lineRule="auto"/>
        <w:jc w:val="both"/>
      </w:pPr>
      <w:r>
        <w:rPr>
          <w:rFonts w:ascii="Arial" w:cs="Arial" w:eastAsia="Arial" w:hAnsi="Arial"/>
          <w:b/>
          <w:bCs/>
          <w:sz w:val="24"/>
          <w:szCs w:val="24"/>
        </w:rPr>
        <w:t xml:space="preserve">Bases de datos:</w:t>
      </w:r>
      <w:r>
        <w:rPr>
          <w:rFonts w:ascii="Arial" w:cs="Arial" w:eastAsia="Arial" w:hAnsi="Arial"/>
          <w:sz w:val="24"/>
          <w:szCs w:val="24"/>
        </w:rPr>
        <w:t xml:space="preserve"> participantes del congreso, calificaciones y reportes en Google Sheets.</w:t>
      </w:r>
    </w:p>
    <w:p>
      <w:pPr>
        <w:pStyle w:val="ListParagraph"/>
        <w:numPr>
          <w:ilvl w:val="0"/>
          <w:numId w:val="2"/>
        </w:numPr>
        <w:spacing w:after="0" w:before="0" w:line="360" w:lineRule="auto"/>
        <w:jc w:val="both"/>
      </w:pPr>
      <w:r>
        <w:rPr>
          <w:rFonts w:ascii="Arial" w:cs="Arial" w:eastAsia="Arial" w:hAnsi="Arial"/>
          <w:b/>
          <w:bCs/>
          <w:sz w:val="24"/>
          <w:szCs w:val="24"/>
        </w:rPr>
        <w:t xml:space="preserve">Interfaces:</w:t>
      </w:r>
      <w:r>
        <w:rPr>
          <w:rFonts w:ascii="Arial" w:cs="Arial" w:eastAsia="Arial" w:hAnsi="Arial"/>
          <w:sz w:val="24"/>
          <w:szCs w:val="24"/>
        </w:rPr>
        <w:t xml:space="preserve"> el sitio web, los micrositios y el campus virtual.</w:t>
      </w:r>
    </w:p>
    <w:p>
      <w:pPr>
        <w:pStyle w:val="ListParagraph"/>
        <w:numPr>
          <w:ilvl w:val="0"/>
          <w:numId w:val="2"/>
        </w:numPr>
        <w:spacing w:after="0" w:before="0" w:line="360" w:lineRule="auto"/>
        <w:jc w:val="both"/>
      </w:pPr>
      <w:r>
        <w:rPr>
          <w:rFonts w:ascii="Arial" w:cs="Arial" w:eastAsia="Arial" w:hAnsi="Arial"/>
          <w:b/>
          <w:bCs/>
          <w:sz w:val="24"/>
          <w:szCs w:val="24"/>
        </w:rPr>
        <w:t xml:space="preserve">Grabaciones:</w:t>
      </w:r>
      <w:r>
        <w:rPr>
          <w:rFonts w:ascii="Arial" w:cs="Arial" w:eastAsia="Arial" w:hAnsi="Arial"/>
          <w:sz w:val="24"/>
          <w:szCs w:val="24"/>
        </w:rPr>
        <w:t xml:space="preserve"> la voz e imagen de ponentes y docentes.</w:t>
      </w:r>
    </w:p>
    <w:p>
      <w:pPr>
        <w:spacing w:after="0" w:before="0" w:line="360" w:lineRule="auto"/>
        <w:ind w:firstLine="720"/>
        <w:jc w:val="both"/>
      </w:pPr>
      <w:r>
        <w:rPr>
          <w:rFonts w:ascii="Arial" w:cs="Arial" w:eastAsia="Arial" w:hAnsi="Arial"/>
          <w:sz w:val="24"/>
          <w:szCs w:val="24"/>
        </w:rPr>
        <w:t xml:space="preserve">Además, el CIESS usa material de terceros: imágenes, fuentes tipográficas, música, </w:t>
      </w:r>
      <w:r>
        <w:rPr>
          <w:rFonts w:ascii="Arial" w:cs="Arial" w:eastAsia="Arial" w:hAnsi="Arial"/>
          <w:i/>
          <w:iCs/>
          <w:sz w:val="24"/>
          <w:szCs w:val="24"/>
        </w:rPr>
        <w:t xml:space="preserve">plugins</w:t>
      </w:r>
      <w:r>
        <w:rPr>
          <w:rFonts w:ascii="Arial" w:cs="Arial" w:eastAsia="Arial" w:hAnsi="Arial"/>
          <w:sz w:val="24"/>
          <w:szCs w:val="24"/>
        </w:rPr>
        <w:t xml:space="preserve"> y herramientas de IA. Ese material es el origen del segundo riesgo del plan.</w:t>
      </w:r>
    </w:p>
    <w:p>
      <w:pPr>
        <w:pStyle w:val="Heading2"/>
        <w:keepNext/>
        <w:spacing w:after="0" w:before="160" w:line="360" w:lineRule="auto"/>
        <w:jc w:val="left"/>
      </w:pPr>
      <w:r>
        <w:rPr>
          <w:rFonts w:ascii="Arial" w:cs="Arial" w:eastAsia="Arial" w:hAnsi="Arial"/>
          <w:b/>
          <w:bCs/>
          <w:color w:val="000000"/>
          <w:sz w:val="24"/>
          <w:szCs w:val="24"/>
        </w:rPr>
        <w:t xml:space="preserve">2. Conceptos base</w:t>
      </w:r>
    </w:p>
    <w:p>
      <w:pPr>
        <w:spacing w:after="0" w:before="0" w:line="360" w:lineRule="auto"/>
        <w:ind w:firstLine="720"/>
        <w:jc w:val="both"/>
      </w:pPr>
      <w:r>
        <w:rPr>
          <w:rFonts w:ascii="Arial" w:cs="Arial" w:eastAsia="Arial" w:hAnsi="Arial"/>
          <w:sz w:val="24"/>
          <w:szCs w:val="24"/>
        </w:rPr>
        <w:t xml:space="preserve">La PI protege las creaciones de la mente (Organización Mundial de la Propiedad Intelectual [OMPI], 2020). Tiene dos ramas: los derechos de autor, que protegen obras literarias, artísticas, programas de computación y bases de datos, y la propiedad industrial, que protege invenciones, signos distintivos como las marcas y diseños industriales (Uceda Carrillo, 2025). En inglés, </w:t>
      </w:r>
      <w:r>
        <w:rPr>
          <w:rFonts w:ascii="Arial" w:cs="Arial" w:eastAsia="Arial" w:hAnsi="Arial"/>
          <w:i/>
          <w:iCs/>
          <w:sz w:val="24"/>
          <w:szCs w:val="24"/>
        </w:rPr>
        <w:t xml:space="preserve">intellectual property</w:t>
      </w:r>
      <w:r>
        <w:rPr>
          <w:rFonts w:ascii="Arial" w:cs="Arial" w:eastAsia="Arial" w:hAnsi="Arial"/>
          <w:sz w:val="24"/>
          <w:szCs w:val="24"/>
        </w:rPr>
        <w:t xml:space="preserve"> incluye las dos ramas, y traducirla como si fuera solo propiedad industrial es un error frecuente (Uceda Carrillo, 2025).</w:t>
      </w:r>
    </w:p>
    <w:p>
      <w:pPr>
        <w:spacing w:after="0" w:before="0" w:line="360" w:lineRule="auto"/>
        <w:ind w:firstLine="720"/>
        <w:jc w:val="both"/>
      </w:pPr>
      <w:r>
        <w:rPr>
          <w:rFonts w:ascii="Arial" w:cs="Arial" w:eastAsia="Arial" w:hAnsi="Arial"/>
          <w:sz w:val="24"/>
          <w:szCs w:val="24"/>
        </w:rPr>
        <w:t xml:space="preserve">Los derechos de autor nacen cuando una obra original se fija en un medio tangible, como un archivo o un papel, y no necesitan registro (Uceda Carrillo, 2025). Hay dos clases: los morales (paternidad e integridad), que son inalienables, imprescriptibles e inembargables, y los patrimoniales, que permiten explotar la obra y duran un tiempo limitado (UVEG, s.f.). Algo que me aclaró Uceda Carrillo (2025) es que las ideas no se protegen, solo su expresión.</w:t>
      </w:r>
    </w:p>
    <w:p>
      <w:pPr>
        <w:spacing w:after="0" w:before="0" w:line="360" w:lineRule="auto"/>
        <w:ind w:firstLine="720"/>
        <w:jc w:val="both"/>
      </w:pPr>
      <w:r>
        <w:rPr>
          <w:rFonts w:ascii="Arial" w:cs="Arial" w:eastAsia="Arial" w:hAnsi="Arial"/>
          <w:sz w:val="24"/>
          <w:szCs w:val="24"/>
        </w:rPr>
        <w:t xml:space="preserve">En la propiedad industrial el registro sí es indispensable: los derechos de una marca nacen con él (Uceda Carrillo, 2025). Tiene tres pilares: marcas y nombres comerciales, diseños industriales, y patentes y modelos de utilidad. Las marcas se registran, no se “patentan”, y no existe una “patente mundial”, porque el trámite internacional termina en patentes nacionales o regionales (Uceda Carrillo, 2025).</w:t>
      </w:r>
    </w:p>
    <w:p>
      <w:pPr>
        <w:spacing w:after="0" w:before="0" w:line="360" w:lineRule="auto"/>
        <w:ind w:firstLine="720"/>
        <w:jc w:val="both"/>
      </w:pPr>
      <w:r>
        <w:rPr>
          <w:rFonts w:ascii="Arial" w:cs="Arial" w:eastAsia="Arial" w:hAnsi="Arial"/>
          <w:sz w:val="24"/>
          <w:szCs w:val="24"/>
        </w:rPr>
        <w:t xml:space="preserve">En lo digital, la Lección 10 habla de las medidas tecnológicas de protección (MTP) y de la gestión de derechos digitales (DRM, por </w:t>
      </w:r>
      <w:r>
        <w:rPr>
          <w:rFonts w:ascii="Arial" w:cs="Arial" w:eastAsia="Arial" w:hAnsi="Arial"/>
          <w:i/>
          <w:iCs/>
          <w:sz w:val="24"/>
          <w:szCs w:val="24"/>
        </w:rPr>
        <w:t xml:space="preserve">Digital Rights Management</w:t>
      </w:r>
      <w:r>
        <w:rPr>
          <w:rFonts w:ascii="Arial" w:cs="Arial" w:eastAsia="Arial" w:hAnsi="Arial"/>
          <w:sz w:val="24"/>
          <w:szCs w:val="24"/>
        </w:rPr>
        <w:t xml:space="preserve">), que limitan quién accede a un contenido y si se puede copiar, descargar o imprimir. También advierte que publicar algo en redes sociales no lo deja libre de derechos (UVEG, s.f.). Las licencias Creative Commons permiten compartir con condiciones: BY (atribución), NC (no comercial), ND (sin derivadas) y SA (compartir igual) (Creative Commons, s.f.).</w:t>
      </w:r>
    </w:p>
    <w:p>
      <w:pPr>
        <w:spacing w:after="0" w:before="0" w:line="360" w:lineRule="auto"/>
        <w:ind w:firstLine="720"/>
        <w:jc w:val="both"/>
      </w:pPr>
      <w:r>
        <w:rPr>
          <w:rFonts w:ascii="Arial" w:cs="Arial" w:eastAsia="Arial" w:hAnsi="Arial"/>
          <w:sz w:val="24"/>
          <w:szCs w:val="24"/>
        </w:rPr>
        <w:t xml:space="preserve">Proteger tiene sentido porque los activos intangibles pesan mucho: cerca del 90 % del valor de las empresas del índice S&amp;P 500 (Uceda Carrillo, 2025). Ese mismo autor muestra que las marcas suelen sobrevivir a las empresas que las crearon, y recomienda proteger según el valor y los recursos de cada organización.</w:t>
      </w:r>
    </w:p>
    <w:p>
      <w:pPr>
        <w:pStyle w:val="Heading2"/>
        <w:keepNext/>
        <w:spacing w:after="0" w:before="160" w:line="360" w:lineRule="auto"/>
        <w:jc w:val="left"/>
      </w:pPr>
      <w:r>
        <w:rPr>
          <w:rFonts w:ascii="Arial" w:cs="Arial" w:eastAsia="Arial" w:hAnsi="Arial"/>
          <w:b/>
          <w:bCs/>
          <w:color w:val="000000"/>
          <w:sz w:val="24"/>
          <w:szCs w:val="24"/>
        </w:rPr>
        <w:t xml:space="preserve">3. Consideraciones legales nacionales</w:t>
      </w:r>
    </w:p>
    <w:p>
      <w:pPr>
        <w:spacing w:after="0" w:before="0" w:line="360" w:lineRule="auto"/>
        <w:ind w:firstLine="720"/>
        <w:jc w:val="both"/>
      </w:pPr>
      <w:r>
        <w:rPr>
          <w:rFonts w:ascii="Arial" w:cs="Arial" w:eastAsia="Arial" w:hAnsi="Arial"/>
          <w:sz w:val="24"/>
          <w:szCs w:val="24"/>
        </w:rPr>
        <w:t xml:space="preserve">Para el CIESS, con sede en México, tomo la ley mexicana como referencia mínima, como hice con los datos personales en el Reto 3. La Tabla 1 resume qué normas aplican y por qué.</w:t>
      </w:r>
    </w:p>
    <w:p>
      <w:pPr>
        <w:keepNext/>
        <w:spacing w:after="0" w:before="0" w:line="360" w:lineRule="auto"/>
      </w:pPr>
      <w:r>
        <w:rPr>
          <w:rFonts w:ascii="Arial" w:cs="Arial" w:eastAsia="Arial" w:hAnsi="Arial"/>
          <w:b/>
          <w:bCs/>
          <w:sz w:val="24"/>
          <w:szCs w:val="24"/>
        </w:rPr>
        <w:t xml:space="preserve">Tabla 1</w:t>
      </w:r>
    </w:p>
    <w:p>
      <w:pPr>
        <w:keepNext/>
        <w:spacing w:after="0" w:before="0" w:line="360" w:lineRule="auto"/>
      </w:pPr>
      <w:r>
        <w:rPr>
          <w:rFonts w:ascii="Arial" w:cs="Arial" w:eastAsia="Arial" w:hAnsi="Arial"/>
          <w:i/>
          <w:iCs/>
          <w:sz w:val="24"/>
          <w:szCs w:val="24"/>
        </w:rPr>
        <w:t xml:space="preserve">Normas mexicanas aplicables a la propiedad intelectual del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3238"/>
      </w:tblGrid>
      <w:tr>
        <w:trPr>
          <w:cantSplit/>
          <w:tblHeader/>
        </w:trPr>
        <w:tc>
          <w:tcPr>
            <w:tcW w:type="dxa" w:w="21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Norma o institución</w:t>
            </w:r>
          </w:p>
        </w:tc>
        <w:tc>
          <w:tcPr>
            <w:tcW w:type="dxa" w:w="3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regula</w:t>
            </w:r>
          </w:p>
        </w:tc>
        <w:tc>
          <w:tcPr>
            <w:tcW w:type="dxa" w:w="32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Por qué aplica al CIESS</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Ley Federal del Derecho de Autor (LFDA,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Protege las obras desde que se fijan en un soporte, sin trámite (art. 5). Los programas de computación son obras literarias (art. 102). Las bases de datos se protegen por la selección y disposición de su contenido, no por los datos en sí (art. 107). Fija los derechos morales y patrimoniales (arts. 18, 21 y 29) y permite citar con la fuente (art. 148)</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Casi todo lo que produce el CIESS son obras: textos, videos, código, interfaces, constancias y bases de datos</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Ley Federal de Protección a la Propiedad Industrial (LFPPI, 2026)</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Regula marcas, avisos y nombres comerciales, diseños industriales, patentes, modelos de utilidad, indicaciones geográficas y secreto industrial (arts. 5 y 163)</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Cubre el nombre y logotipo del CIESS, las interfaces y la información confidencial, como el código no publicado</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Ley Federal de Protección de Datos Personales en Posesión de los Particulares (LFPDPPP,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Datos personales, como nombre, voz o imagen</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graba ponentes y guarda datos de participantes. La LFDA también pide autorización para usar un retrato (art. 87) o publicar información privada de una base de datos (art. 109)</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Instituto Nacional del Derecho de Autor (INDAUTOR,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Registra obras y contratos de derechos de autor</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Ahí se registrarían las obras clave y los contratos de cesión</w:t>
            </w:r>
          </w:p>
        </w:tc>
      </w:tr>
      <w:tr>
        <w:trPr>
          <w:cantSplit/>
        </w:trPr>
        <w:tc>
          <w:tcPr>
            <w:tcW w:type="dxa" w:w="21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Instituto Mexicano de la Propiedad Industrial (IMPI, 2025)</w:t>
            </w:r>
          </w:p>
        </w:tc>
        <w:tc>
          <w:tcPr>
            <w:tcW w:type="dxa" w:w="3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Marcas, patentes, diseños y otras figuras de propiedad industrial</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Ahí se buscarían y registrarían las marcas, y se vigilaría el boletín</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Resumen mío de las normas citadas. Los artículos deben confirmarse en el texto vigente. Elaboración propia con base en LFDA (2026), LFPPI (2026), LFPDPPP (2025), INDAUTOR (2025) e IMPI (2025).</w:t>
      </w:r>
    </w:p>
    <w:p>
      <w:pPr>
        <w:spacing w:after="0" w:before="0" w:line="360" w:lineRule="auto"/>
        <w:ind w:firstLine="720"/>
        <w:jc w:val="both"/>
      </w:pPr>
      <w:r>
        <w:rPr>
          <w:rFonts w:ascii="Arial" w:cs="Arial" w:eastAsia="Arial" w:hAnsi="Arial"/>
          <w:sz w:val="24"/>
          <w:szCs w:val="24"/>
        </w:rPr>
        <w:t xml:space="preserve">Lo más importante para mi trabajo es saber de quién es una obra cuando la hace una persona empleada o externa (Tabla 2). Uceda Carrillo (2025) explica que la persona autora siempre es una persona física y que, si una empresa contrata a alguien para diseñar o programar, los derechos de explotación son de quien creó la obra, salvo cesión expresa. En México la LFDA ya trae reglas para varios casos, pero conviene aclararlas por escrito, porque un pacto puede cambiarlas.</w:t>
      </w:r>
    </w:p>
    <w:p>
      <w:pPr>
        <w:keepNext/>
        <w:spacing w:after="0" w:before="0" w:line="360" w:lineRule="auto"/>
      </w:pPr>
      <w:r>
        <w:rPr>
          <w:rFonts w:ascii="Arial" w:cs="Arial" w:eastAsia="Arial" w:hAnsi="Arial"/>
          <w:b/>
          <w:bCs/>
          <w:sz w:val="24"/>
          <w:szCs w:val="24"/>
        </w:rPr>
        <w:t xml:space="preserve">Tabla 2</w:t>
      </w:r>
    </w:p>
    <w:p>
      <w:pPr>
        <w:keepNext/>
        <w:spacing w:after="0" w:before="0" w:line="360" w:lineRule="auto"/>
      </w:pPr>
      <w:r>
        <w:rPr>
          <w:rFonts w:ascii="Arial" w:cs="Arial" w:eastAsia="Arial" w:hAnsi="Arial"/>
          <w:i/>
          <w:iCs/>
          <w:sz w:val="24"/>
          <w:szCs w:val="24"/>
        </w:rPr>
        <w:t xml:space="preserve">Quién es titular de una obra según la LFDA</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2838"/>
      </w:tblGrid>
      <w:tr>
        <w:trPr>
          <w:cantSplit/>
          <w:tblHeader/>
        </w:trPr>
        <w:tc>
          <w:tcPr>
            <w:tcW w:type="dxa" w:w="23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Situación</w:t>
            </w:r>
          </w:p>
        </w:tc>
        <w:tc>
          <w:tcPr>
            <w:tcW w:type="dxa" w:w="3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dice la LFDA</w:t>
            </w:r>
          </w:p>
        </w:tc>
        <w:tc>
          <w:tcPr>
            <w:tcW w:type="dxa" w:w="28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haré en el CIESS</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 encargada a una persona o empresa externa, o hecha con colaboración remunerada (art. 83)</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Salvo pacto en contrario, los derechos patrimoniales son de quien encarga la obra. La persona autora debe ser mencionada.</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Contrato por escrito que diga qué se cede, para qué usos, por cuánto tiempo y cómo se menciona a la persona autora</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 de una persona empleada, con contrato individual de trabajo por escrito (art. 84)</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Salvo pacto en contrario, los derechos patrimoniales se dividen por partes iguales entre quien emplea y quien es empleada. El empleador puede divulgar la obra sin autorización.</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Pactar por escrito la cesión de los derechos patrimoniales al CIESS cuando la obra se hace como parte del trabajo</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 de una persona empleada, sin contrato individual por escrito (art. 84)</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Los derechos patrimoniales corresponden a la persona empleada.</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Formalizar el contrato. Es el caso más riesgoso</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Programa de computación creado por una persona empleada en sus funciones (art. 103)</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Salvo pacto en contrario, los derechos patrimoniales corresponden a quien emplea.</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Dejar constancia del pacto y de qué sistemas entran en esta regla</w:t>
            </w:r>
          </w:p>
        </w:tc>
      </w:tr>
      <w:tr>
        <w:trPr>
          <w:cantSplit/>
        </w:trPr>
        <w:tc>
          <w:tcPr>
            <w:tcW w:type="dxa" w:w="23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Derechos morales de cualquier obra (arts. 18 y 21)</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Pertenecen siempre a la persona autora (paternidad e integridad) y no se pueden ceder.</w:t>
            </w:r>
          </w:p>
        </w:tc>
        <w:tc>
          <w:tcPr>
            <w:tcW w:type="dxa" w:w="28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Mencionar a la persona autora y no alterar la obra sin su autorización</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Resumen mío de los artículos citados de la LFDA (2026). Debe confirmarse con el texto vigente y con el área jurídica, porque el régimen laboral del personal del CIESS puede tener reglas propias.</w:t>
      </w:r>
    </w:p>
    <w:p>
      <w:pPr>
        <w:spacing w:after="0" w:before="0" w:line="360" w:lineRule="auto"/>
        <w:ind w:firstLine="720"/>
        <w:jc w:val="both"/>
      </w:pPr>
      <w:r>
        <w:rPr>
          <w:rFonts w:ascii="Arial" w:cs="Arial" w:eastAsia="Arial" w:hAnsi="Arial"/>
          <w:sz w:val="24"/>
          <w:szCs w:val="24"/>
        </w:rPr>
        <w:t xml:space="preserve">Incumplir estas normas puede traer sanciones administrativas, civiles e incluso penales. No entro al detalle porque corresponde al área jurídica. Sí quiero dejar claro que, en el caso de la IA generativa, INDAUTOR no registra obras creadas exclusivamente con IA (Jalife, 2025).</w:t>
      </w:r>
    </w:p>
    <w:p>
      <w:pPr>
        <w:pStyle w:val="Heading2"/>
        <w:keepNext/>
        <w:spacing w:after="0" w:before="160" w:line="360" w:lineRule="auto"/>
        <w:jc w:val="left"/>
      </w:pPr>
      <w:r>
        <w:rPr>
          <w:rFonts w:ascii="Arial" w:cs="Arial" w:eastAsia="Arial" w:hAnsi="Arial"/>
          <w:b/>
          <w:bCs/>
          <w:color w:val="000000"/>
          <w:sz w:val="24"/>
          <w:szCs w:val="24"/>
        </w:rPr>
        <w:t xml:space="preserve">4. Consideraciones legales internacionales</w:t>
      </w:r>
    </w:p>
    <w:p>
      <w:pPr>
        <w:spacing w:after="0" w:before="0" w:line="360" w:lineRule="auto"/>
        <w:ind w:firstLine="720"/>
        <w:jc w:val="both"/>
      </w:pPr>
      <w:r>
        <w:rPr>
          <w:rFonts w:ascii="Arial" w:cs="Arial" w:eastAsia="Arial" w:hAnsi="Arial"/>
          <w:sz w:val="24"/>
          <w:szCs w:val="24"/>
        </w:rPr>
        <w:t xml:space="preserve">Las organizaciones mundiales más importantes para este tema son dos. La OMPI administra los tratados de PI (OMPI, 2020), y la Organización Mundial del Comercio (OMC) administra el Acuerdo sobre los Aspectos de los Derechos de Propiedad Intelectual relacionados con el Comercio (ADPIC). La Tabla 3 reúne los instrumentos que más me importan, con el motivo por el que aplican.</w:t>
      </w:r>
    </w:p>
    <w:p>
      <w:pPr>
        <w:keepNext/>
        <w:spacing w:after="0" w:before="0" w:line="360" w:lineRule="auto"/>
      </w:pPr>
      <w:r>
        <w:rPr>
          <w:rFonts w:ascii="Arial" w:cs="Arial" w:eastAsia="Arial" w:hAnsi="Arial"/>
          <w:b/>
          <w:bCs/>
          <w:sz w:val="24"/>
          <w:szCs w:val="24"/>
        </w:rPr>
        <w:t xml:space="preserve">Tabla 3</w:t>
      </w:r>
    </w:p>
    <w:p>
      <w:pPr>
        <w:keepNext/>
        <w:spacing w:after="0" w:before="0" w:line="360" w:lineRule="auto"/>
      </w:pPr>
      <w:r>
        <w:rPr>
          <w:rFonts w:ascii="Arial" w:cs="Arial" w:eastAsia="Arial" w:hAnsi="Arial"/>
          <w:i/>
          <w:iCs/>
          <w:sz w:val="24"/>
          <w:szCs w:val="24"/>
        </w:rPr>
        <w:t xml:space="preserve">Instrumentos internacionales y su relación con el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238"/>
      </w:tblGrid>
      <w:tr>
        <w:trPr>
          <w:cantSplit/>
          <w:tblHeader/>
        </w:trPr>
        <w:tc>
          <w:tcPr>
            <w:tcW w:type="dxa" w:w="19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Instrumento</w:t>
            </w:r>
          </w:p>
        </w:tc>
        <w:tc>
          <w:tcPr>
            <w:tcW w:type="dxa" w:w="37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aporta</w:t>
            </w:r>
          </w:p>
        </w:tc>
        <w:tc>
          <w:tcPr>
            <w:tcW w:type="dxa" w:w="32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Por qué aplica al CIESS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Convenio de Berna (1886; Acta de París de 1971)</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Trato nacional, protección automática sin registro e independencia de la protección (CEDRO, 2024). Mínimo de 50 años tras la muerte de la persona autora (OMPI, 1979). Protege las bases de datos como compilaciones por su selección o disposición (art. 2.5;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 que publica el CIESS queda protegido sin trámite en los países miembros, que son los de sus participantes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Acuerdo sobre los ADPIC (OMC, 1994)</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Exige cumplir lo esencial de Berna, salvo los derechos morales. Protege los programas de computación como obras literarias (art. 10.1), las compilaciones de datos (art. 10.2) y la información no divulgada (art. 39). Obliga a tener formas de hacer valer los derechos (OMC, 1994;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Es un piso común para los países de la OMC: sirve para el código, las bases de datos y los secretos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Tratado de la OMPI sobre Derecho de Autor (WCT, 1996)</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Lleva Berna al entorno digital: protege programas y bases de datos (art. 5) y obliga a proteger las medidas tecnológicas contra su evasión (OMPI, 1996;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Respalda usar acceso por cuenta y otras medidas técnicas en el campus y el sitio</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Sistema de Madrid (OMPI)</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Una sola solicitud internacional de marca, con efecto en 131 países y vigencia de 10 años renovable (OMPI, 2025a)</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Sería la vía más sencilla si el CIESS necesitara su marca protegida en otros países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Reglamento General de Protección de Datos de la Unión Europea (RGPD, 2016)</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Protege los datos personales de personas que están en la Unión Europea, incluso frente a organizaciones de fuera que les ofrecen servicios o vigilan su comportamiento (art. 3)</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Puede aplicar si hay participantes en la Unión Europea, porque su voz, imagen y datos de inscripción son datos personales</w:t>
            </w:r>
          </w:p>
        </w:tc>
      </w:tr>
      <w:tr>
        <w:trPr>
          <w:cantSplit/>
        </w:trPr>
        <w:tc>
          <w:tcPr>
            <w:tcW w:type="dxa" w:w="19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Directiva 96/9/CE (Unión Europea)</w:t>
            </w:r>
          </w:p>
        </w:tc>
        <w:tc>
          <w:tcPr>
            <w:tcW w:type="dxa" w:w="37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Da a las bases de datos con una inversión sustancial un derecho propio (</w:t>
            </w:r>
            <w:r>
              <w:rPr>
                <w:rFonts w:ascii="Arial" w:cs="Arial" w:eastAsia="Arial" w:hAnsi="Arial"/>
                <w:i/>
                <w:iCs/>
                <w:sz w:val="18"/>
                <w:szCs w:val="18"/>
              </w:rPr>
              <w:t xml:space="preserve">sui generis</w:t>
            </w:r>
            <w:r>
              <w:rPr>
                <w:rFonts w:ascii="Arial" w:cs="Arial" w:eastAsia="Arial" w:hAnsi="Arial"/>
                <w:sz w:val="18"/>
                <w:szCs w:val="18"/>
              </w:rPr>
              <w:t xml:space="preserve">) de 15 años (Bernal Guzmán, 2025)</w:t>
            </w:r>
          </w:p>
        </w:tc>
        <w:tc>
          <w:tcPr>
            <w:tcW w:type="dxa" w:w="32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 sirve de referencia: en México solo hay una protección breve para las no originales (LFDA, 2026, art. 108)</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CEDRO (2024), OMPI (1979, 1996, 2025a), OMC (1994), RGPD (2016) y Bernal Guzmán (2025).</w:t>
      </w:r>
    </w:p>
    <w:p>
      <w:pPr>
        <w:spacing w:after="0" w:before="0" w:line="360" w:lineRule="auto"/>
        <w:ind w:firstLine="720"/>
        <w:jc w:val="both"/>
      </w:pPr>
      <w:r>
        <w:rPr>
          <w:rFonts w:ascii="Arial" w:cs="Arial" w:eastAsia="Arial" w:hAnsi="Arial"/>
          <w:sz w:val="24"/>
          <w:szCs w:val="24"/>
        </w:rPr>
        <w:t xml:space="preserve">Para saber qué países participan, revisé algunos de la región, más España (Tabla 4). Todos pertenecen a las tres organizaciones. Berna tiene más de 180 países miembros (Uceda Carrillo, 2025), y Madrid cubre 131 (OMPI, 2025a).</w:t>
      </w:r>
    </w:p>
    <w:p>
      <w:pPr>
        <w:keepNext/>
        <w:spacing w:after="0" w:before="0" w:line="360" w:lineRule="auto"/>
      </w:pPr>
      <w:r>
        <w:rPr>
          <w:rFonts w:ascii="Arial" w:cs="Arial" w:eastAsia="Arial" w:hAnsi="Arial"/>
          <w:b/>
          <w:bCs/>
          <w:sz w:val="24"/>
          <w:szCs w:val="24"/>
        </w:rPr>
        <w:t xml:space="preserve">Tabla 4</w:t>
      </w:r>
    </w:p>
    <w:p>
      <w:pPr>
        <w:keepNext/>
        <w:spacing w:after="0" w:before="0" w:line="360" w:lineRule="auto"/>
      </w:pPr>
      <w:r>
        <w:rPr>
          <w:rFonts w:ascii="Arial" w:cs="Arial" w:eastAsia="Arial" w:hAnsi="Arial"/>
          <w:i/>
          <w:iCs/>
          <w:sz w:val="24"/>
          <w:szCs w:val="24"/>
        </w:rPr>
        <w:t xml:space="preserve">Países y organizaciones mundiales de propiedad intelectual</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2400"/>
        <w:gridCol w:w="2146"/>
        <w:gridCol w:w="2146"/>
        <w:gridCol w:w="2146"/>
      </w:tblGrid>
      <w:tr>
        <w:trPr>
          <w:cantSplit/>
          <w:tblHeader/>
        </w:trPr>
        <w:tc>
          <w:tcPr>
            <w:tcW w:type="dxa" w:w="24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País</w:t>
            </w:r>
          </w:p>
        </w:tc>
        <w:tc>
          <w:tcPr>
            <w:tcW w:type="dxa" w:w="21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Convenio de Berna</w:t>
            </w:r>
          </w:p>
        </w:tc>
        <w:tc>
          <w:tcPr>
            <w:tcW w:type="dxa" w:w="21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ADPIC (OMC)</w:t>
            </w:r>
          </w:p>
        </w:tc>
        <w:tc>
          <w:tcPr>
            <w:tcW w:type="dxa" w:w="2146"/>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Sistema de Madrid (marcas)</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México (sede del CIESS)</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Estados Unidos</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Brasil</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Colombia</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Chile</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r>
        <w:trPr>
          <w:cantSplit/>
        </w:trPr>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España (ejemplo de Uceda Carrillo, 2025)</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c>
          <w:tcPr>
            <w:tcW w:type="dxa" w:w="2146"/>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Sí</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OMPI (1979, 2025a) y OMC (1994). La pertenencia de cada país debe confirmarse en los listados oficiales vigentes.</w:t>
      </w:r>
    </w:p>
    <w:p>
      <w:pPr>
        <w:spacing w:after="0" w:before="0" w:line="360" w:lineRule="auto"/>
        <w:ind w:firstLine="720"/>
        <w:jc w:val="both"/>
      </w:pPr>
      <w:r>
        <w:rPr>
          <w:rFonts w:ascii="Arial" w:cs="Arial" w:eastAsia="Arial" w:hAnsi="Arial"/>
          <w:sz w:val="24"/>
          <w:szCs w:val="24"/>
        </w:rPr>
        <w:t xml:space="preserve">De aquí saco dos ideas. Primero, los derechos de autor “viajan” solos: la obra del CIESS queda protegida sin trámite en los países de Berna. Segundo, la propiedad industrial es territorial: una marca registrada en España no protege en Francia ni en México (Uceda Carrillo, 2025). Por eso el logotipo está protegido como obra en muchos países, pero como marca solo donde esté registrado.</w:t>
      </w:r>
    </w:p>
    <w:p>
      <w:pPr>
        <w:spacing w:after="0" w:before="0" w:line="360" w:lineRule="auto"/>
        <w:ind w:firstLine="720"/>
        <w:jc w:val="both"/>
      </w:pPr>
      <w:r>
        <w:rPr>
          <w:rFonts w:ascii="Arial" w:cs="Arial" w:eastAsia="Arial" w:hAnsi="Arial"/>
          <w:sz w:val="24"/>
          <w:szCs w:val="24"/>
        </w:rPr>
        <w:t xml:space="preserve">Además, cada país decide de forma distinta de quién es la obra de un empleado, que la Lección 10 señala como un mito que depende del país (UVEG, s.f.). Por eso </w:t>
      </w:r>
      <w:r>
        <w:rPr>
          <w:rFonts w:ascii="Arial" w:cs="Arial" w:eastAsia="Arial" w:hAnsi="Arial"/>
          <w:b/>
          <w:bCs/>
          <w:sz w:val="24"/>
          <w:szCs w:val="24"/>
        </w:rPr>
        <w:t xml:space="preserve">todo contrato con docentes, ponentes y proveedores debe decir qué ley aplica y quién conserva qué derechos.</w:t>
      </w:r>
    </w:p>
    <w:p>
      <w:pPr>
        <w:pStyle w:val="Heading2"/>
        <w:keepNext/>
        <w:spacing w:after="0" w:before="160" w:line="360" w:lineRule="auto"/>
        <w:jc w:val="left"/>
      </w:pPr>
      <w:r>
        <w:rPr>
          <w:rFonts w:ascii="Arial" w:cs="Arial" w:eastAsia="Arial" w:hAnsi="Arial"/>
          <w:b/>
          <w:bCs/>
          <w:color w:val="000000"/>
          <w:sz w:val="24"/>
          <w:szCs w:val="24"/>
        </w:rPr>
        <w:t xml:space="preserve">5. Tipos de propiedad intelectual aplicables</w:t>
      </w:r>
    </w:p>
    <w:p>
      <w:pPr>
        <w:spacing w:after="0" w:before="0" w:line="360" w:lineRule="auto"/>
        <w:ind w:firstLine="720"/>
        <w:jc w:val="both"/>
      </w:pPr>
      <w:r>
        <w:rPr>
          <w:rFonts w:ascii="Arial" w:cs="Arial" w:eastAsia="Arial" w:hAnsi="Arial"/>
          <w:sz w:val="24"/>
          <w:szCs w:val="24"/>
        </w:rPr>
        <w:t xml:space="preserve">Revisé todos los tipos de PI y decidí si se aplican al CIESS (Tabla 5). Un mismo material suele tener más de una protección. Uceda Carrillo (2025) lo ilustra con el juego Trivial Pursuit, que tiene marca, diseño industrial, base de datos y texto protegidos a la vez.</w:t>
      </w:r>
    </w:p>
    <w:p>
      <w:pPr>
        <w:keepNext/>
        <w:spacing w:after="0" w:before="0" w:line="360" w:lineRule="auto"/>
      </w:pPr>
      <w:r>
        <w:rPr>
          <w:rFonts w:ascii="Arial" w:cs="Arial" w:eastAsia="Arial" w:hAnsi="Arial"/>
          <w:b/>
          <w:bCs/>
          <w:sz w:val="24"/>
          <w:szCs w:val="24"/>
        </w:rPr>
        <w:t xml:space="preserve">Tabla 5</w:t>
      </w:r>
    </w:p>
    <w:p>
      <w:pPr>
        <w:keepNext/>
        <w:spacing w:after="0" w:before="0" w:line="360" w:lineRule="auto"/>
      </w:pPr>
      <w:r>
        <w:rPr>
          <w:rFonts w:ascii="Arial" w:cs="Arial" w:eastAsia="Arial" w:hAnsi="Arial"/>
          <w:i/>
          <w:iCs/>
          <w:sz w:val="24"/>
          <w:szCs w:val="24"/>
        </w:rPr>
        <w:t xml:space="preserve">Tipos de propiedad intelectual y su aplicación al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450"/>
        <w:gridCol w:w="2550"/>
        <w:gridCol w:w="3200"/>
        <w:gridCol w:w="1638"/>
      </w:tblGrid>
      <w:tr>
        <w:trPr>
          <w:cantSplit/>
          <w:tblHeader/>
        </w:trPr>
        <w:tc>
          <w:tcPr>
            <w:tcW w:type="dxa" w:w="14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Tipo de PI</w:t>
            </w:r>
          </w:p>
        </w:tc>
        <w:tc>
          <w:tcPr>
            <w:tcW w:type="dxa" w:w="25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protege</w:t>
            </w:r>
          </w:p>
        </w:tc>
        <w:tc>
          <w:tcPr>
            <w:tcW w:type="dxa" w:w="32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¿Aplica al CIESS y por qué?</w:t>
            </w:r>
          </w:p>
        </w:tc>
        <w:tc>
          <w:tcPr>
            <w:tcW w:type="dxa" w:w="16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Se combina con</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Obras originales fijadas, incluidos programas y bases de datos por su selección o disposición, sin proteger los datos en sí (LFDA, 2026, arts. 5, 102 y 107)</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Textos, videos, pódcast, boletines, sitio, código del sistema de registro, constancias y el diseño del logotipo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 industrial, diseño industrial y marca</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conexos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Interpretaciones y grabaciones, como la voz y la imagen de quien participa</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Conferencias y sesiones grabadas de ponentes</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datos personales</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Marcas, avisos y nombres comerciales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Signos que distinguen productos y servicios. Se registran ante el IMPI y duran 10 años renovables (Uceda Carrillo, 2025)</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CIESS, RIUSS, el nombre del congreso y los eslóganes</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diseño industrial</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Diseños industriales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La apariencia de un producto; incluye logotipos e interfaces de usuario (OMPI, 2020)</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Logotipo e interfaces del campus, del sitio y del sistema de registro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y marca</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Secretos industriales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Información confidencial con valor competitivo, protegida con medidas razonables (LFPPI, 2026, art. 163; OMPI, 2025b)</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Sí.</w:t>
            </w:r>
            <w:r>
              <w:rPr>
                <w:rFonts w:ascii="Arial" w:cs="Arial" w:eastAsia="Arial" w:hAnsi="Arial"/>
                <w:sz w:val="18"/>
                <w:szCs w:val="18"/>
              </w:rPr>
              <w:t xml:space="preserve"> Código no publicado, bases de datos de participantes y modelo de datos del sistema</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Patentes</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Invenciones nuevas, con actividad inventiva y aplicación industrial; duran 20 años (LFPPI, 2026)</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Por ahora no.</w:t>
            </w:r>
            <w:r>
              <w:rPr>
                <w:rFonts w:ascii="Arial" w:cs="Arial" w:eastAsia="Arial" w:hAnsi="Arial"/>
                <w:sz w:val="18"/>
                <w:szCs w:val="18"/>
              </w:rPr>
              <w:t xml:space="preserve"> No hay invenciones técnicas. Un modelo de datos solo sería patentable dentro de una solución técnica nueva (Bernal Guzmán, 2025)</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Secreto industrial, mientras no se solicite</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Modelos de utilidad</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Mejoras funcionales a objetos o herramientas (Uceda Carrillo, 2025)</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No.</w:t>
            </w:r>
            <w:r>
              <w:rPr>
                <w:rFonts w:ascii="Arial" w:cs="Arial" w:eastAsia="Arial" w:hAnsi="Arial"/>
                <w:sz w:val="18"/>
                <w:szCs w:val="18"/>
              </w:rPr>
              <w:t xml:space="preserve"> El CIESS no fabrica objetos ni herramientas físicas</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w:t>
            </w:r>
          </w:p>
        </w:tc>
      </w:tr>
      <w:tr>
        <w:trPr>
          <w:cantSplit/>
        </w:trPr>
        <w:tc>
          <w:tcPr>
            <w:tcW w:type="dxa" w:w="14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Indicaciones geográficas y denominaciones de origen</w:t>
            </w:r>
          </w:p>
        </w:tc>
        <w:tc>
          <w:tcPr>
            <w:tcW w:type="dxa" w:w="25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Productos con una calidad ligada a un territorio (LFPPI, 2026)</w:t>
            </w:r>
          </w:p>
        </w:tc>
        <w:tc>
          <w:tcPr>
            <w:tcW w:type="dxa" w:w="3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b/>
                <w:bCs/>
                <w:sz w:val="18"/>
                <w:szCs w:val="18"/>
              </w:rPr>
              <w:t xml:space="preserve">No.</w:t>
            </w:r>
            <w:r>
              <w:rPr>
                <w:rFonts w:ascii="Arial" w:cs="Arial" w:eastAsia="Arial" w:hAnsi="Arial"/>
                <w:sz w:val="18"/>
                <w:szCs w:val="18"/>
              </w:rPr>
              <w:t xml:space="preserve"> El CIESS no ofrece productos con origen geográfico</w:t>
            </w:r>
          </w:p>
        </w:tc>
        <w:tc>
          <w:tcPr>
            <w:tcW w:type="dxa" w:w="1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LFDA (2026), LFPPI (2026), OMPI (2020, 2025b), Uceda Carrillo (2025) y Bernal Guzmán (2025). Las licencias Creative Commons no son otro tipo de PI: son permisos que da quien tiene los derechos de autor.</w:t>
      </w:r>
    </w:p>
    <w:p>
      <w:pPr>
        <w:spacing w:after="0" w:before="0" w:line="360" w:lineRule="auto"/>
        <w:ind w:firstLine="720"/>
        <w:jc w:val="both"/>
      </w:pPr>
      <w:r>
        <w:rPr>
          <w:rFonts w:ascii="Arial" w:cs="Arial" w:eastAsia="Arial" w:hAnsi="Arial"/>
          <w:sz w:val="24"/>
          <w:szCs w:val="24"/>
        </w:rPr>
        <w:t xml:space="preserve">En el CIESS las superposiciones más claras son estas:</w:t>
      </w:r>
    </w:p>
    <w:p>
      <w:pPr>
        <w:pStyle w:val="ListParagraph"/>
        <w:numPr>
          <w:ilvl w:val="0"/>
          <w:numId w:val="2"/>
        </w:numPr>
        <w:spacing w:after="0" w:before="0" w:line="360" w:lineRule="auto"/>
        <w:jc w:val="both"/>
      </w:pPr>
      <w:r>
        <w:rPr>
          <w:rFonts w:ascii="Arial" w:cs="Arial" w:eastAsia="Arial" w:hAnsi="Arial"/>
          <w:b/>
          <w:bCs/>
          <w:sz w:val="24"/>
          <w:szCs w:val="24"/>
        </w:rPr>
        <w:t xml:space="preserve">Logotipo:</w:t>
      </w:r>
      <w:r>
        <w:rPr>
          <w:rFonts w:ascii="Arial" w:cs="Arial" w:eastAsia="Arial" w:hAnsi="Arial"/>
          <w:sz w:val="24"/>
          <w:szCs w:val="24"/>
        </w:rPr>
        <w:t xml:space="preserve"> marca (si está registrada), diseño industrial y derecho de autor.</w:t>
      </w:r>
    </w:p>
    <w:p>
      <w:pPr>
        <w:pStyle w:val="ListParagraph"/>
        <w:numPr>
          <w:ilvl w:val="0"/>
          <w:numId w:val="2"/>
        </w:numPr>
        <w:spacing w:after="0" w:before="0" w:line="360" w:lineRule="auto"/>
        <w:jc w:val="both"/>
      </w:pPr>
      <w:r>
        <w:rPr>
          <w:rFonts w:ascii="Arial" w:cs="Arial" w:eastAsia="Arial" w:hAnsi="Arial"/>
          <w:b/>
          <w:bCs/>
          <w:sz w:val="24"/>
          <w:szCs w:val="24"/>
        </w:rPr>
        <w:t xml:space="preserve">Sistema de registro del congreso:</w:t>
      </w:r>
      <w:r>
        <w:rPr>
          <w:rFonts w:ascii="Arial" w:cs="Arial" w:eastAsia="Arial" w:hAnsi="Arial"/>
          <w:sz w:val="24"/>
          <w:szCs w:val="24"/>
        </w:rPr>
        <w:t xml:space="preserve"> derecho de autor sobre el código, secreto industrial mientras no se publique, y datos personales regulados por otra ley.</w:t>
      </w:r>
    </w:p>
    <w:p>
      <w:pPr>
        <w:pStyle w:val="ListParagraph"/>
        <w:numPr>
          <w:ilvl w:val="0"/>
          <w:numId w:val="2"/>
        </w:numPr>
        <w:spacing w:after="0" w:before="0" w:line="360" w:lineRule="auto"/>
        <w:jc w:val="both"/>
      </w:pPr>
      <w:r>
        <w:rPr>
          <w:rFonts w:ascii="Arial" w:cs="Arial" w:eastAsia="Arial" w:hAnsi="Arial"/>
          <w:b/>
          <w:bCs/>
          <w:sz w:val="24"/>
          <w:szCs w:val="24"/>
        </w:rPr>
        <w:t xml:space="preserve">Interfaz del campus virtual:</w:t>
      </w:r>
      <w:r>
        <w:rPr>
          <w:rFonts w:ascii="Arial" w:cs="Arial" w:eastAsia="Arial" w:hAnsi="Arial"/>
          <w:sz w:val="24"/>
          <w:szCs w:val="24"/>
        </w:rPr>
        <w:t xml:space="preserve"> diseño industrial y derecho de autor.</w:t>
      </w:r>
    </w:p>
    <w:p>
      <w:pPr>
        <w:pStyle w:val="ListParagraph"/>
        <w:numPr>
          <w:ilvl w:val="0"/>
          <w:numId w:val="2"/>
        </w:numPr>
        <w:spacing w:after="0" w:before="0" w:line="360" w:lineRule="auto"/>
        <w:jc w:val="both"/>
      </w:pPr>
      <w:r>
        <w:rPr>
          <w:rFonts w:ascii="Arial" w:cs="Arial" w:eastAsia="Arial" w:hAnsi="Arial"/>
          <w:b/>
          <w:bCs/>
          <w:sz w:val="24"/>
          <w:szCs w:val="24"/>
        </w:rPr>
        <w:t xml:space="preserve">Curso en video:</w:t>
      </w:r>
      <w:r>
        <w:rPr>
          <w:rFonts w:ascii="Arial" w:cs="Arial" w:eastAsia="Arial" w:hAnsi="Arial"/>
          <w:sz w:val="24"/>
          <w:szCs w:val="24"/>
        </w:rPr>
        <w:t xml:space="preserve"> derecho de autor del video y del material, derechos conexos de la voz e imagen de quien imparte, y la marca del CIESS en pantalla.</w:t>
      </w:r>
    </w:p>
    <w:p>
      <w:pPr>
        <w:spacing w:after="0" w:before="0" w:line="360" w:lineRule="auto"/>
        <w:ind w:firstLine="720"/>
        <w:jc w:val="both"/>
      </w:pPr>
      <w:r>
        <w:rPr>
          <w:rFonts w:ascii="Arial" w:cs="Arial" w:eastAsia="Arial" w:hAnsi="Arial"/>
          <w:sz w:val="24"/>
          <w:szCs w:val="24"/>
        </w:rPr>
        <w:t xml:space="preserve">Las bases de datos fueron lo que más me hizo reflexionar. Bernal Guzmán (2025) explica que el derecho de autor protege la forma en que se selecciona y ordena una base de datos, no los datos en sí. Si la lista de personas inscritas al congreso solo está ordenada por fecha de registro o alfabéticamente, probablemente no sea “original” y no quedaría protegida como obra (Bernal Guzmán, 2025).</w:t>
      </w:r>
    </w:p>
    <w:p>
      <w:pPr>
        <w:spacing w:after="0" w:before="0" w:line="360" w:lineRule="auto"/>
        <w:ind w:firstLine="720"/>
        <w:jc w:val="both"/>
      </w:pPr>
      <w:r>
        <w:rPr>
          <w:rFonts w:ascii="Arial" w:cs="Arial" w:eastAsia="Arial" w:hAnsi="Arial"/>
          <w:sz w:val="24"/>
          <w:szCs w:val="24"/>
        </w:rPr>
        <w:t xml:space="preserve">Por eso la protegería por otras vías: confidencialidad como secreto industrial, accesos limitados, contratos y la ley de datos personales. La LFDA (2026, art. 109) exige autorización de las personas para publicar información privada de una base de datos. Con el modelo de datos pasa algo parecido: no tiene protección por sí mismo, el código que lo implementa sí, y el secreto industrial es una alternativa (Bernal Guzmán, 2025).</w:t>
      </w:r>
    </w:p>
    <w:p>
      <w:pPr>
        <w:spacing w:after="0" w:before="0" w:line="360" w:lineRule="auto"/>
        <w:ind w:firstLine="720"/>
        <w:jc w:val="both"/>
      </w:pPr>
      <w:r>
        <w:rPr>
          <w:rFonts w:ascii="Arial" w:cs="Arial" w:eastAsia="Arial" w:hAnsi="Arial"/>
          <w:sz w:val="24"/>
          <w:szCs w:val="24"/>
        </w:rPr>
        <w:t xml:space="preserve">Sobre las patentes, hoy no identifico un desarrollo del CIESS que lo sea: el software se protege como obra literaria (LFDA, 2026, art. 102) y no hay inventos técnicos. Si algún día desarrolláramos un método técnico nuevo, conviene no divulgarlo antes de decidir si se solicita, porque la novedad es un requisito (LFPPI, 2026). Las indicaciones geográficas y los modelos de utilidad tampoco aplican, pero tendré cuidado de no usar denominaciones de origen ajenas en materiales de eventos.</w:t>
      </w:r>
    </w:p>
    <w:p>
      <w:pPr>
        <w:pStyle w:val="Heading2"/>
        <w:keepNext/>
        <w:spacing w:after="0" w:before="160" w:line="360" w:lineRule="auto"/>
        <w:jc w:val="left"/>
      </w:pPr>
      <w:r>
        <w:rPr>
          <w:rFonts w:ascii="Arial" w:cs="Arial" w:eastAsia="Arial" w:hAnsi="Arial"/>
          <w:b/>
          <w:bCs/>
          <w:color w:val="000000"/>
          <w:sz w:val="24"/>
          <w:szCs w:val="24"/>
        </w:rPr>
        <w:t xml:space="preserve">6. Riesgos y controles</w:t>
      </w:r>
    </w:p>
    <w:p>
      <w:pPr>
        <w:pStyle w:val="Heading3"/>
        <w:keepNext/>
        <w:spacing w:after="0" w:before="120" w:line="360" w:lineRule="auto"/>
        <w:jc w:val="left"/>
      </w:pPr>
      <w:r>
        <w:rPr>
          <w:rFonts w:ascii="Arial" w:cs="Arial" w:eastAsia="Arial" w:hAnsi="Arial"/>
          <w:b/>
          <w:bCs/>
          <w:i/>
          <w:iCs/>
          <w:color w:val="000000"/>
          <w:sz w:val="24"/>
          <w:szCs w:val="24"/>
        </w:rPr>
        <w:t xml:space="preserve">6.1 Criterios de evaluación</w:t>
      </w:r>
    </w:p>
    <w:p>
      <w:pPr>
        <w:spacing w:after="0" w:before="0" w:line="360" w:lineRule="auto"/>
        <w:ind w:firstLine="720"/>
        <w:jc w:val="both"/>
      </w:pPr>
      <w:r>
        <w:rPr>
          <w:rFonts w:ascii="Arial" w:cs="Arial" w:eastAsia="Arial" w:hAnsi="Arial"/>
          <w:sz w:val="24"/>
          <w:szCs w:val="24"/>
        </w:rPr>
        <w:t xml:space="preserve">Para evaluar cada riesgo usé criterios explícitos (Tabla 6). El nivel es el producto de la probabilidad por el impacto: de 1 a 2 es bajo, de 3 a 4 es medio y de 6 a 9 es alto. El riesgo residual es el nivel que espero después de aplicar los controles. Acepto los residuales bajos y medios con vigilancia, pero un riesgo alto no se acepta.</w:t>
      </w:r>
    </w:p>
    <w:p>
      <w:pPr>
        <w:keepNext/>
        <w:spacing w:after="0" w:before="0" w:line="360" w:lineRule="auto"/>
      </w:pPr>
      <w:r>
        <w:rPr>
          <w:rFonts w:ascii="Arial" w:cs="Arial" w:eastAsia="Arial" w:hAnsi="Arial"/>
          <w:b/>
          <w:bCs/>
          <w:sz w:val="24"/>
          <w:szCs w:val="24"/>
        </w:rPr>
        <w:t xml:space="preserve">Tabla 6</w:t>
      </w:r>
    </w:p>
    <w:p>
      <w:pPr>
        <w:keepNext/>
        <w:spacing w:after="0" w:before="0" w:line="360" w:lineRule="auto"/>
      </w:pPr>
      <w:r>
        <w:rPr>
          <w:rFonts w:ascii="Arial" w:cs="Arial" w:eastAsia="Arial" w:hAnsi="Arial"/>
          <w:i/>
          <w:iCs/>
          <w:sz w:val="24"/>
          <w:szCs w:val="24"/>
        </w:rPr>
        <w:t xml:space="preserve">Criterios de probabilidad e impacto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500"/>
        <w:gridCol w:w="3669"/>
        <w:gridCol w:w="3669"/>
      </w:tblGrid>
      <w:tr>
        <w:trPr>
          <w:cantSplit/>
          <w:tblHeader/>
        </w:trPr>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Grado (valor)</w:t>
            </w:r>
          </w:p>
        </w:tc>
        <w:tc>
          <w:tcPr>
            <w:tcW w:type="dxa" w:w="3669"/>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Probabilidad en un año</w:t>
            </w:r>
          </w:p>
        </w:tc>
        <w:tc>
          <w:tcPr>
            <w:tcW w:type="dxa" w:w="3669"/>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Impacto</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Baja o bajo (1)</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ha pasado y es poco probable</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Molestia o retrabajo, sin costo ni queja</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 o medio (2)</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Puede pasar una vez</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Retiro de contenido, queja formal o gasto menor</w:t>
            </w:r>
          </w:p>
        </w:tc>
      </w:tr>
      <w:tr>
        <w:trPr>
          <w:cantSplit/>
        </w:trPr>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Alta o alto (3)</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Ya ha pasado o puede pasar varias veces</w:t>
            </w:r>
          </w:p>
        </w:tc>
        <w:tc>
          <w:tcPr>
            <w:tcW w:type="dxa" w:w="3669"/>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Reclamo legal, pérdida de control de la marca o de datos personales, o daño a la imagen</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Criterios propios, adaptados de la escala que usé en el Reto 4.</w:t>
      </w:r>
    </w:p>
    <w:p>
      <w:pPr>
        <w:pStyle w:val="Heading3"/>
        <w:keepNext/>
        <w:spacing w:after="0" w:before="120" w:line="360" w:lineRule="auto"/>
        <w:jc w:val="left"/>
      </w:pPr>
      <w:r>
        <w:rPr>
          <w:rFonts w:ascii="Arial" w:cs="Arial" w:eastAsia="Arial" w:hAnsi="Arial"/>
          <w:b/>
          <w:bCs/>
          <w:i/>
          <w:iCs/>
          <w:color w:val="000000"/>
          <w:sz w:val="24"/>
          <w:szCs w:val="24"/>
        </w:rPr>
        <w:t xml:space="preserve">6.2 Proteger lo que es del CIESS</w:t>
      </w:r>
    </w:p>
    <w:p>
      <w:pPr>
        <w:spacing w:after="0" w:before="0" w:line="360" w:lineRule="auto"/>
        <w:ind w:firstLine="720"/>
        <w:jc w:val="both"/>
      </w:pPr>
      <w:r>
        <w:rPr>
          <w:rFonts w:ascii="Arial" w:cs="Arial" w:eastAsia="Arial" w:hAnsi="Arial"/>
          <w:sz w:val="24"/>
          <w:szCs w:val="24"/>
        </w:rPr>
        <w:t xml:space="preserve">La Tabla 7 reúne los riesgos de que otras personas usen la PI del CIESS sin permiso.</w:t>
      </w:r>
    </w:p>
    <w:p>
      <w:pPr>
        <w:keepNext/>
        <w:spacing w:after="0" w:before="0" w:line="360" w:lineRule="auto"/>
      </w:pPr>
      <w:r>
        <w:rPr>
          <w:rFonts w:ascii="Arial" w:cs="Arial" w:eastAsia="Arial" w:hAnsi="Arial"/>
          <w:b/>
          <w:bCs/>
          <w:sz w:val="24"/>
          <w:szCs w:val="24"/>
        </w:rPr>
        <w:t xml:space="preserve">Tabla 7</w:t>
      </w:r>
    </w:p>
    <w:p>
      <w:pPr>
        <w:keepNext/>
        <w:spacing w:after="0" w:before="0" w:line="360" w:lineRule="auto"/>
      </w:pPr>
      <w:r>
        <w:rPr>
          <w:rFonts w:ascii="Arial" w:cs="Arial" w:eastAsia="Arial" w:hAnsi="Arial"/>
          <w:i/>
          <w:iCs/>
          <w:sz w:val="24"/>
          <w:szCs w:val="24"/>
        </w:rPr>
        <w:t xml:space="preserve">Riesgos de que otras personas usen la propiedad intelectual del CIESS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20"/>
        <w:gridCol w:w="1950"/>
        <w:gridCol w:w="760"/>
        <w:gridCol w:w="880"/>
        <w:gridCol w:w="960"/>
        <w:gridCol w:w="2860"/>
        <w:gridCol w:w="1008"/>
      </w:tblGrid>
      <w:tr>
        <w:trPr>
          <w:cantSplit/>
          <w:tblHeader/>
        </w:trPr>
        <w:tc>
          <w:tcPr>
            <w:tcW w:type="dxa" w:w="4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19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w:t>
            </w:r>
          </w:p>
        </w:tc>
        <w:tc>
          <w:tcPr>
            <w:tcW w:type="dxa" w:w="7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Prob.</w:t>
            </w:r>
          </w:p>
        </w:tc>
        <w:tc>
          <w:tcPr>
            <w:tcW w:type="dxa" w:w="88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Impacto</w:t>
            </w:r>
          </w:p>
        </w:tc>
        <w:tc>
          <w:tcPr>
            <w:tcW w:type="dxa" w:w="9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Nivel</w:t>
            </w:r>
          </w:p>
        </w:tc>
        <w:tc>
          <w:tcPr>
            <w:tcW w:type="dxa" w:w="28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Control principal</w:t>
            </w:r>
          </w:p>
        </w:tc>
        <w:tc>
          <w:tcPr>
            <w:tcW w:type="dxa" w:w="100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 residual</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Copia, descarga o publicación sin permiso de materiales de cursos, videos, boletines o pódcast</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Aviso de derechos o licencia visible; acceso por cuenta; marcas de agua y PDF protegidos (MTP y DRM); vigilancia mensual</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A2</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Uso indebido de la marca o el logotipo: sitios o cursos falsos, suplantación en redes o </w:t>
            </w:r>
            <w:r>
              <w:rPr>
                <w:rFonts w:ascii="Arial" w:cs="Arial" w:eastAsia="Arial" w:hAnsi="Arial"/>
                <w:i/>
                <w:iCs/>
                <w:sz w:val="18"/>
                <w:szCs w:val="18"/>
              </w:rPr>
              <w:t xml:space="preserve">phishing</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(6)</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Verificar y registrar las marcas ante el IMPI; guía de uso de marca; vigilar boletín y redes; aviso de cese y reporte a la plataforma</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A3</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Fuga de secretos industriales: código no publicado, bases de datos o informes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Acuerdos de confidencialidad (NDA), mínimo privilegio, cifrado y controles tipo DLP para bloquear envíos a cuentas o nubes externas</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A4</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Obras del CIESS sin titularidad documentada, por contratos sin cláusula de derechos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(9)</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Cesión de derechos, ley aplicable y mención de autoría en los contratos, y pacto con el personal (Tabla 2)</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A5</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 poder demostrar quién creó una obra ni cuándo</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Archivos fuente con fecha y control de versiones; registro de obras clave ante INDAUTOR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A6</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Marcas protegidas solo en México mientras se opera en otros países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Valorar el Sistema de Madrid solo donde haya actividad y presupuesto</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A7</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Invertir en proteger contenido hecho solo con IA, que INDAUTOR no registra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Intervención humana sustancial y documentada en lo que se quiera proteger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(1)</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Prob. = probabilidad. Los valores entre paréntesis son el producto de probabilidad por impacto. Elaboración propia con base en la Lección 10 y Uceda Carrillo (2025).</w:t>
      </w:r>
    </w:p>
    <w:p>
      <w:pPr>
        <w:spacing w:after="0" w:before="0" w:line="360" w:lineRule="auto"/>
        <w:ind w:firstLine="720"/>
        <w:jc w:val="both"/>
      </w:pPr>
      <w:r>
        <w:rPr>
          <w:rFonts w:ascii="Arial" w:cs="Arial" w:eastAsia="Arial" w:hAnsi="Arial"/>
          <w:sz w:val="24"/>
          <w:szCs w:val="24"/>
        </w:rPr>
        <w:t xml:space="preserve">Los controles técnicos incluyen acceso por cuenta, cifrado y marcas de agua. El DRM limita quién accede al contenido y si se puede copiar o descargar, y las MTP se apoyan en el WCT (UVEG, s.f.; OMPI, 1996). Agrego controles tipo DLP (</w:t>
      </w:r>
      <w:r>
        <w:rPr>
          <w:rFonts w:ascii="Arial" w:cs="Arial" w:eastAsia="Arial" w:hAnsi="Arial"/>
          <w:i/>
          <w:iCs/>
          <w:sz w:val="24"/>
          <w:szCs w:val="24"/>
        </w:rPr>
        <w:t xml:space="preserve">Data Loss Prevention</w:t>
      </w:r>
      <w:r>
        <w:rPr>
          <w:rFonts w:ascii="Arial" w:cs="Arial" w:eastAsia="Arial" w:hAnsi="Arial"/>
          <w:sz w:val="24"/>
          <w:szCs w:val="24"/>
        </w:rPr>
        <w:t xml:space="preserve">), que detectan o bloquean la salida de información sensible por correo, USB o nube. Las reglas internas dicen quién puede acceder, modificar o compartir documentos, diseños, bases de datos y código, con la lógica de mínimo privilegio del Reto 4.</w:t>
      </w:r>
    </w:p>
    <w:p>
      <w:pPr>
        <w:spacing w:after="0" w:before="0" w:line="360" w:lineRule="auto"/>
        <w:ind w:firstLine="720"/>
        <w:jc w:val="both"/>
      </w:pPr>
      <w:r>
        <w:rPr>
          <w:rFonts w:ascii="Arial" w:cs="Arial" w:eastAsia="Arial" w:hAnsi="Arial"/>
          <w:sz w:val="24"/>
          <w:szCs w:val="24"/>
        </w:rPr>
        <w:t xml:space="preserve">Los mecanismos legales completan esa protección. Cada material lleva un aviso con el símbolo ©, el año y “Todos los derechos reservados” (Uceda Carrillo, 2025), o una licencia Creative Commons si se quiere compartir, por ejemplo CC BY-NC-ND (Creative Commons, s.f.). Los derechos de autor existen sin registro, pero registrar sirve como prueba. Las plataformas privadas de depósito solo acreditan la fecha, no la autoría (Uceda Carrillo, 2025). Las marcas sí necesitan registro, y la fama de una marca no registrada es un atajo temerario.</w:t>
      </w:r>
    </w:p>
    <w:p>
      <w:pPr>
        <w:spacing w:after="0" w:before="0" w:line="360" w:lineRule="auto"/>
        <w:ind w:firstLine="720"/>
        <w:jc w:val="both"/>
      </w:pPr>
      <w:r>
        <w:rPr>
          <w:rFonts w:ascii="Arial" w:cs="Arial" w:eastAsia="Arial" w:hAnsi="Arial"/>
          <w:sz w:val="24"/>
          <w:szCs w:val="24"/>
        </w:rPr>
        <w:t xml:space="preserve">Con las marcas voy a vigilar el boletín del IMPI y las redes al menos una vez al mes, como recomienda Uceda Carrillo (2025), y a repartir una guía corta de uso de la marca para que el personal la use bien. Los costos de registro deben cotizarse con las tarifas vigentes del IMPI y de INDAUTOR, porque no los conozco con certeza.</w:t>
      </w:r>
    </w:p>
    <w:p>
      <w:pPr>
        <w:pStyle w:val="Heading3"/>
        <w:keepNext/>
        <w:spacing w:after="0" w:before="120" w:line="360" w:lineRule="auto"/>
        <w:jc w:val="left"/>
      </w:pPr>
      <w:r>
        <w:rPr>
          <w:rFonts w:ascii="Arial" w:cs="Arial" w:eastAsia="Arial" w:hAnsi="Arial"/>
          <w:b/>
          <w:bCs/>
          <w:i/>
          <w:iCs/>
          <w:color w:val="000000"/>
          <w:sz w:val="24"/>
          <w:szCs w:val="24"/>
        </w:rPr>
        <w:t xml:space="preserve">6.3 Controlar que el CIESS no use material indebido</w:t>
      </w:r>
    </w:p>
    <w:p>
      <w:pPr>
        <w:spacing w:after="0" w:before="0" w:line="360" w:lineRule="auto"/>
        <w:ind w:firstLine="720"/>
        <w:jc w:val="both"/>
      </w:pPr>
      <w:r>
        <w:rPr>
          <w:rFonts w:ascii="Arial" w:cs="Arial" w:eastAsia="Arial" w:hAnsi="Arial"/>
          <w:sz w:val="24"/>
          <w:szCs w:val="24"/>
        </w:rPr>
        <w:t xml:space="preserve">La Tabla 8 reúne los riesgos de que el CIESS use PI de otras personas sin permiso.</w:t>
      </w:r>
    </w:p>
    <w:p>
      <w:pPr>
        <w:keepNext/>
        <w:spacing w:after="0" w:before="0" w:line="360" w:lineRule="auto"/>
      </w:pPr>
      <w:r>
        <w:rPr>
          <w:rFonts w:ascii="Arial" w:cs="Arial" w:eastAsia="Arial" w:hAnsi="Arial"/>
          <w:b/>
          <w:bCs/>
          <w:sz w:val="24"/>
          <w:szCs w:val="24"/>
        </w:rPr>
        <w:t xml:space="preserve">Tabla 8</w:t>
      </w:r>
    </w:p>
    <w:p>
      <w:pPr>
        <w:keepNext/>
        <w:spacing w:after="0" w:before="0" w:line="360" w:lineRule="auto"/>
      </w:pPr>
      <w:r>
        <w:rPr>
          <w:rFonts w:ascii="Arial" w:cs="Arial" w:eastAsia="Arial" w:hAnsi="Arial"/>
          <w:i/>
          <w:iCs/>
          <w:sz w:val="24"/>
          <w:szCs w:val="24"/>
        </w:rPr>
        <w:t xml:space="preserve">Riesgos de que el CIESS use propiedad intelectual de otras personas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20"/>
        <w:gridCol w:w="1950"/>
        <w:gridCol w:w="760"/>
        <w:gridCol w:w="880"/>
        <w:gridCol w:w="960"/>
        <w:gridCol w:w="2860"/>
        <w:gridCol w:w="1008"/>
      </w:tblGrid>
      <w:tr>
        <w:trPr>
          <w:cantSplit/>
          <w:tblHeader/>
        </w:trPr>
        <w:tc>
          <w:tcPr>
            <w:tcW w:type="dxa" w:w="42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195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w:t>
            </w:r>
          </w:p>
        </w:tc>
        <w:tc>
          <w:tcPr>
            <w:tcW w:type="dxa" w:w="7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Prob.</w:t>
            </w:r>
          </w:p>
        </w:tc>
        <w:tc>
          <w:tcPr>
            <w:tcW w:type="dxa" w:w="88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Impacto</w:t>
            </w:r>
          </w:p>
        </w:tc>
        <w:tc>
          <w:tcPr>
            <w:tcW w:type="dxa" w:w="9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Nivel</w:t>
            </w:r>
          </w:p>
        </w:tc>
        <w:tc>
          <w:tcPr>
            <w:tcW w:type="dxa" w:w="28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Control principal</w:t>
            </w:r>
          </w:p>
        </w:tc>
        <w:tc>
          <w:tcPr>
            <w:tcW w:type="dxa" w:w="100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Riesgo residual</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B1</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Imágenes, ilustraciones o videos tomados de internet o de redes sociales sin licencia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(6)</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con fuente y licencia; solo bancos con licencia o material propio; revisión antes de publicar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B2</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Fuentes tipográficas, música, íconos o plantillas con una licencia que no cubre el uso institucional</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Revisar la licencia al adquirir y guardar los comprobantes</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B3</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Software de terceros: licencias de código abierto con condiciones o </w:t>
            </w:r>
            <w:r>
              <w:rPr>
                <w:rFonts w:ascii="Arial" w:cs="Arial" w:eastAsia="Arial" w:hAnsi="Arial"/>
                <w:i/>
                <w:iCs/>
                <w:sz w:val="18"/>
                <w:szCs w:val="18"/>
              </w:rPr>
              <w:t xml:space="preserve">plugins</w:t>
            </w:r>
            <w:r>
              <w:rPr>
                <w:rFonts w:ascii="Arial" w:cs="Arial" w:eastAsia="Arial" w:hAnsi="Arial"/>
                <w:sz w:val="18"/>
                <w:szCs w:val="18"/>
              </w:rPr>
              <w:t xml:space="preserve"> pirateados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de bibliotecas y licencias; solo repositorios oficiales; prohibido el software sin licencia</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B4</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Textos, tablas o datos de otras personas sin cita ni permiso en materiales académicos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Citar con la fuente y pedir permiso si la parte tomada es importante (LFDA, 2026, art. 148); revisión editorial</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B5</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Grabar o publicar presentaciones, voz o imagen de ponentes y docentes sin autorización</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Alto (6)</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Formato de autorización firmado para obra, voz e imagen; retirar el contenido si lo piden</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Medio (3)</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B6</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IA generativa que reproduce obras protegidas o se alimenta con bases de datos sin licencia o con datos personales</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(4)</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Política de uso de IA: revisión humana, no ingresar material ajeno ni datos personales</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B7</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Licencias Creative Commons incumplidas: falta de atribución o uso comercial de material NC</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Guía de atribución y revisión de la condición NC</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(1)</w:t>
            </w:r>
          </w:p>
        </w:tc>
      </w:tr>
      <w:tr>
        <w:trPr>
          <w:cantSplit/>
        </w:trPr>
        <w:tc>
          <w:tcPr>
            <w:tcW w:type="dxa" w:w="42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B8</w:t>
            </w:r>
          </w:p>
        </w:tc>
        <w:tc>
          <w:tcPr>
            <w:tcW w:type="dxa" w:w="195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Nombrar un curso o evento con un nombre ya registrado por otra persona</w:t>
            </w:r>
          </w:p>
        </w:tc>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Baja</w:t>
            </w:r>
          </w:p>
        </w:tc>
        <w:tc>
          <w:tcPr>
            <w:tcW w:type="dxa" w:w="88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Alto</w:t>
            </w:r>
          </w:p>
        </w:tc>
        <w:tc>
          <w:tcPr>
            <w:tcW w:type="dxa" w:w="9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Medio (3)</w:t>
            </w:r>
          </w:p>
        </w:tc>
        <w:tc>
          <w:tcPr>
            <w:tcW w:type="dxa" w:w="28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Búsqueda de nombres registrados en el IMPI antes de lanzar</w:t>
            </w:r>
          </w:p>
        </w:tc>
        <w:tc>
          <w:tcPr>
            <w:tcW w:type="dxa" w:w="100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Bajo (2)</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con base en la Lección 10, Uceda Carrillo (2025), Bernal Guzmán (2025) y la LFDA (2026).</w:t>
      </w:r>
    </w:p>
    <w:p>
      <w:pPr>
        <w:spacing w:after="0" w:before="0" w:line="360" w:lineRule="auto"/>
        <w:ind w:firstLine="720"/>
        <w:jc w:val="both"/>
      </w:pPr>
      <w:r>
        <w:rPr>
          <w:rFonts w:ascii="Arial" w:cs="Arial" w:eastAsia="Arial" w:hAnsi="Arial"/>
          <w:sz w:val="24"/>
          <w:szCs w:val="24"/>
        </w:rPr>
        <w:t xml:space="preserve">El control que más me importa es el inventario: una lista de cada imagen, fuente, música, </w:t>
      </w:r>
      <w:r>
        <w:rPr>
          <w:rFonts w:ascii="Arial" w:cs="Arial" w:eastAsia="Arial" w:hAnsi="Arial"/>
          <w:i/>
          <w:iCs/>
          <w:sz w:val="24"/>
          <w:szCs w:val="24"/>
        </w:rPr>
        <w:t xml:space="preserve">plugin</w:t>
      </w:r>
      <w:r>
        <w:rPr>
          <w:rFonts w:ascii="Arial" w:cs="Arial" w:eastAsia="Arial" w:hAnsi="Arial"/>
          <w:sz w:val="24"/>
          <w:szCs w:val="24"/>
        </w:rPr>
        <w:t xml:space="preserve"> y biblioteca de código, con su fuente, su licencia y quién la autorizó. Con eso, la regla es simple: nada se publica sin saber de dónde viene. Para textos se cita con la fuente y se pide permiso si la parte tomada es importante (LFDA, 2026, art. 148). Para Creative Commons se da atribución (título, autoría, fuente y licencia) y se revisa si NC impide su uso en cursos de paga.</w:t>
      </w:r>
    </w:p>
    <w:p>
      <w:pPr>
        <w:spacing w:after="0" w:before="0" w:line="360" w:lineRule="auto"/>
        <w:ind w:firstLine="720"/>
        <w:jc w:val="both"/>
      </w:pPr>
      <w:r>
        <w:rPr>
          <w:rFonts w:ascii="Arial" w:cs="Arial" w:eastAsia="Arial" w:hAnsi="Arial"/>
          <w:sz w:val="24"/>
          <w:szCs w:val="24"/>
        </w:rPr>
        <w:t xml:space="preserve">Antes de grabar o publicar a ponentes y docentes se firma un formato que cubra la obra, la voz y la imagen (LFDA, 2026, art. 87; LFPDPPP, 2025). Si las personas del equipo usan IA generativa, revisan lo que produce, no ingresan material ajeno ni datos personales y no usan bases de datos sin licencia para alimentarla, tema que Bernal Guzmán (2025) señala como un reto abierto.</w:t>
      </w:r>
    </w:p>
    <w:p>
      <w:pPr>
        <w:pStyle w:val="Heading3"/>
        <w:keepNext/>
        <w:spacing w:after="0" w:before="120" w:line="360" w:lineRule="auto"/>
        <w:jc w:val="left"/>
      </w:pPr>
      <w:r>
        <w:rPr>
          <w:rFonts w:ascii="Arial" w:cs="Arial" w:eastAsia="Arial" w:hAnsi="Arial"/>
          <w:b/>
          <w:bCs/>
          <w:i/>
          <w:iCs/>
          <w:color w:val="000000"/>
          <w:sz w:val="24"/>
          <w:szCs w:val="24"/>
        </w:rPr>
        <w:t xml:space="preserve">6.4 Si ocurre un incidente</w:t>
      </w:r>
    </w:p>
    <w:p>
      <w:pPr>
        <w:spacing w:after="0" w:before="0" w:line="360" w:lineRule="auto"/>
        <w:ind w:firstLine="720"/>
        <w:jc w:val="both"/>
      </w:pPr>
      <w:r>
        <w:rPr>
          <w:rFonts w:ascii="Arial" w:cs="Arial" w:eastAsia="Arial" w:hAnsi="Arial"/>
          <w:sz w:val="24"/>
          <w:szCs w:val="24"/>
        </w:rPr>
        <w:t xml:space="preserve">Si detecto que usan algo del CIESS sin permiso, seguiré estos pasos:</w:t>
      </w:r>
    </w:p>
    <w:p>
      <w:pPr>
        <w:pStyle w:val="ListParagraph"/>
        <w:numPr>
          <w:ilvl w:val="0"/>
          <w:numId w:val="3"/>
        </w:numPr>
        <w:spacing w:after="0" w:before="0" w:line="360" w:lineRule="auto"/>
        <w:jc w:val="both"/>
      </w:pPr>
      <w:r>
        <w:rPr>
          <w:rFonts w:ascii="Arial" w:cs="Arial" w:eastAsia="Arial" w:hAnsi="Arial"/>
          <w:sz w:val="24"/>
          <w:szCs w:val="24"/>
        </w:rPr>
        <w:t xml:space="preserve">Guardar evidencia: capturas con fecha, dirección y descripción.</w:t>
      </w:r>
    </w:p>
    <w:p>
      <w:pPr>
        <w:pStyle w:val="ListParagraph"/>
        <w:numPr>
          <w:ilvl w:val="0"/>
          <w:numId w:val="3"/>
        </w:numPr>
        <w:spacing w:after="0" w:before="0" w:line="360" w:lineRule="auto"/>
        <w:jc w:val="both"/>
      </w:pPr>
      <w:r>
        <w:rPr>
          <w:rFonts w:ascii="Arial" w:cs="Arial" w:eastAsia="Arial" w:hAnsi="Arial"/>
          <w:sz w:val="24"/>
          <w:szCs w:val="24"/>
        </w:rPr>
        <w:t xml:space="preserve">Informar a la persona responsable de PI y al área jurídica.</w:t>
      </w:r>
    </w:p>
    <w:p>
      <w:pPr>
        <w:pStyle w:val="ListParagraph"/>
        <w:numPr>
          <w:ilvl w:val="0"/>
          <w:numId w:val="3"/>
        </w:numPr>
        <w:spacing w:after="0" w:before="0" w:line="360" w:lineRule="auto"/>
        <w:jc w:val="both"/>
      </w:pPr>
      <w:r>
        <w:rPr>
          <w:rFonts w:ascii="Arial" w:cs="Arial" w:eastAsia="Arial" w:hAnsi="Arial"/>
          <w:sz w:val="24"/>
          <w:szCs w:val="24"/>
        </w:rPr>
        <w:t xml:space="preserve">Enviar una carta o aviso de cese a quien lo publicó y pedir el retiro a la plataforma.</w:t>
      </w:r>
    </w:p>
    <w:p>
      <w:pPr>
        <w:pStyle w:val="ListParagraph"/>
        <w:numPr>
          <w:ilvl w:val="0"/>
          <w:numId w:val="3"/>
        </w:numPr>
        <w:spacing w:after="0" w:before="0" w:line="360" w:lineRule="auto"/>
        <w:jc w:val="both"/>
      </w:pPr>
      <w:r>
        <w:rPr>
          <w:rFonts w:ascii="Arial" w:cs="Arial" w:eastAsia="Arial" w:hAnsi="Arial"/>
          <w:sz w:val="24"/>
          <w:szCs w:val="24"/>
        </w:rPr>
        <w:t xml:space="preserve">Si no hay respuesta, valorar con el área jurídica una vía ante el IMPI, INDAUTOR, la mediación o los tribunales (Uceda Carrillo, 2025).</w:t>
      </w:r>
    </w:p>
    <w:p>
      <w:pPr>
        <w:spacing w:after="0" w:before="0" w:line="360" w:lineRule="auto"/>
        <w:ind w:firstLine="720"/>
        <w:jc w:val="both"/>
      </w:pPr>
      <w:r>
        <w:rPr>
          <w:rFonts w:ascii="Arial" w:cs="Arial" w:eastAsia="Arial" w:hAnsi="Arial"/>
          <w:sz w:val="24"/>
          <w:szCs w:val="24"/>
        </w:rPr>
        <w:t xml:space="preserve">Si el CIESS recibe un reclamo, el proceso es el inverso: retirar de inmediato el contenido señalado, revisar la licencia o la cesión que lo respalda, responder por escrito con apoyo jurídico y corregir el inventario.</w:t>
      </w:r>
    </w:p>
    <w:p>
      <w:pPr>
        <w:pStyle w:val="Heading2"/>
        <w:keepNext/>
        <w:spacing w:after="0" w:before="160" w:line="360" w:lineRule="auto"/>
        <w:jc w:val="left"/>
      </w:pPr>
      <w:r>
        <w:rPr>
          <w:rFonts w:ascii="Arial" w:cs="Arial" w:eastAsia="Arial" w:hAnsi="Arial"/>
          <w:b/>
          <w:bCs/>
          <w:color w:val="000000"/>
          <w:sz w:val="24"/>
          <w:szCs w:val="24"/>
        </w:rPr>
        <w:t xml:space="preserve">7. Gestión del plan</w:t>
      </w:r>
    </w:p>
    <w:p>
      <w:pPr>
        <w:pStyle w:val="Heading3"/>
        <w:keepNext/>
        <w:spacing w:after="0" w:before="120" w:line="360" w:lineRule="auto"/>
        <w:jc w:val="left"/>
      </w:pPr>
      <w:r>
        <w:rPr>
          <w:rFonts w:ascii="Arial" w:cs="Arial" w:eastAsia="Arial" w:hAnsi="Arial"/>
          <w:b/>
          <w:bCs/>
          <w:i/>
          <w:iCs/>
          <w:color w:val="000000"/>
          <w:sz w:val="24"/>
          <w:szCs w:val="24"/>
        </w:rPr>
        <w:t xml:space="preserve">7.1 Responsables, plazos e indicadores</w:t>
      </w:r>
    </w:p>
    <w:p>
      <w:pPr>
        <w:spacing w:after="0" w:before="0" w:line="360" w:lineRule="auto"/>
        <w:ind w:firstLine="720"/>
        <w:jc w:val="both"/>
      </w:pPr>
      <w:r>
        <w:rPr>
          <w:rFonts w:ascii="Arial" w:cs="Arial" w:eastAsia="Arial" w:hAnsi="Arial"/>
          <w:sz w:val="24"/>
          <w:szCs w:val="24"/>
        </w:rPr>
        <w:t xml:space="preserve">La Tabla 9 asigna a cada riesgo un responsable, un plazo en meses desde la aprobación del plan y un indicador. Las personas responsables son la Dirección, que aprueba políticas y presupuesto; yo, como responsable de PI; el área jurídica, que revisa contratos y formatos; y los responsables de cada área, que piden autorización y licencia antes de publicar material de terceros.</w:t>
      </w:r>
    </w:p>
    <w:p>
      <w:pPr>
        <w:keepNext/>
        <w:spacing w:after="0" w:before="0" w:line="360" w:lineRule="auto"/>
      </w:pPr>
      <w:r>
        <w:rPr>
          <w:rFonts w:ascii="Arial" w:cs="Arial" w:eastAsia="Arial" w:hAnsi="Arial"/>
          <w:b/>
          <w:bCs/>
          <w:sz w:val="24"/>
          <w:szCs w:val="24"/>
        </w:rPr>
        <w:t xml:space="preserve">Tabla 9</w:t>
      </w:r>
    </w:p>
    <w:p>
      <w:pPr>
        <w:keepNext/>
        <w:spacing w:after="0" w:before="0" w:line="360" w:lineRule="auto"/>
      </w:pPr>
      <w:r>
        <w:rPr>
          <w:rFonts w:ascii="Arial" w:cs="Arial" w:eastAsia="Arial" w:hAnsi="Arial"/>
          <w:i/>
          <w:iCs/>
          <w:sz w:val="24"/>
          <w:szCs w:val="24"/>
        </w:rPr>
        <w:t xml:space="preserve">Responsables, plazos e indicadores por riesgo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760"/>
        <w:gridCol w:w="2600"/>
        <w:gridCol w:w="1500"/>
        <w:gridCol w:w="3978"/>
      </w:tblGrid>
      <w:tr>
        <w:trPr>
          <w:cantSplit/>
          <w:tblHeader/>
        </w:trPr>
        <w:tc>
          <w:tcPr>
            <w:tcW w:type="dxa" w:w="76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ID</w:t>
            </w:r>
          </w:p>
        </w:tc>
        <w:tc>
          <w:tcPr>
            <w:tcW w:type="dxa" w:w="26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Responsable</w:t>
            </w:r>
          </w:p>
        </w:tc>
        <w:tc>
          <w:tcPr>
            <w:tcW w:type="dxa" w:w="15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Plazo</w:t>
            </w:r>
          </w:p>
        </w:tc>
        <w:tc>
          <w:tcPr>
            <w:tcW w:type="dxa" w:w="397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Indicador</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A1</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como responsable de PI</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3</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100 % de los materiales nuevos con aviso de derechos o licencia</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A2</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con el área jurídica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5</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Estatus de las marcas conocido; una revisión mensual del boletín y de las redes</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A3</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y la segunda persona administradora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Ningún envío de código o bases a cuentas externas; accesos revisados cada trimestre</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A4</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Área jurídica y Dirección</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100 % de los contratos nuevos con cláusula de derechos; los vigentes, al renovarse</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A5</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3</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Expediente de creación del logotipo, del sistema de registro y de 3 materiales clave</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A6</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Dirección</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5</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Decisión por escrito sobre el registro de marcas en otros países</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A7 y B6</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Responsables de área, con mi apoyo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5</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Política de uso de IA aprobada y conocida por el equipo</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B1</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 con los responsables de área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2 (sitio y campus) y mes 4 (resto)</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100 % de las imágenes del sitio principal con fuente y licencia</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B2 y B3</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de fuentes, música, plantillas, bibliotecas y </w:t>
            </w:r>
            <w:r>
              <w:rPr>
                <w:rFonts w:ascii="Arial" w:cs="Arial" w:eastAsia="Arial" w:hAnsi="Arial"/>
                <w:i/>
                <w:iCs/>
                <w:sz w:val="18"/>
                <w:szCs w:val="18"/>
              </w:rPr>
              <w:t xml:space="preserve">plugins</w:t>
            </w:r>
            <w:r>
              <w:rPr>
                <w:rFonts w:ascii="Arial" w:cs="Arial" w:eastAsia="Arial" w:hAnsi="Arial"/>
                <w:sz w:val="18"/>
                <w:szCs w:val="18"/>
              </w:rPr>
              <w:t xml:space="preserve"> con su licencia</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B4 y B7</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Responsables editoriales</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Guía de atribución publicada y citas revisadas en el 100 % de los materiales nuevos</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B5</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Responsables de área</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Mes 4</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100 % de ponentes y docentes con formato firmado antes de grabar</w:t>
            </w:r>
          </w:p>
        </w:tc>
      </w:tr>
      <w:tr>
        <w:trPr>
          <w:cantSplit/>
        </w:trPr>
        <w:tc>
          <w:tcPr>
            <w:tcW w:type="dxa" w:w="76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B8</w:t>
            </w:r>
          </w:p>
        </w:tc>
        <w:tc>
          <w:tcPr>
            <w:tcW w:type="dxa" w:w="2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Yo</w:t>
            </w:r>
          </w:p>
        </w:tc>
        <w:tc>
          <w:tcPr>
            <w:tcW w:type="dxa" w:w="15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Antes de cada lanzamiento</w:t>
            </w:r>
          </w:p>
        </w:tc>
        <w:tc>
          <w:tcPr>
            <w:tcW w:type="dxa" w:w="397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100 % de los nombres nuevos buscados en el IMPI</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El mes 1 empieza cuando la Dirección aprueba el plan.</w:t>
      </w:r>
    </w:p>
    <w:p>
      <w:pPr>
        <w:spacing w:after="0" w:before="0" w:line="360" w:lineRule="auto"/>
        <w:ind w:firstLine="720"/>
        <w:jc w:val="both"/>
      </w:pPr>
      <w:r>
        <w:rPr>
          <w:rFonts w:ascii="Arial" w:cs="Arial" w:eastAsia="Arial" w:hAnsi="Arial"/>
          <w:sz w:val="24"/>
          <w:szCs w:val="24"/>
        </w:rPr>
        <w:t xml:space="preserve">Al final del mes 6 mediré el resultado general: los riesgos A4, A2, B1 y B5, que hoy son altos, deben pasar a nivel medio o bajo, como indica la columna de riesgo residual.</w:t>
      </w:r>
    </w:p>
    <w:p>
      <w:pPr>
        <w:pStyle w:val="Heading3"/>
        <w:keepNext/>
        <w:spacing w:after="0" w:before="120" w:line="360" w:lineRule="auto"/>
        <w:jc w:val="left"/>
      </w:pPr>
      <w:r>
        <w:rPr>
          <w:rFonts w:ascii="Arial" w:cs="Arial" w:eastAsia="Arial" w:hAnsi="Arial"/>
          <w:b/>
          <w:bCs/>
          <w:i/>
          <w:iCs/>
          <w:color w:val="000000"/>
          <w:sz w:val="24"/>
          <w:szCs w:val="24"/>
        </w:rPr>
        <w:t xml:space="preserve">7.2 Cronograma</w:t>
      </w:r>
    </w:p>
    <w:p>
      <w:pPr>
        <w:spacing w:after="0" w:before="0" w:line="360" w:lineRule="auto"/>
        <w:ind w:firstLine="720"/>
        <w:jc w:val="both"/>
      </w:pPr>
      <w:r>
        <w:rPr>
          <w:rFonts w:ascii="Arial" w:cs="Arial" w:eastAsia="Arial" w:hAnsi="Arial"/>
          <w:sz w:val="24"/>
          <w:szCs w:val="24"/>
        </w:rPr>
        <w:t xml:space="preserve">El plan dura 6 meses y empieza por el inventario y los contratos, que sostienen todo lo demás (Tabla 10). Después de esa fecha mantengo tres revisiones: cada mes, la vigilancia y el boletín del IMPI; cada tres meses, el inventario y las licencias por vencer; y cada año, las renovaciones (las marcas duran 10 años) y la tabla de riesgos.</w:t>
      </w:r>
    </w:p>
    <w:p>
      <w:pPr>
        <w:keepNext/>
        <w:spacing w:after="0" w:before="0" w:line="360" w:lineRule="auto"/>
      </w:pPr>
      <w:r>
        <w:rPr>
          <w:rFonts w:ascii="Arial" w:cs="Arial" w:eastAsia="Arial" w:hAnsi="Arial"/>
          <w:b/>
          <w:bCs/>
          <w:sz w:val="24"/>
          <w:szCs w:val="24"/>
        </w:rPr>
        <w:t xml:space="preserve">Tabla 10</w:t>
      </w:r>
    </w:p>
    <w:p>
      <w:pPr>
        <w:keepNext/>
        <w:spacing w:after="0" w:before="0" w:line="360" w:lineRule="auto"/>
      </w:pPr>
      <w:r>
        <w:rPr>
          <w:rFonts w:ascii="Arial" w:cs="Arial" w:eastAsia="Arial" w:hAnsi="Arial"/>
          <w:i/>
          <w:iCs/>
          <w:sz w:val="24"/>
          <w:szCs w:val="24"/>
        </w:rPr>
        <w:t xml:space="preserve">Cronograma de implementación a 6 meses</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4998"/>
        <w:gridCol w:w="640"/>
        <w:gridCol w:w="640"/>
        <w:gridCol w:w="640"/>
        <w:gridCol w:w="640"/>
        <w:gridCol w:w="640"/>
        <w:gridCol w:w="640"/>
      </w:tblGrid>
      <w:tr>
        <w:trPr>
          <w:cantSplit/>
          <w:tblHeader/>
        </w:trPr>
        <w:tc>
          <w:tcPr>
            <w:tcW w:type="dxa" w:w="4998"/>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left"/>
            </w:pPr>
            <w:r>
              <w:rPr>
                <w:rFonts w:ascii="Arial" w:cs="Arial" w:eastAsia="Arial" w:hAnsi="Arial"/>
                <w:b/>
                <w:bCs/>
                <w:sz w:val="18"/>
                <w:szCs w:val="18"/>
              </w:rPr>
              <w:t xml:space="preserve">Actividad (mes)</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1</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2</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3</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4</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5</w:t>
            </w:r>
          </w:p>
        </w:tc>
        <w:tc>
          <w:tcPr>
            <w:tcW w:type="dxa" w:w="640"/>
            <w:tcBorders>
              <w:top w:val="single" w:color="7F7F7F" w:sz="4"/>
              <w:left w:val="single" w:color="7F7F7F" w:sz="4"/>
              <w:bottom w:val="single" w:color="7F7F7F" w:sz="4"/>
              <w:right w:val="single" w:color="7F7F7F" w:sz="4"/>
            </w:tcBorders>
            <w:shd w:fill="D9E2F3" w:color="auto" w:val="clear"/>
            <w:tcMar>
              <w:top w:type="dxa" w:w="40"/>
              <w:left w:type="dxa" w:w="60"/>
              <w:bottom w:type="dxa" w:w="40"/>
              <w:right w:type="dxa" w:w="60"/>
            </w:tcMar>
            <w:vAlign w:val="center"/>
          </w:tcPr>
          <w:p>
            <w:pPr>
              <w:keepNext w:val="false"/>
              <w:spacing w:after="40" w:before="40" w:line="240" w:lineRule="auto"/>
              <w:jc w:val="center"/>
            </w:pPr>
            <w:r>
              <w:rPr>
                <w:rFonts w:ascii="Arial" w:cs="Arial" w:eastAsia="Arial" w:hAnsi="Arial"/>
                <w:b/>
                <w:bCs/>
                <w:sz w:val="18"/>
                <w:szCs w:val="18"/>
              </w:rPr>
              <w:t xml:space="preserve">6</w:t>
            </w: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1. Inventario de contenidos, marcas, software y licencias</w:t>
            </w: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2. Formatos y cláusulas (cesión, autorización de voz e imagen, NDA) con revisión jurídica</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3. Avisos de derechos y licencias visibles en sitio, campus y materiales</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4. Búsqueda y solicitudes de registro (marcas ante el IMPI y obras clave ante INDAUTOR)</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5. Políticas cortas (uso de IA, material de terceros, uso de la marca) y guía de atribución</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6. Capacitación breve</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7. Vigilancia mensual de usos indebidos</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r>
      <w:tr>
        <w:trPr>
          <w:cantSplit/>
        </w:trPr>
        <w:tc>
          <w:tcPr>
            <w:tcW w:type="dxa" w:w="4998"/>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r>
              <w:rPr>
                <w:rFonts w:ascii="Arial" w:cs="Arial" w:eastAsia="Arial" w:hAnsi="Arial"/>
                <w:sz w:val="18"/>
                <w:szCs w:val="18"/>
              </w:rPr>
              <w:t xml:space="preserve">8. Medición final e informe a la Dirección</w:t>
            </w: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tcMar>
              <w:top w:type="dxa" w:w="40"/>
              <w:left w:type="dxa" w:w="60"/>
              <w:bottom w:type="dxa" w:w="40"/>
              <w:right w:type="dxa" w:w="60"/>
            </w:tcMar>
            <w:vAlign w:val="center"/>
          </w:tcPr>
          <w:p>
            <w:pPr>
              <w:keepNext/>
              <w:spacing w:after="40" w:before="40" w:line="240" w:lineRule="auto"/>
              <w:jc w:val="left"/>
            </w:pPr>
          </w:p>
        </w:tc>
        <w:tc>
          <w:tcPr>
            <w:tcW w:type="dxa" w:w="640"/>
            <w:tcBorders>
              <w:top w:val="single" w:color="7F7F7F" w:sz="4"/>
              <w:left w:val="single" w:color="7F7F7F" w:sz="4"/>
              <w:bottom w:val="single" w:color="7F7F7F" w:sz="4"/>
              <w:right w:val="single" w:color="7F7F7F" w:sz="4"/>
            </w:tcBorders>
            <w:shd w:fill="2E75B6" w:color="auto" w:val="clear"/>
            <w:tcMar>
              <w:top w:type="dxa" w:w="40"/>
              <w:left w:type="dxa" w:w="60"/>
              <w:bottom w:type="dxa" w:w="40"/>
              <w:right w:type="dxa" w:w="60"/>
            </w:tcMar>
            <w:vAlign w:val="center"/>
          </w:tcPr>
          <w:p>
            <w:pPr>
              <w:keepNext/>
              <w:spacing w:after="40" w:before="40" w:line="240" w:lineRule="auto"/>
              <w:jc w:val="left"/>
            </w:pP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Los meses se cuentan desde la aprobación del plan. Elaboración propia.</w:t>
      </w:r>
    </w:p>
    <w:p>
      <w:pPr>
        <w:pStyle w:val="Heading2"/>
        <w:keepNext/>
        <w:spacing w:after="0" w:before="160" w:line="360" w:lineRule="auto"/>
        <w:jc w:val="left"/>
      </w:pPr>
      <w:r>
        <w:rPr>
          <w:rFonts w:ascii="Arial" w:cs="Arial" w:eastAsia="Arial" w:hAnsi="Arial"/>
          <w:b/>
          <w:bCs/>
          <w:color w:val="000000"/>
          <w:sz w:val="24"/>
          <w:szCs w:val="24"/>
        </w:rPr>
        <w:t xml:space="preserve">8. Relación del plan con mi trabajo actual</w:t>
      </w:r>
    </w:p>
    <w:p>
      <w:pPr>
        <w:spacing w:after="0" w:before="0" w:line="360" w:lineRule="auto"/>
        <w:ind w:firstLine="720"/>
        <w:jc w:val="both"/>
      </w:pPr>
      <w:r>
        <w:rPr>
          <w:rFonts w:ascii="Arial" w:cs="Arial" w:eastAsia="Arial" w:hAnsi="Arial"/>
          <w:sz w:val="24"/>
          <w:szCs w:val="24"/>
        </w:rPr>
        <w:t xml:space="preserve">Cada acción del plan parte de lo que hago hoy. La Tabla 11 indica, por función, qué PI interviene, de quién es y qué propone el plan.</w:t>
      </w:r>
    </w:p>
    <w:p>
      <w:pPr>
        <w:keepNext/>
        <w:spacing w:after="0" w:before="0" w:line="360" w:lineRule="auto"/>
      </w:pPr>
      <w:r>
        <w:rPr>
          <w:rFonts w:ascii="Arial" w:cs="Arial" w:eastAsia="Arial" w:hAnsi="Arial"/>
          <w:b/>
          <w:bCs/>
          <w:sz w:val="24"/>
          <w:szCs w:val="24"/>
        </w:rPr>
        <w:t xml:space="preserve">Tabla 11</w:t>
      </w:r>
    </w:p>
    <w:p>
      <w:pPr>
        <w:keepNext/>
        <w:spacing w:after="0" w:before="0" w:line="360" w:lineRule="auto"/>
      </w:pPr>
      <w:r>
        <w:rPr>
          <w:rFonts w:ascii="Arial" w:cs="Arial" w:eastAsia="Arial" w:hAnsi="Arial"/>
          <w:i/>
          <w:iCs/>
          <w:sz w:val="24"/>
          <w:szCs w:val="24"/>
        </w:rPr>
        <w:t xml:space="preserve">Relación entre mi trabajo actual y el plan</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400"/>
        <w:gridCol w:w="2638"/>
      </w:tblGrid>
      <w:tr>
        <w:trPr>
          <w:cantSplit/>
          <w:tblHeader/>
        </w:trPr>
        <w:tc>
          <w:tcPr>
            <w:tcW w:type="dxa" w:w="16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Mi función actual</w:t>
            </w:r>
          </w:p>
        </w:tc>
        <w:tc>
          <w:tcPr>
            <w:tcW w:type="dxa" w:w="22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PI interviene</w:t>
            </w:r>
          </w:p>
        </w:tc>
        <w:tc>
          <w:tcPr>
            <w:tcW w:type="dxa" w:w="2400"/>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Quién es titular (hasta donde sé)</w:t>
            </w:r>
          </w:p>
        </w:tc>
        <w:tc>
          <w:tcPr>
            <w:tcW w:type="dxa" w:w="2638"/>
            <w:tcBorders>
              <w:top w:val="single" w:color="7F7F7F" w:sz="4"/>
              <w:left w:val="single" w:color="7F7F7F" w:sz="4"/>
              <w:bottom w:val="single" w:color="7F7F7F" w:sz="4"/>
              <w:right w:val="single" w:color="7F7F7F" w:sz="4"/>
            </w:tcBorders>
            <w:shd w:fill="D9E2F3" w:color="auto" w:val="clear"/>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b/>
                <w:bCs/>
                <w:sz w:val="18"/>
                <w:szCs w:val="18"/>
              </w:rPr>
              <w:t xml:space="preserve">Qué propone el plan</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Logotipo actual y rediseño de identidad 2020–2022, que diseñé</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diseño industrial y marca</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Los derechos morales son míos. Los patrimoniales dependen de mi contrato (LFDA, 2026, art. 84)</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Cesión por escrito de los derechos patrimoniales, verificar el registro de la marca y guía de uso</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Sitio web y micrositios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(textos, imágenes, código), diseño industrial (interfaz) y licencias de terceros</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y las personas autoras o proveedoras de cada elemento</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Inventario de imágenes, fuentes, </w:t>
            </w:r>
            <w:r>
              <w:rPr>
                <w:rFonts w:ascii="Arial" w:cs="Arial" w:eastAsia="Arial" w:hAnsi="Arial"/>
                <w:i/>
                <w:iCs/>
                <w:sz w:val="18"/>
                <w:szCs w:val="18"/>
              </w:rPr>
              <w:t xml:space="preserve">plugins</w:t>
            </w:r>
            <w:r>
              <w:rPr>
                <w:rFonts w:ascii="Arial" w:cs="Arial" w:eastAsia="Arial" w:hAnsi="Arial"/>
                <w:sz w:val="18"/>
                <w:szCs w:val="18"/>
              </w:rPr>
              <w:t xml:space="preserve"> y temas con su licencia, y avisos de derechos</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Campus virtual, constancias y actas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Derechos de autor del código, secreto industrial y datos personales</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en lo que creo como empleado (LFDA, 2026, art. 103), salvo pacto</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Dejar constancia del pacto, NDA con terceros y control de accesos</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Sistema de registro del congreso y su base de datos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Código, base de datos, modelo de datos y secreto industrial</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El CIESS (LFDA, 2026, art. 103), salvo pacto</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val="false"/>
              <w:spacing w:after="40" w:before="40" w:line="240" w:lineRule="auto"/>
              <w:jc w:val="left"/>
            </w:pPr>
            <w:r>
              <w:rPr>
                <w:rFonts w:ascii="Arial" w:cs="Arial" w:eastAsia="Arial" w:hAnsi="Arial"/>
                <w:sz w:val="18"/>
                <w:szCs w:val="18"/>
              </w:rPr>
              <w:t xml:space="preserve">Mantener el código y el modelo de datos como secreto, revisar licencias de bibliotecas de código abierto y no publicar sin una licencia elegida</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Materiales editoriales y multimedia</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Derechos de autor, derechos conexos, voz e imagen</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La persona autora o ponente, salvo cesión</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Formato de autorización y licencia clara por tipo de material</w:t>
            </w:r>
          </w:p>
        </w:tc>
      </w:tr>
      <w:tr>
        <w:trPr>
          <w:cantSplit/>
        </w:trPr>
        <w:tc>
          <w:tcPr>
            <w:tcW w:type="dxa" w:w="16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Asistentes de IA para programar y </w:t>
            </w:r>
            <w:r>
              <w:rPr>
                <w:rFonts w:ascii="Arial" w:cs="Arial" w:eastAsia="Arial" w:hAnsi="Arial"/>
                <w:i/>
                <w:iCs/>
                <w:sz w:val="18"/>
                <w:szCs w:val="18"/>
              </w:rPr>
              <w:t xml:space="preserve">chatbot</w:t>
            </w:r>
            <w:r>
              <w:rPr>
                <w:rFonts w:ascii="Arial" w:cs="Arial" w:eastAsia="Arial" w:hAnsi="Arial"/>
                <w:sz w:val="18"/>
                <w:szCs w:val="18"/>
              </w:rPr>
              <w:t xml:space="preserve"> en pruebas</w:t>
            </w:r>
          </w:p>
        </w:tc>
        <w:tc>
          <w:tcPr>
            <w:tcW w:type="dxa" w:w="22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Derechos de autor del código generado y de los datos de entrenamiento</w:t>
            </w:r>
          </w:p>
        </w:tc>
        <w:tc>
          <w:tcPr>
            <w:tcW w:type="dxa" w:w="2400"/>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Sin intervención humana sustancial no hay obra registrable (Jalife, 2025)</w:t>
            </w:r>
          </w:p>
        </w:tc>
        <w:tc>
          <w:tcPr>
            <w:tcW w:type="dxa" w:w="2638"/>
            <w:tcBorders>
              <w:top w:val="single" w:color="7F7F7F" w:sz="4"/>
              <w:left w:val="single" w:color="7F7F7F" w:sz="4"/>
              <w:bottom w:val="single" w:color="7F7F7F" w:sz="4"/>
              <w:right w:val="single" w:color="7F7F7F" w:sz="4"/>
            </w:tcBorders>
            <w:tcMar>
              <w:top w:type="dxa" w:w="40"/>
              <w:left w:type="dxa" w:w="80"/>
              <w:bottom w:type="dxa" w:w="40"/>
              <w:right w:type="dxa" w:w="80"/>
            </w:tcMar>
            <w:vAlign w:val="top"/>
          </w:tcPr>
          <w:p>
            <w:pPr>
              <w:keepNext/>
              <w:spacing w:after="40" w:before="40" w:line="240" w:lineRule="auto"/>
              <w:jc w:val="left"/>
            </w:pPr>
            <w:r>
              <w:rPr>
                <w:rFonts w:ascii="Arial" w:cs="Arial" w:eastAsia="Arial" w:hAnsi="Arial"/>
                <w:sz w:val="18"/>
                <w:szCs w:val="18"/>
              </w:rPr>
              <w:t xml:space="preserve">Política de uso de IA y revisión humana de lo que se publique</w:t>
            </w:r>
          </w:p>
        </w:tc>
      </w:tr>
    </w:tbl>
    <w:p>
      <w:pPr>
        <w:spacing w:after="240" w:before="60" w:line="240" w:lineRule="auto"/>
      </w:pPr>
      <w:r>
        <w:rPr>
          <w:rFonts w:ascii="Arial" w:cs="Arial" w:eastAsia="Arial" w:hAnsi="Arial"/>
          <w:i/>
          <w:iCs/>
          <w:sz w:val="18"/>
          <w:szCs w:val="18"/>
        </w:rPr>
        <w:t xml:space="preserve">Nota.</w:t>
      </w:r>
      <w:r>
        <w:rPr>
          <w:rFonts w:ascii="Arial" w:cs="Arial" w:eastAsia="Arial" w:hAnsi="Arial"/>
          <w:sz w:val="18"/>
          <w:szCs w:val="18"/>
        </w:rPr>
        <w:t xml:space="preserve"> Elaboración propia a partir de mis funciones en el CIESS. La titularidad debe confirmarse con mi contrato y con el área jurídica.</w:t>
      </w:r>
    </w:p>
    <w:p>
      <w:pPr>
        <w:spacing w:after="0" w:before="0" w:line="360" w:lineRule="auto"/>
        <w:ind w:firstLine="720"/>
        <w:jc w:val="both"/>
      </w:pPr>
      <w:r>
        <w:rPr>
          <w:rFonts w:ascii="Arial" w:cs="Arial" w:eastAsia="Arial" w:hAnsi="Arial"/>
          <w:b/>
          <w:bCs/>
          <w:sz w:val="24"/>
          <w:szCs w:val="24"/>
        </w:rPr>
        <w:t xml:space="preserve">Caso 1: el logotipo.</w:t>
      </w:r>
      <w:r>
        <w:rPr>
          <w:rFonts w:ascii="Arial" w:cs="Arial" w:eastAsia="Arial" w:hAnsi="Arial"/>
          <w:sz w:val="24"/>
          <w:szCs w:val="24"/>
        </w:rPr>
        <w:t xml:space="preserve"> Lo diseñé yo, así que mis derechos morales (que se me reconozca como autor y que no se altere mi obra) no se pueden ceder. Según la LFDA (2026, art. 84), si mi contrato es individual y está por escrito, y no hay otro pacto, los derechos patrimoniales se dividen por partes iguales entre el CIESS y yo. Si no hay contrato por escrito, corresponden a la persona empleada. Para que el CIESS pueda registrar y defender la marca sin dudas, lo adecuado es formalizar por escrito la cesión de los derechos patrimoniales.</w:t>
      </w:r>
    </w:p>
    <w:p>
      <w:pPr>
        <w:spacing w:after="0" w:before="0" w:line="360" w:lineRule="auto"/>
        <w:ind w:firstLine="720"/>
        <w:jc w:val="both"/>
      </w:pPr>
      <w:r>
        <w:rPr>
          <w:rFonts w:ascii="Arial" w:cs="Arial" w:eastAsia="Arial" w:hAnsi="Arial"/>
          <w:b/>
          <w:bCs/>
          <w:sz w:val="24"/>
          <w:szCs w:val="24"/>
        </w:rPr>
        <w:t xml:space="preserve">Caso 2: el sistema del congreso.</w:t>
      </w:r>
      <w:r>
        <w:rPr>
          <w:rFonts w:ascii="Arial" w:cs="Arial" w:eastAsia="Arial" w:hAnsi="Arial"/>
          <w:sz w:val="24"/>
          <w:szCs w:val="24"/>
        </w:rPr>
        <w:t xml:space="preserve"> Desarrollé el sistema y su base de datos de participantes. El código se protege como obra y, en principio, es del CIESS por haberlo creado en mis funciones (LFDA, 2026, art. 103). La lista de participantes probablemente no sea una obra original (Bernal Guzmán, 2025), así que la cuido como secreto industrial con accesos limitados, y porque contiene datos personales. Antes de publicar cualquier parte del código, revisaré las licencias de las bibliotecas de código abierto que usa.</w:t>
      </w:r>
    </w:p>
    <w:p>
      <w:pPr>
        <w:pStyle w:val="Heading1"/>
        <w:keepNext/>
        <w:spacing w:after="0" w:before="0" w:line="360" w:lineRule="auto"/>
        <w:jc w:val="center"/>
      </w:pPr>
      <w:r>
        <w:rPr>
          <w:rFonts w:ascii="Arial" w:cs="Arial" w:eastAsia="Arial" w:hAnsi="Arial"/>
          <w:b/>
          <w:bCs/>
          <w:color w:val="000000"/>
          <w:sz w:val="24"/>
          <w:szCs w:val="24"/>
        </w:rPr>
        <w:t xml:space="preserve">Conclusión</w:t>
      </w:r>
    </w:p>
    <w:p>
      <w:pPr>
        <w:spacing w:after="0" w:before="0" w:line="360" w:lineRule="auto"/>
        <w:ind w:firstLine="720"/>
        <w:jc w:val="both"/>
      </w:pPr>
      <w:r>
        <w:rPr>
          <w:rFonts w:ascii="Arial" w:cs="Arial" w:eastAsia="Arial" w:hAnsi="Arial"/>
          <w:sz w:val="24"/>
          <w:szCs w:val="24"/>
        </w:rPr>
        <w:t xml:space="preserve">Este plan aterriza la Lección 10, el manual de Uceda Carrillo (2025) y el artículo de Bernal Guzmán (2025) en el trabajo real del CIESS. Define quién es titular de cada obra, qué tipos de PI aplican y qué normas nacionales e internacionales intervienen. Propone controles, responsables, plazos e indicadores en los dos sentidos: proteger lo propio y no usar lo ajeno sin permiso. Lo que más aprendí es que los derechos de autor nacen solos, pero sin contratos, registros y vigilancia una organización no puede demostrar ni defender lo que es suyo. Por eso el plan empieza por el inventario y los contratos.</w:t>
      </w:r>
    </w:p>
    <w:p>
      <w:pPr>
        <w:pStyle w:val="Heading1"/>
        <w:keepNext/>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Bernal Guzmán, J. M. (2025). La protección de las bases de datos a la luz de la propiedad intelectual en el marco de la Cuarta Revolución Industrial. </w:t>
      </w:r>
      <w:r>
        <w:rPr>
          <w:rFonts w:ascii="Arial" w:cs="Arial" w:eastAsia="Arial" w:hAnsi="Arial"/>
          <w:i/>
          <w:iCs/>
          <w:sz w:val="24"/>
          <w:szCs w:val="24"/>
        </w:rPr>
        <w:t xml:space="preserve">Revista e-Mercatoria</w:t>
      </w:r>
      <w:r>
        <w:rPr>
          <w:rFonts w:ascii="Arial" w:cs="Arial" w:eastAsia="Arial" w:hAnsi="Arial"/>
          <w:sz w:val="24"/>
          <w:szCs w:val="24"/>
        </w:rPr>
        <w:t xml:space="preserve">, </w:t>
      </w:r>
      <w:r>
        <w:rPr>
          <w:rFonts w:ascii="Arial" w:cs="Arial" w:eastAsia="Arial" w:hAnsi="Arial"/>
          <w:i/>
          <w:iCs/>
          <w:sz w:val="24"/>
          <w:szCs w:val="24"/>
        </w:rPr>
        <w:t xml:space="preserve">24</w:t>
      </w:r>
      <w:r>
        <w:rPr>
          <w:rFonts w:ascii="Arial" w:cs="Arial" w:eastAsia="Arial" w:hAnsi="Arial"/>
          <w:sz w:val="24"/>
          <w:szCs w:val="24"/>
        </w:rPr>
        <w:t xml:space="preserve">(1), 3–35. </w:t>
      </w:r>
      <w:hyperlink w:history="1" r:id="rIdxelheom-j7ikyttlbutyd">
        <w:r>
          <w:rPr>
            <w:rStyle w:val="Hyperlink"/>
            <w:rFonts w:ascii="Arial" w:cs="Arial" w:eastAsia="Arial" w:hAnsi="Arial"/>
            <w:sz w:val="24"/>
            <w:szCs w:val="24"/>
          </w:rPr>
          <w:t xml:space="preserve">https://doi.org/10.18601/16923960.v24n1.01</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(2026). </w:t>
      </w:r>
      <w:r>
        <w:rPr>
          <w:rFonts w:ascii="Arial" w:cs="Arial" w:eastAsia="Arial" w:hAnsi="Arial"/>
          <w:i/>
          <w:iCs/>
          <w:sz w:val="24"/>
          <w:szCs w:val="24"/>
        </w:rPr>
        <w:t xml:space="preserve">Ley Federal del Derecho de Autor</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9lq1fuwvavx-vfblin_nq">
        <w:r>
          <w:rPr>
            <w:rStyle w:val="Hyperlink"/>
            <w:rFonts w:ascii="Arial" w:cs="Arial" w:eastAsia="Arial" w:hAnsi="Arial"/>
            <w:sz w:val="24"/>
            <w:szCs w:val="24"/>
          </w:rPr>
          <w:t xml:space="preserve">https://www.diputados.gob.mx/LeyesBiblio/pdf/LFDA.pdf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(2026). </w:t>
      </w:r>
      <w:r>
        <w:rPr>
          <w:rFonts w:ascii="Arial" w:cs="Arial" w:eastAsia="Arial" w:hAnsi="Arial"/>
          <w:i/>
          <w:iCs/>
          <w:sz w:val="24"/>
          <w:szCs w:val="24"/>
        </w:rPr>
        <w:t xml:space="preserve">Ley Federal de Protección a la Propiedad Industrial</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xdm27otgp6xyr7xtrk1qe">
        <w:r>
          <w:rPr>
            <w:rStyle w:val="Hyperlink"/>
            <w:rFonts w:ascii="Arial" w:cs="Arial" w:eastAsia="Arial" w:hAnsi="Arial"/>
            <w:sz w:val="24"/>
            <w:szCs w:val="24"/>
          </w:rPr>
          <w:t xml:space="preserve">https://www.diputados.gob.mx/LeyesBiblio/pdf/LFPPI.pdf</w:t>
        </w:r>
      </w:hyperlink>
    </w:p>
    <w:p>
      <w:pPr>
        <w:spacing w:after="0" w:before="0" w:line="360" w:lineRule="auto"/>
        <w:ind w:left="720" w:hanging="720"/>
        <w:jc w:val="left"/>
      </w:pPr>
      <w:r>
        <w:rPr>
          <w:rFonts w:ascii="Arial" w:cs="Arial" w:eastAsia="Arial" w:hAnsi="Arial"/>
          <w:sz w:val="24"/>
          <w:szCs w:val="24"/>
        </w:rPr>
        <w:t xml:space="preserve">Cámara de Diputados del Honorable Congreso de la Unión [CDHCU].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México: Cámara de Diputados del Honorable Congreso de la Unión. Recuperada el 11 de octubre de 2026, de </w:t>
      </w:r>
      <w:hyperlink w:history="1" r:id="rIdiaxiojhkpdhhkk2tb7log">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Centro Español de Derechos Reprográficos [CEDRO]. (2024). </w:t>
      </w:r>
      <w:r>
        <w:rPr>
          <w:rFonts w:ascii="Arial" w:cs="Arial" w:eastAsia="Arial" w:hAnsi="Arial"/>
          <w:i/>
          <w:iCs/>
          <w:sz w:val="24"/>
          <w:szCs w:val="24"/>
        </w:rPr>
        <w:t xml:space="preserve">El Convenio de Berna y los derechos de autor</w:t>
      </w:r>
      <w:r>
        <w:rPr>
          <w:rFonts w:ascii="Arial" w:cs="Arial" w:eastAsia="Arial" w:hAnsi="Arial"/>
          <w:sz w:val="24"/>
          <w:szCs w:val="24"/>
        </w:rPr>
        <w:t xml:space="preserve">. </w:t>
      </w:r>
      <w:hyperlink w:history="1" r:id="rIdzzco4__i0_ux0xmwwblwq">
        <w:r>
          <w:rPr>
            <w:rStyle w:val="Hyperlink"/>
            <w:rFonts w:ascii="Arial" w:cs="Arial" w:eastAsia="Arial" w:hAnsi="Arial"/>
            <w:sz w:val="24"/>
            <w:szCs w:val="24"/>
          </w:rPr>
          <w:t xml:space="preserve">https://www.cedro.org/blog/articulo/blog.cedro.org/2021/05/18/convenio-berna-derechos-autor</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(s.f.-a). </w:t>
      </w:r>
      <w:r>
        <w:rPr>
          <w:rFonts w:ascii="Arial" w:cs="Arial" w:eastAsia="Arial" w:hAnsi="Arial"/>
          <w:i/>
          <w:iCs/>
          <w:sz w:val="24"/>
          <w:szCs w:val="24"/>
        </w:rPr>
        <w:t xml:space="preserve">1er Congreso de Estudios Interamericanos de Seguridad Social</w:t>
      </w:r>
      <w:r>
        <w:rPr>
          <w:rFonts w:ascii="Arial" w:cs="Arial" w:eastAsia="Arial" w:hAnsi="Arial"/>
          <w:sz w:val="24"/>
          <w:szCs w:val="24"/>
        </w:rPr>
        <w:t xml:space="preserve">. </w:t>
      </w:r>
      <w:hyperlink w:history="1" r:id="rIdf_vcotnexjeq78-pbgbog">
        <w:r>
          <w:rPr>
            <w:rStyle w:val="Hyperlink"/>
            <w:rFonts w:ascii="Arial" w:cs="Arial" w:eastAsia="Arial" w:hAnsi="Arial"/>
            <w:sz w:val="24"/>
            <w:szCs w:val="24"/>
          </w:rPr>
          <w:t xml:space="preserve">https://congreso-dss.ciess.org/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(s.f.-b). </w:t>
      </w:r>
      <w:r>
        <w:rPr>
          <w:rFonts w:ascii="Arial" w:cs="Arial" w:eastAsia="Arial" w:hAnsi="Arial"/>
          <w:i/>
          <w:iCs/>
          <w:sz w:val="24"/>
          <w:szCs w:val="24"/>
        </w:rPr>
        <w:t xml:space="preserve">CIESS · Centro Interamericano de Estudios de Seguridad Social</w:t>
      </w:r>
      <w:r>
        <w:rPr>
          <w:rFonts w:ascii="Arial" w:cs="Arial" w:eastAsia="Arial" w:hAnsi="Arial"/>
          <w:sz w:val="24"/>
          <w:szCs w:val="24"/>
        </w:rPr>
        <w:t xml:space="preserve">. </w:t>
      </w:r>
      <w:hyperlink w:history="1" r:id="rIdwqioor764fqjej_wyzvah">
        <w:r>
          <w:rPr>
            <w:rStyle w:val="Hyperlink"/>
            <w:rFonts w:ascii="Arial" w:cs="Arial" w:eastAsia="Arial" w:hAnsi="Arial"/>
            <w:sz w:val="24"/>
            <w:szCs w:val="24"/>
          </w:rPr>
          <w:t xml:space="preserve">https://home.ciess.org/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(s.f.-c). </w:t>
      </w:r>
      <w:r>
        <w:rPr>
          <w:rFonts w:ascii="Arial" w:cs="Arial" w:eastAsia="Arial" w:hAnsi="Arial"/>
          <w:i/>
          <w:iCs/>
          <w:sz w:val="24"/>
          <w:szCs w:val="24"/>
        </w:rPr>
        <w:t xml:space="preserve">RIUSS · Red Interamericana de Universidades para la Seguridad Social</w:t>
      </w:r>
      <w:r>
        <w:rPr>
          <w:rFonts w:ascii="Arial" w:cs="Arial" w:eastAsia="Arial" w:hAnsi="Arial"/>
          <w:sz w:val="24"/>
          <w:szCs w:val="24"/>
        </w:rPr>
        <w:t xml:space="preserve">. </w:t>
      </w:r>
      <w:hyperlink w:history="1" r:id="rIdbcpsij7-solqxopbipwbb">
        <w:r>
          <w:rPr>
            <w:rStyle w:val="Hyperlink"/>
            <w:rFonts w:ascii="Arial" w:cs="Arial" w:eastAsia="Arial" w:hAnsi="Arial"/>
            <w:sz w:val="24"/>
            <w:szCs w:val="24"/>
          </w:rPr>
          <w:t xml:space="preserve">https://home.ciess.org/riuss/</w:t>
        </w:r>
      </w:hyperlink>
    </w:p>
    <w:p>
      <w:pPr>
        <w:spacing w:after="0" w:before="0" w:line="360" w:lineRule="auto"/>
        <w:ind w:left="720" w:hanging="720"/>
        <w:jc w:val="left"/>
      </w:pPr>
      <w:r>
        <w:rPr>
          <w:rFonts w:ascii="Arial" w:cs="Arial" w:eastAsia="Arial" w:hAnsi="Arial"/>
          <w:sz w:val="24"/>
          <w:szCs w:val="24"/>
        </w:rPr>
        <w:t xml:space="preserve">Creative Commons. (s.f.). </w:t>
      </w:r>
      <w:r>
        <w:rPr>
          <w:rFonts w:ascii="Arial" w:cs="Arial" w:eastAsia="Arial" w:hAnsi="Arial"/>
          <w:i/>
          <w:iCs/>
          <w:sz w:val="24"/>
          <w:szCs w:val="24"/>
        </w:rPr>
        <w:t xml:space="preserve">Atribución-NoComercial-SinDerivadas 4.0 Internacional (CC BY-NC-ND 4.0)</w:t>
      </w:r>
      <w:r>
        <w:rPr>
          <w:rFonts w:ascii="Arial" w:cs="Arial" w:eastAsia="Arial" w:hAnsi="Arial"/>
          <w:sz w:val="24"/>
          <w:szCs w:val="24"/>
        </w:rPr>
        <w:t xml:space="preserve">. </w:t>
      </w:r>
      <w:hyperlink w:history="1" r:id="rIdjhhtn3rb_4i8g7j3wbyp_">
        <w:r>
          <w:rPr>
            <w:rStyle w:val="Hyperlink"/>
            <w:rFonts w:ascii="Arial" w:cs="Arial" w:eastAsia="Arial" w:hAnsi="Arial"/>
            <w:sz w:val="24"/>
            <w:szCs w:val="24"/>
          </w:rPr>
          <w:t xml:space="preserve">https://creativecommons.org/licenses/by-nc-nd/4.0/deed.es</w:t>
        </w:r>
      </w:hyperlink>
    </w:p>
    <w:p>
      <w:pPr>
        <w:spacing w:after="0" w:before="0" w:line="360" w:lineRule="auto"/>
        <w:ind w:left="720" w:hanging="720"/>
        <w:jc w:val="left"/>
      </w:pPr>
      <w:r>
        <w:rPr>
          <w:rFonts w:ascii="Arial" w:cs="Arial" w:eastAsia="Arial" w:hAnsi="Arial"/>
          <w:sz w:val="24"/>
          <w:szCs w:val="24"/>
        </w:rPr>
        <w:t xml:space="preserve">Instituto Mexicano de la Propiedad Industrial [IMPI]. (2025). </w:t>
      </w:r>
      <w:r>
        <w:rPr>
          <w:rFonts w:ascii="Arial" w:cs="Arial" w:eastAsia="Arial" w:hAnsi="Arial"/>
          <w:i/>
          <w:iCs/>
          <w:sz w:val="24"/>
          <w:szCs w:val="24"/>
        </w:rPr>
        <w:t xml:space="preserve">Página oficial del Instituto Mexicano de la Propiedad Industrial</w:t>
      </w:r>
      <w:r>
        <w:rPr>
          <w:rFonts w:ascii="Arial" w:cs="Arial" w:eastAsia="Arial" w:hAnsi="Arial"/>
          <w:sz w:val="24"/>
          <w:szCs w:val="24"/>
        </w:rPr>
        <w:t xml:space="preserve">. </w:t>
      </w:r>
      <w:hyperlink w:history="1" r:id="rIdckzumbjg2oaem-nkr_i8_">
        <w:r>
          <w:rPr>
            <w:rStyle w:val="Hyperlink"/>
            <w:rFonts w:ascii="Arial" w:cs="Arial" w:eastAsia="Arial" w:hAnsi="Arial"/>
            <w:sz w:val="24"/>
            <w:szCs w:val="24"/>
          </w:rPr>
          <w:t xml:space="preserve">https://www.gob.mx/impi</w:t>
        </w:r>
      </w:hyperlink>
    </w:p>
    <w:p>
      <w:pPr>
        <w:spacing w:after="0" w:before="0" w:line="360" w:lineRule="auto"/>
        <w:ind w:left="720" w:hanging="720"/>
        <w:jc w:val="left"/>
      </w:pPr>
      <w:r>
        <w:rPr>
          <w:rFonts w:ascii="Arial" w:cs="Arial" w:eastAsia="Arial" w:hAnsi="Arial"/>
          <w:sz w:val="24"/>
          <w:szCs w:val="24"/>
        </w:rPr>
        <w:t xml:space="preserve">Instituto Nacional del Derecho de Autor [INDAUTOR]. (2025). </w:t>
      </w:r>
      <w:r>
        <w:rPr>
          <w:rFonts w:ascii="Arial" w:cs="Arial" w:eastAsia="Arial" w:hAnsi="Arial"/>
          <w:i/>
          <w:iCs/>
          <w:sz w:val="24"/>
          <w:szCs w:val="24"/>
        </w:rPr>
        <w:t xml:space="preserve">Plataforma de trámites en línea – INDARELÍN</w:t>
      </w:r>
      <w:r>
        <w:rPr>
          <w:rFonts w:ascii="Arial" w:cs="Arial" w:eastAsia="Arial" w:hAnsi="Arial"/>
          <w:sz w:val="24"/>
          <w:szCs w:val="24"/>
        </w:rPr>
        <w:t xml:space="preserve">. </w:t>
      </w:r>
      <w:hyperlink w:history="1" r:id="rIdxfipgzhd025b_z_80p-i4">
        <w:r>
          <w:rPr>
            <w:rStyle w:val="Hyperlink"/>
            <w:rFonts w:ascii="Arial" w:cs="Arial" w:eastAsia="Arial" w:hAnsi="Arial"/>
            <w:sz w:val="24"/>
            <w:szCs w:val="24"/>
          </w:rPr>
          <w:t xml:space="preserve">https://sindautor.cultura.gob.mx/admin/</w:t>
        </w:r>
      </w:hyperlink>
    </w:p>
    <w:p>
      <w:pPr>
        <w:spacing w:after="0" w:before="0" w:line="360" w:lineRule="auto"/>
        <w:ind w:left="720" w:hanging="720"/>
        <w:jc w:val="left"/>
      </w:pPr>
      <w:r>
        <w:rPr>
          <w:rFonts w:ascii="Arial" w:cs="Arial" w:eastAsia="Arial" w:hAnsi="Arial"/>
          <w:sz w:val="24"/>
          <w:szCs w:val="24"/>
        </w:rPr>
        <w:t xml:space="preserve">Jalife, M. (8 de enero de 2025). Confirma Sala Especializada la no registrabilidad de obras de IA. </w:t>
      </w:r>
      <w:r>
        <w:rPr>
          <w:rFonts w:ascii="Arial" w:cs="Arial" w:eastAsia="Arial" w:hAnsi="Arial"/>
          <w:i/>
          <w:iCs/>
          <w:sz w:val="24"/>
          <w:szCs w:val="24"/>
        </w:rPr>
        <w:t xml:space="preserve">El Financiero</w:t>
      </w:r>
      <w:r>
        <w:rPr>
          <w:rFonts w:ascii="Arial" w:cs="Arial" w:eastAsia="Arial" w:hAnsi="Arial"/>
          <w:sz w:val="24"/>
          <w:szCs w:val="24"/>
        </w:rPr>
        <w:t xml:space="preserve">. </w:t>
      </w:r>
      <w:hyperlink w:history="1" r:id="rIdf9lk93maebmqumulmbm8k">
        <w:r>
          <w:rPr>
            <w:rStyle w:val="Hyperlink"/>
            <w:rFonts w:ascii="Arial" w:cs="Arial" w:eastAsia="Arial" w:hAnsi="Arial"/>
            <w:sz w:val="24"/>
            <w:szCs w:val="24"/>
          </w:rPr>
          <w:t xml:space="preserve">https://www.elfinanciero.com.mx/opinion/mauricio-jalife/2025/01/08/confirma-sala-especializada-la-no-registrabilidad-de-obras-de-ia/</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[OMPI]. (1979). </w:t>
      </w:r>
      <w:r>
        <w:rPr>
          <w:rFonts w:ascii="Arial" w:cs="Arial" w:eastAsia="Arial" w:hAnsi="Arial"/>
          <w:i/>
          <w:iCs/>
          <w:sz w:val="24"/>
          <w:szCs w:val="24"/>
        </w:rPr>
        <w:t xml:space="preserve">Convenio de Berna para la Protección de las Obras Literarias y Artísticas</w:t>
      </w:r>
      <w:r>
        <w:rPr>
          <w:rFonts w:ascii="Arial" w:cs="Arial" w:eastAsia="Arial" w:hAnsi="Arial"/>
          <w:sz w:val="24"/>
          <w:szCs w:val="24"/>
        </w:rPr>
        <w:t xml:space="preserve"> (Acta de París de 1971, enmendado en 1979). </w:t>
      </w:r>
      <w:hyperlink w:history="1" r:id="rIdramv9om1gmtgzz2iob9hn">
        <w:r>
          <w:rPr>
            <w:rStyle w:val="Hyperlink"/>
            <w:rFonts w:ascii="Arial" w:cs="Arial" w:eastAsia="Arial" w:hAnsi="Arial"/>
            <w:sz w:val="24"/>
            <w:szCs w:val="24"/>
          </w:rPr>
          <w:t xml:space="preserve">https://www.wipo.int/treaties/es/ip/berne/</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[OMPI]. (1996). </w:t>
      </w:r>
      <w:r>
        <w:rPr>
          <w:rFonts w:ascii="Arial" w:cs="Arial" w:eastAsia="Arial" w:hAnsi="Arial"/>
          <w:i/>
          <w:iCs/>
          <w:sz w:val="24"/>
          <w:szCs w:val="24"/>
        </w:rPr>
        <w:t xml:space="preserve">Tratado de la OMPI sobre Derecho de Autor (WCT)</w:t>
      </w:r>
      <w:r>
        <w:rPr>
          <w:rFonts w:ascii="Arial" w:cs="Arial" w:eastAsia="Arial" w:hAnsi="Arial"/>
          <w:sz w:val="24"/>
          <w:szCs w:val="24"/>
        </w:rPr>
        <w:t xml:space="preserve">. </w:t>
      </w:r>
      <w:hyperlink w:history="1" r:id="rId2r0rhwrtmig-28uoavza-">
        <w:r>
          <w:rPr>
            <w:rStyle w:val="Hyperlink"/>
            <w:rFonts w:ascii="Arial" w:cs="Arial" w:eastAsia="Arial" w:hAnsi="Arial"/>
            <w:sz w:val="24"/>
            <w:szCs w:val="24"/>
          </w:rPr>
          <w:t xml:space="preserve">https://www.wipo.int/treaties/es/ip/wct/</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[OMPI]. (2020). </w:t>
      </w:r>
      <w:r>
        <w:rPr>
          <w:rFonts w:ascii="Arial" w:cs="Arial" w:eastAsia="Arial" w:hAnsi="Arial"/>
          <w:i/>
          <w:iCs/>
          <w:sz w:val="24"/>
          <w:szCs w:val="24"/>
        </w:rPr>
        <w:t xml:space="preserve">¿Qué es la propiedad intelectual?</w:t>
      </w:r>
      <w:r>
        <w:rPr>
          <w:rFonts w:ascii="Arial" w:cs="Arial" w:eastAsia="Arial" w:hAnsi="Arial"/>
          <w:sz w:val="24"/>
          <w:szCs w:val="24"/>
        </w:rPr>
        <w:t xml:space="preserve"> </w:t>
      </w:r>
      <w:hyperlink w:history="1" r:id="rId-wuevxwbxci4o8yqtlkdq">
        <w:r>
          <w:rPr>
            <w:rStyle w:val="Hyperlink"/>
            <w:rFonts w:ascii="Arial" w:cs="Arial" w:eastAsia="Arial" w:hAnsi="Arial"/>
            <w:sz w:val="24"/>
            <w:szCs w:val="24"/>
          </w:rPr>
          <w:t xml:space="preserve">https://tind.wipo.int/record/44180?v=pdf</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[OMPI]. (2025a). </w:t>
      </w:r>
      <w:r>
        <w:rPr>
          <w:rFonts w:ascii="Arial" w:cs="Arial" w:eastAsia="Arial" w:hAnsi="Arial"/>
          <w:i/>
          <w:iCs/>
          <w:sz w:val="24"/>
          <w:szCs w:val="24"/>
        </w:rPr>
        <w:t xml:space="preserve">Sistema de Madrid: el sistema internacional de marcas</w:t>
      </w:r>
      <w:r>
        <w:rPr>
          <w:rFonts w:ascii="Arial" w:cs="Arial" w:eastAsia="Arial" w:hAnsi="Arial"/>
          <w:sz w:val="24"/>
          <w:szCs w:val="24"/>
        </w:rPr>
        <w:t xml:space="preserve">. </w:t>
      </w:r>
      <w:hyperlink w:history="1" r:id="rIdtdii9tds1zseln8wuaock">
        <w:r>
          <w:rPr>
            <w:rStyle w:val="Hyperlink"/>
            <w:rFonts w:ascii="Arial" w:cs="Arial" w:eastAsia="Arial" w:hAnsi="Arial"/>
            <w:sz w:val="24"/>
            <w:szCs w:val="24"/>
          </w:rPr>
          <w:t xml:space="preserve">https://www.wipo.int/es/web/madrid-system/</w:t>
        </w:r>
      </w:hyperlink>
    </w:p>
    <w:p>
      <w:pPr>
        <w:spacing w:after="0" w:before="0" w:line="360" w:lineRule="auto"/>
        <w:ind w:left="720" w:hanging="720"/>
        <w:jc w:val="left"/>
      </w:pPr>
      <w:r>
        <w:rPr>
          <w:rFonts w:ascii="Arial" w:cs="Arial" w:eastAsia="Arial" w:hAnsi="Arial"/>
          <w:sz w:val="24"/>
          <w:szCs w:val="24"/>
        </w:rPr>
        <w:t xml:space="preserve">Organización Mundial de la Propiedad Intelectual [OMPI]. (2025b). </w:t>
      </w:r>
      <w:r>
        <w:rPr>
          <w:rFonts w:ascii="Arial" w:cs="Arial" w:eastAsia="Arial" w:hAnsi="Arial"/>
          <w:i/>
          <w:iCs/>
          <w:sz w:val="24"/>
          <w:szCs w:val="24"/>
        </w:rPr>
        <w:t xml:space="preserve">Secretos comerciales</w:t>
      </w:r>
      <w:r>
        <w:rPr>
          <w:rFonts w:ascii="Arial" w:cs="Arial" w:eastAsia="Arial" w:hAnsi="Arial"/>
          <w:sz w:val="24"/>
          <w:szCs w:val="24"/>
        </w:rPr>
        <w:t xml:space="preserve">. </w:t>
      </w:r>
      <w:hyperlink w:history="1" r:id="rId1qdlfjjhtazoc2nijvacu">
        <w:r>
          <w:rPr>
            <w:rStyle w:val="Hyperlink"/>
            <w:rFonts w:ascii="Arial" w:cs="Arial" w:eastAsia="Arial" w:hAnsi="Arial"/>
            <w:sz w:val="24"/>
            <w:szCs w:val="24"/>
          </w:rPr>
          <w:t xml:space="preserve">https://www.wipo.int/es/web/trade-secrets</w:t>
        </w:r>
      </w:hyperlink>
    </w:p>
    <w:p>
      <w:pPr>
        <w:spacing w:after="0" w:before="0" w:line="360" w:lineRule="auto"/>
        <w:ind w:left="720" w:hanging="720"/>
        <w:jc w:val="left"/>
      </w:pPr>
      <w:r>
        <w:rPr>
          <w:rFonts w:ascii="Arial" w:cs="Arial" w:eastAsia="Arial" w:hAnsi="Arial"/>
          <w:sz w:val="24"/>
          <w:szCs w:val="24"/>
        </w:rPr>
        <w:t xml:space="preserve">Organización Mundial del Comercio [OMC]. (1994). </w:t>
      </w:r>
      <w:r>
        <w:rPr>
          <w:rFonts w:ascii="Arial" w:cs="Arial" w:eastAsia="Arial" w:hAnsi="Arial"/>
          <w:i/>
          <w:iCs/>
          <w:sz w:val="24"/>
          <w:szCs w:val="24"/>
        </w:rPr>
        <w:t xml:space="preserve">Acuerdo sobre los aspectos de los derechos de propiedad intelectual relacionados con el comercio (ADPIC)</w:t>
      </w:r>
      <w:r>
        <w:rPr>
          <w:rFonts w:ascii="Arial" w:cs="Arial" w:eastAsia="Arial" w:hAnsi="Arial"/>
          <w:sz w:val="24"/>
          <w:szCs w:val="24"/>
        </w:rPr>
        <w:t xml:space="preserve">. </w:t>
      </w:r>
      <w:hyperlink w:history="1" r:id="rIdywp04oirj4j2do_31oq7e">
        <w:r>
          <w:rPr>
            <w:rStyle w:val="Hyperlink"/>
            <w:rFonts w:ascii="Arial" w:cs="Arial" w:eastAsia="Arial" w:hAnsi="Arial"/>
            <w:sz w:val="24"/>
            <w:szCs w:val="24"/>
          </w:rPr>
          <w:t xml:space="preserve">https://www.wto.org/spanish/docs_s/legal_s/27-trips.pdf</w:t>
        </w:r>
      </w:hyperlink>
    </w:p>
    <w:p>
      <w:pPr>
        <w:spacing w:after="0" w:before="0" w:line="360" w:lineRule="auto"/>
        <w:ind w:left="720" w:hanging="720"/>
        <w:jc w:val="left"/>
      </w:pPr>
      <w:r>
        <w:rPr>
          <w:rFonts w:ascii="Arial" w:cs="Arial" w:eastAsia="Arial" w:hAnsi="Arial"/>
          <w:sz w:val="24"/>
          <w:szCs w:val="24"/>
        </w:rPr>
        <w:t xml:space="preserve">Parlamento Europeo y Consejo de la Unión Europea. (2016). </w:t>
      </w:r>
      <w:r>
        <w:rPr>
          <w:rFonts w:ascii="Arial" w:cs="Arial" w:eastAsia="Arial" w:hAnsi="Arial"/>
          <w:i/>
          <w:iCs/>
          <w:sz w:val="24"/>
          <w:szCs w:val="24"/>
        </w:rPr>
        <w:t xml:space="preserve">Reglamento (UE) 2016/679 relativo a la protección de las personas físicas en lo que respecta al tratamiento de datos personales y a la libre circulación de estos datos (Reglamento General de Protección de Datos)</w:t>
      </w:r>
      <w:r>
        <w:rPr>
          <w:rFonts w:ascii="Arial" w:cs="Arial" w:eastAsia="Arial" w:hAnsi="Arial"/>
          <w:sz w:val="24"/>
          <w:szCs w:val="24"/>
        </w:rPr>
        <w:t xml:space="preserve">. Diario Oficial de la Unión Europea. </w:t>
      </w:r>
      <w:hyperlink w:history="1" r:id="rId_vlnsibyvzeussdupfx0x">
        <w:r>
          <w:rPr>
            <w:rStyle w:val="Hyperlink"/>
            <w:rFonts w:ascii="Arial" w:cs="Arial" w:eastAsia="Arial" w:hAnsi="Arial"/>
            <w:sz w:val="24"/>
            <w:szCs w:val="24"/>
          </w:rPr>
          <w:t xml:space="preserve">https://eur-lex.europa.eu/legal-content/ES/TXT/?uri=CELEX:32016R0679</w:t>
        </w:r>
      </w:hyperlink>
    </w:p>
    <w:p>
      <w:pPr>
        <w:spacing w:after="0" w:before="0" w:line="360" w:lineRule="auto"/>
        <w:ind w:left="720" w:hanging="720"/>
        <w:jc w:val="left"/>
      </w:pPr>
      <w:r>
        <w:rPr>
          <w:rFonts w:ascii="Arial" w:cs="Arial" w:eastAsia="Arial" w:hAnsi="Arial"/>
          <w:sz w:val="24"/>
          <w:szCs w:val="24"/>
        </w:rPr>
        <w:t xml:space="preserve">Uceda Carrillo, P. P. (2025). </w:t>
      </w:r>
      <w:r>
        <w:rPr>
          <w:rFonts w:ascii="Arial" w:cs="Arial" w:eastAsia="Arial" w:hAnsi="Arial"/>
          <w:i/>
          <w:iCs/>
          <w:sz w:val="24"/>
          <w:szCs w:val="24"/>
        </w:rPr>
        <w:t xml:space="preserve">Manual práctico de propiedad industrial: cómo proteger la innovación sin perder la paciencia</w:t>
      </w:r>
      <w:r>
        <w:rPr>
          <w:rFonts w:ascii="Arial" w:cs="Arial" w:eastAsia="Arial" w:hAnsi="Arial"/>
          <w:sz w:val="24"/>
          <w:szCs w:val="24"/>
        </w:rPr>
        <w:t xml:space="preserve">. FC Editorial. </w:t>
      </w:r>
      <w:hyperlink w:history="1" r:id="rId26vddub-5u_09rc4-kqml">
        <w:r>
          <w:rPr>
            <w:rStyle w:val="Hyperlink"/>
            <w:rFonts w:ascii="Arial" w:cs="Arial" w:eastAsia="Arial" w:hAnsi="Arial"/>
            <w:sz w:val="24"/>
            <w:szCs w:val="24"/>
          </w:rPr>
          <w:t xml:space="preserve">https://elibro.net/es/ereader/bibliotecauveg/294209?page=18</w:t>
        </w:r>
      </w:hyperlink>
    </w:p>
    <w:p>
      <w:pPr>
        <w:spacing w:after="0" w:before="0" w:line="360" w:lineRule="auto"/>
        <w:ind w:left="720" w:hanging="720"/>
        <w:jc w:val="left"/>
      </w:pPr>
      <w:r>
        <w:rPr>
          <w:rFonts w:ascii="Arial" w:cs="Arial" w:eastAsia="Arial" w:hAnsi="Arial"/>
          <w:sz w:val="24"/>
          <w:szCs w:val="24"/>
        </w:rPr>
        <w:t xml:space="preserve">Universidad Virtual del Estado de Guanajuato. (s.f.). </w:t>
      </w:r>
      <w:r>
        <w:rPr>
          <w:rFonts w:ascii="Arial" w:cs="Arial" w:eastAsia="Arial" w:hAnsi="Arial"/>
          <w:i/>
          <w:iCs/>
          <w:sz w:val="24"/>
          <w:szCs w:val="24"/>
        </w:rPr>
        <w:t xml:space="preserve">Propiedad intelectual en la era digital</w:t>
      </w:r>
      <w:r>
        <w:rPr>
          <w:rFonts w:ascii="Arial" w:cs="Arial" w:eastAsia="Arial" w:hAnsi="Arial"/>
          <w:sz w:val="24"/>
          <w:szCs w:val="24"/>
        </w:rPr>
        <w:t xml:space="preserve"> [Texto de la Lección 10].</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MX"/>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paragraph" w:styleId="Heading3">
    <w:name w:val="Heading 3"/>
    <w:basedOn w:val="Normal"/>
    <w:next w:val="Normal"/>
    <w:qFormat/>
    <w:pPr>
      <w:spacing w:after="0" w:before="0" w:line="360" w:lineRule="auto"/>
      <w:outlineLvl w:val="2"/>
    </w:pPr>
    <w:rPr>
      <w:rFonts w:ascii="Arial" w:cs="Arial" w:eastAsia="Arial" w:hAnsi="Arial"/>
      <w:b/>
      <w:bCs/>
      <w:i/>
      <w:i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xelheom-j7ikyttlbutyd" Type="http://schemas.openxmlformats.org/officeDocument/2006/relationships/hyperlink" Target="https://doi.org/10.18601/16923960.v24n1.01" TargetMode="External"/><Relationship Id="rId9lq1fuwvavx-vfblin_nq" Type="http://schemas.openxmlformats.org/officeDocument/2006/relationships/hyperlink" Target="https://www.diputados.gob.mx/LeyesBiblio/pdf/LFDA.pdf" TargetMode="External"/><Relationship Id="rIdxdm27otgp6xyr7xtrk1qe" Type="http://schemas.openxmlformats.org/officeDocument/2006/relationships/hyperlink" Target="https://www.diputados.gob.mx/LeyesBiblio/pdf/LFPPI.pdf" TargetMode="External"/><Relationship Id="rIdiaxiojhkpdhhkk2tb7log" Type="http://schemas.openxmlformats.org/officeDocument/2006/relationships/hyperlink" Target="https://www.diputados.gob.mx/LeyesBiblio/pdf/LFPDPPP.pdf" TargetMode="External"/><Relationship Id="rIdzzco4__i0_ux0xmwwblwq" Type="http://schemas.openxmlformats.org/officeDocument/2006/relationships/hyperlink" Target="https://www.cedro.org/blog/articulo/blog.cedro.org/2021/05/18/convenio-berna-derechos-autor" TargetMode="External"/><Relationship Id="rIdf_vcotnexjeq78-pbgbog" Type="http://schemas.openxmlformats.org/officeDocument/2006/relationships/hyperlink" Target="https://congreso-dss.ciess.org/" TargetMode="External"/><Relationship Id="rIdwqioor764fqjej_wyzvah" Type="http://schemas.openxmlformats.org/officeDocument/2006/relationships/hyperlink" Target="https://home.ciess.org/" TargetMode="External"/><Relationship Id="rIdbcpsij7-solqxopbipwbb" Type="http://schemas.openxmlformats.org/officeDocument/2006/relationships/hyperlink" Target="https://home.ciess.org/riuss/" TargetMode="External"/><Relationship Id="rIdjhhtn3rb_4i8g7j3wbyp_" Type="http://schemas.openxmlformats.org/officeDocument/2006/relationships/hyperlink" Target="https://creativecommons.org/licenses/by-nc-nd/4.0/deed.es" TargetMode="External"/><Relationship Id="rIdckzumbjg2oaem-nkr_i8_" Type="http://schemas.openxmlformats.org/officeDocument/2006/relationships/hyperlink" Target="https://www.gob.mx/impi" TargetMode="External"/><Relationship Id="rIdxfipgzhd025b_z_80p-i4" Type="http://schemas.openxmlformats.org/officeDocument/2006/relationships/hyperlink" Target="https://sindautor.cultura.gob.mx/admin/" TargetMode="External"/><Relationship Id="rIdf9lk93maebmqumulmbm8k" Type="http://schemas.openxmlformats.org/officeDocument/2006/relationships/hyperlink" Target="https://www.elfinanciero.com.mx/opinion/mauricio-jalife/2025/01/08/confirma-sala-especializada-la-no-registrabilidad-de-obras-de-ia/" TargetMode="External"/><Relationship Id="rIdramv9om1gmtgzz2iob9hn" Type="http://schemas.openxmlformats.org/officeDocument/2006/relationships/hyperlink" Target="https://www.wipo.int/treaties/es/ip/berne/" TargetMode="External"/><Relationship Id="rId2r0rhwrtmig-28uoavza-" Type="http://schemas.openxmlformats.org/officeDocument/2006/relationships/hyperlink" Target="https://www.wipo.int/treaties/es/ip/wct/" TargetMode="External"/><Relationship Id="rId-wuevxwbxci4o8yqtlkdq" Type="http://schemas.openxmlformats.org/officeDocument/2006/relationships/hyperlink" Target="https://tind.wipo.int/record/44180?v=pdf" TargetMode="External"/><Relationship Id="rIdtdii9tds1zseln8wuaock" Type="http://schemas.openxmlformats.org/officeDocument/2006/relationships/hyperlink" Target="https://www.wipo.int/es/web/madrid-system/" TargetMode="External"/><Relationship Id="rId1qdlfjjhtazoc2nijvacu" Type="http://schemas.openxmlformats.org/officeDocument/2006/relationships/hyperlink" Target="https://www.wipo.int/es/web/trade-secrets" TargetMode="External"/><Relationship Id="rIdywp04oirj4j2do_31oq7e" Type="http://schemas.openxmlformats.org/officeDocument/2006/relationships/hyperlink" Target="https://www.wto.org/spanish/docs_s/legal_s/27-trips.pdf" TargetMode="External"/><Relationship Id="rId_vlnsibyvzeussdupfx0x" Type="http://schemas.openxmlformats.org/officeDocument/2006/relationships/hyperlink" Target="https://eur-lex.europa.eu/legal-content/ES/TXT/?uri=CELEX:32016R0679" TargetMode="External"/><Relationship Id="rId26vddub-5u_09rc4-kqml" Type="http://schemas.openxmlformats.org/officeDocument/2006/relationships/hyperlink" Target="https://elibro.net/es/ereader/bibliotecauveg/294209?page=18" TargetMode="External"/><Relationship Id="rId9" Type="http://schemas.openxmlformats.org/officeDocument/2006/relationships/image" Target="media/5951818202f0ae4061aa00d74cf0fca5c1ca172b.png"/><Relationship Id="rId10" Type="http://schemas.openxmlformats.org/officeDocument/2006/relationships/image" Target="media/759452d37c7609302b9d34d617285dd8479bc98c.jp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integral de gestión de riesgos informáticos relacionados con la violación de derechos de propiedad intelectual en el CIESS</dc:title>
  <dc:creator>Arturo David Navarrete Flores</dc:creator>
  <cp:lastModifiedBy>Un-named</cp:lastModifiedBy>
  <cp:revision>1</cp:revision>
  <dcterms:created xsi:type="dcterms:W3CDTF">2026-10-11T21:46:32.422Z</dcterms:created>
  <dcterms:modified xsi:type="dcterms:W3CDTF">2026-10-11T21:46:32.422Z</dcterms:modified>
</cp:coreProperties>
</file>

<file path=docProps/custom.xml><?xml version="1.0" encoding="utf-8"?>
<Properties xmlns="http://schemas.openxmlformats.org/officeDocument/2006/custom-properties" xmlns:vt="http://schemas.openxmlformats.org/officeDocument/2006/docPropsVTypes"/>
</file>