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line="276" w:lineRule="auto"/>
        <w:jc w:val="center"/>
      </w:pPr>
      <w:r>
        <w:drawing>
          <wp:inline distT="0" distB="0" distL="0" distR="0">
            <wp:extent cx="1714500" cy="819150"/>
            <wp:effectExtent t="0" r="0" b="0" l="0"/>
            <wp:docPr id="1" name="logo" descr="Logotipo de la Universidad Virtual del Estado de Guanajuato" title="UV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819150"/>
                    </a:xfrm>
                    <a:prstGeom prst="rect">
                      <a:avLst/>
                    </a:prstGeom>
                  </pic:spPr>
                </pic:pic>
              </a:graphicData>
            </a:graphic>
          </wp:inline>
        </w:drawing>
      </w:r>
    </w:p>
    <w:p>
      <w:pPr>
        <w:spacing w:after="0" w:before="0" w:line="276" w:lineRule="auto"/>
        <w:jc w:val="center"/>
      </w:pPr>
      <w:r>
        <w:rPr>
          <w:rFonts w:ascii="Arial" w:cs="Arial" w:eastAsia="Arial" w:hAnsi="Arial"/>
          <w:b/>
          <w:bCs/>
          <w:color w:val="1F4E79"/>
          <w:sz w:val="32"/>
          <w:szCs w:val="32"/>
        </w:rPr>
        <w:t xml:space="preserve">Universidad Virtual del Estado de Guanajuato</w:t>
      </w:r>
    </w:p>
    <w:p>
      <w:pPr>
        <w:spacing w:after="0" w:before="120" w:line="276" w:lineRule="auto"/>
        <w:jc w:val="center"/>
      </w:pPr>
      <w:r>
        <w:rPr>
          <w:rFonts w:ascii="Arial" w:cs="Arial" w:eastAsia="Arial" w:hAnsi="Arial"/>
          <w:b/>
          <w:bCs/>
          <w:color w:val="1F4E79"/>
          <w:sz w:val="32"/>
          <w:szCs w:val="32"/>
        </w:rPr>
        <w:t xml:space="preserve">Maestría en Inteligencia Artificial</w:t>
      </w:r>
    </w:p>
    <w:p>
      <w:pPr>
        <w:spacing w:after="0" w:before="360" w:line="276" w:lineRule="auto"/>
        <w:jc w:val="center"/>
      </w:pPr>
      <w:r>
        <w:rPr>
          <w:rFonts w:ascii="Arial" w:cs="Arial" w:eastAsia="Arial" w:hAnsi="Arial"/>
          <w:b/>
          <w:bCs/>
          <w:color w:val="1F4E79"/>
          <w:sz w:val="32"/>
          <w:szCs w:val="32"/>
        </w:rPr>
        <w:t xml:space="preserve">Módulo: </w:t>
      </w:r>
      <w:r>
        <w:rPr>
          <w:rFonts w:ascii="Arial" w:cs="Arial" w:eastAsia="Arial" w:hAnsi="Arial"/>
          <w:b/>
          <w:bCs/>
          <w:color w:val="1F4E79"/>
          <w:sz w:val="32"/>
          <w:szCs w:val="32"/>
        </w:rPr>
        <w:t xml:space="preserve">Aspectos éticos y normativos de la Ciencia de Datos e Inteligencia Artificial</w:t>
      </w:r>
    </w:p>
    <w:p>
      <w:pPr>
        <w:spacing w:after="0" w:before="360" w:line="276" w:lineRule="auto"/>
        <w:jc w:val="center"/>
      </w:pPr>
      <w:r>
        <w:rPr>
          <w:rFonts w:ascii="Arial" w:cs="Arial" w:eastAsia="Arial" w:hAnsi="Arial"/>
          <w:b/>
          <w:bCs/>
          <w:color w:val="1F4E79"/>
          <w:sz w:val="32"/>
          <w:szCs w:val="32"/>
        </w:rPr>
        <w:t xml:space="preserve">Reto 5: </w:t>
      </w:r>
      <w:r>
        <w:rPr>
          <w:rFonts w:ascii="Arial" w:cs="Arial" w:eastAsia="Arial" w:hAnsi="Arial"/>
          <w:b/>
          <w:bCs/>
          <w:color w:val="1F4E79"/>
          <w:sz w:val="32"/>
          <w:szCs w:val="32"/>
        </w:rPr>
        <w:t xml:space="preserve">Propiedad intelectual en la era digital</w:t>
      </w:r>
    </w:p>
    <w:p>
      <w:pPr>
        <w:spacing w:after="0" w:before="360" w:line="276" w:lineRule="auto"/>
        <w:jc w:val="center"/>
      </w:pPr>
      <w:r>
        <w:rPr>
          <w:rFonts w:ascii="Arial" w:cs="Arial" w:eastAsia="Arial" w:hAnsi="Arial"/>
          <w:b/>
          <w:bCs/>
          <w:color w:val="1F4E79"/>
          <w:sz w:val="32"/>
          <w:szCs w:val="32"/>
        </w:rPr>
        <w:t xml:space="preserve">Plan de gestión de riesgos informáticos relacionados con la violación de derechos de propiedad intelectual en el CIESS</w:t>
      </w:r>
    </w:p>
    <w:p>
      <w:pPr>
        <w:spacing w:after="0" w:before="600" w:line="276" w:lineRule="auto"/>
        <w:jc w:val="center"/>
      </w:pPr>
      <w:r>
        <w:rPr>
          <w:rFonts w:ascii="Arial" w:cs="Arial" w:eastAsia="Arial" w:hAnsi="Arial"/>
          <w:b/>
          <w:bCs/>
          <w:color w:val="1F4E79"/>
          <w:sz w:val="32"/>
          <w:szCs w:val="32"/>
        </w:rPr>
        <w:t xml:space="preserve">Nombre del alumno: </w:t>
      </w:r>
      <w:r>
        <w:rPr>
          <w:rFonts w:ascii="Arial" w:cs="Arial" w:eastAsia="Arial" w:hAnsi="Arial"/>
          <w:b/>
          <w:bCs/>
          <w:color w:val="1F4E79"/>
          <w:sz w:val="32"/>
          <w:szCs w:val="32"/>
        </w:rPr>
        <w:t xml:space="preserve">Arturo David Navarrete Flores</w:t>
      </w:r>
    </w:p>
    <w:p>
      <w:pPr>
        <w:spacing w:after="0" w:before="120" w:line="276" w:lineRule="auto"/>
        <w:jc w:val="center"/>
      </w:pPr>
      <w:r>
        <w:rPr>
          <w:rFonts w:ascii="Arial" w:cs="Arial" w:eastAsia="Arial" w:hAnsi="Arial"/>
          <w:b/>
          <w:bCs/>
          <w:color w:val="1F4E79"/>
          <w:sz w:val="32"/>
          <w:szCs w:val="32"/>
        </w:rPr>
        <w:t xml:space="preserve">Matrícula: </w:t>
      </w:r>
      <w:r>
        <w:rPr>
          <w:rFonts w:ascii="Arial" w:cs="Arial" w:eastAsia="Arial" w:hAnsi="Arial"/>
          <w:b/>
          <w:bCs/>
          <w:color w:val="1F4E79"/>
          <w:sz w:val="32"/>
          <w:szCs w:val="32"/>
        </w:rPr>
        <w:t xml:space="preserve">26014842</w:t>
      </w:r>
    </w:p>
    <w:p>
      <w:pPr>
        <w:spacing w:after="0" w:before="120" w:line="276" w:lineRule="auto"/>
        <w:jc w:val="center"/>
      </w:pPr>
      <w:r>
        <w:rPr>
          <w:rFonts w:ascii="Arial" w:cs="Arial" w:eastAsia="Arial" w:hAnsi="Arial"/>
          <w:b/>
          <w:bCs/>
          <w:color w:val="1F4E79"/>
          <w:sz w:val="32"/>
          <w:szCs w:val="32"/>
        </w:rPr>
        <w:t xml:space="preserve">Nombre del asesor: </w:t>
      </w:r>
      <w:r>
        <w:rPr>
          <w:rFonts w:ascii="Arial" w:cs="Arial" w:eastAsia="Arial" w:hAnsi="Arial"/>
          <w:b/>
          <w:bCs/>
          <w:color w:val="1F4E79"/>
          <w:sz w:val="32"/>
          <w:szCs w:val="32"/>
        </w:rPr>
        <w:t xml:space="preserve">Laura Antonia Aldana Ortiz</w:t>
      </w:r>
    </w:p>
    <w:p>
      <w:pPr>
        <w:spacing w:after="0" w:before="120" w:line="276" w:lineRule="auto"/>
        <w:jc w:val="center"/>
      </w:pPr>
      <w:r>
        <w:rPr>
          <w:rFonts w:ascii="Arial" w:cs="Arial" w:eastAsia="Arial" w:hAnsi="Arial"/>
          <w:b/>
          <w:bCs/>
          <w:color w:val="1F4E79"/>
          <w:sz w:val="32"/>
          <w:szCs w:val="32"/>
        </w:rPr>
        <w:t xml:space="preserve">Fecha de elaboración: </w:t>
      </w:r>
      <w:r>
        <w:rPr>
          <w:rFonts w:ascii="Arial" w:cs="Arial" w:eastAsia="Arial" w:hAnsi="Arial"/>
          <w:b/>
          <w:bCs/>
          <w:color w:val="1F4E79"/>
          <w:sz w:val="32"/>
          <w:szCs w:val="32"/>
        </w:rPr>
        <w:t xml:space="preserve">11 de octubre de 2026</w:t>
      </w:r>
    </w:p>
    <w:p>
      <w:pPr>
        <w:spacing w:after="0" w:before="120" w:line="276" w:lineRule="auto"/>
        <w:jc w:val="center"/>
      </w:pPr>
      <w:r>
        <w:rPr>
          <w:rFonts w:ascii="Arial" w:cs="Arial" w:eastAsia="Arial" w:hAnsi="Arial"/>
          <w:b/>
          <w:bCs/>
          <w:color w:val="1F4E79"/>
          <w:sz w:val="32"/>
          <w:szCs w:val="32"/>
        </w:rPr>
        <w:t xml:space="preserve">Declaratoria de originalidad: </w:t>
      </w:r>
      <w:r>
        <w:rPr>
          <w:rFonts w:ascii="Arial" w:cs="Arial" w:eastAsia="Arial" w:hAnsi="Arial"/>
          <w:b/>
          <w:bCs/>
          <w:color w:val="1F4E79"/>
          <w:sz w:val="32"/>
          <w:szCs w:val="32"/>
        </w:rPr>
        <w:t xml:space="preserve">se anexa en la página siguiente</w:t>
      </w:r>
    </w:p>
    <w:p>
      <w:pPr>
        <w:pageBreakBefore/>
        <w:spacing w:line="240" w:lineRule="auto"/>
        <w:jc w:val="center"/>
      </w:pPr>
      <w:r>
        <w:drawing>
          <wp:inline distT="0" distB="0" distL="0" distR="0">
            <wp:extent cx="5619750" cy="6981825"/>
            <wp:effectExtent t="0" r="0" b="0" l="0"/>
            <wp:docPr id="1" name="declaratoria" descr="Declaración del estudiante firmada (declaratoria de originalidad)" title="Declara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6981825"/>
                    </a:xfrm>
                    <a:prstGeom prst="rect">
                      <a:avLst/>
                    </a:prstGeom>
                  </pic:spPr>
                </pic:pic>
              </a:graphicData>
            </a:graphic>
          </wp:inline>
        </w:drawing>
      </w:r>
    </w:p>
    <w:p>
      <w:pPr>
        <w:pStyle w:val="Heading1"/>
        <w:keepNext/>
        <w:pageBreakBefore/>
        <w:spacing w:after="0" w:before="0" w:line="360" w:lineRule="auto"/>
        <w:jc w:val="center"/>
      </w:pPr>
      <w:r>
        <w:rPr>
          <w:rFonts w:ascii="Arial" w:cs="Arial" w:eastAsia="Arial" w:hAnsi="Arial"/>
          <w:b/>
          <w:bCs/>
          <w:color w:val="000000"/>
          <w:sz w:val="24"/>
          <w:szCs w:val="24"/>
        </w:rPr>
        <w:t xml:space="preserve">Plan de gestión de riesgos informáticos relacionados con la violación de derechos de propiedad intelectual en el CIESS</w:t>
      </w:r>
    </w:p>
    <w:p>
      <w:pPr>
        <w:pStyle w:val="Heading1"/>
        <w:keepNext/>
        <w:spacing w:after="0" w:before="0" w:line="360" w:lineRule="auto"/>
        <w:jc w:val="center"/>
      </w:pPr>
      <w:r>
        <w:rPr>
          <w:rFonts w:ascii="Arial" w:cs="Arial" w:eastAsia="Arial" w:hAnsi="Arial"/>
          <w:b/>
          <w:bCs/>
          <w:color w:val="000000"/>
          <w:sz w:val="24"/>
          <w:szCs w:val="24"/>
        </w:rPr>
        <w:t xml:space="preserve">Introducción</w:t>
      </w:r>
    </w:p>
    <w:p>
      <w:pPr>
        <w:spacing w:after="0" w:before="0" w:line="360" w:lineRule="auto"/>
        <w:ind w:firstLine="720"/>
        <w:jc w:val="both"/>
      </w:pPr>
      <w:r>
        <w:rPr>
          <w:rFonts w:ascii="Arial" w:cs="Arial" w:eastAsia="Arial" w:hAnsi="Arial"/>
          <w:sz w:val="24"/>
          <w:szCs w:val="24"/>
        </w:rPr>
        <w:t xml:space="preserve">Desde 2014 trabajo en el Centro Interamericano de Estudios de Seguridad Social (CIESS) como diseñador UX/UI y desarrollador. Diseño interfaces, administro el sitio web institucional y sus micrositios, desarrollo herramientas para el campus virtual (constancias y actas de calificaciones), mantengo reportes en Google Sheets y desarrollé el sistema de registro del 1er Congreso de Estudios Interamericanos de Seguridad Social (CIESS, s.f.-a). También diseñé el logotipo actual y participé en el rediseño de identidad de 2020 a 2022. En el sitio del CIESS se presentan sus cursos y eventos (CIESS, s.f.-b) y la Red Interamericana de Universidades para la Seguridad Social, RIUSS (CIESS, s.f.-c). Casi todo ello es propiedad intelectual: textos, imágenes, videos, código, marcas y bases de datos.</w:t>
      </w:r>
    </w:p>
    <w:p>
      <w:pPr>
        <w:spacing w:after="0" w:before="0" w:line="360" w:lineRule="auto"/>
        <w:ind w:firstLine="720"/>
        <w:jc w:val="both"/>
      </w:pPr>
      <w:r>
        <w:rPr>
          <w:rFonts w:ascii="Arial" w:cs="Arial" w:eastAsia="Arial" w:hAnsi="Arial"/>
          <w:sz w:val="24"/>
          <w:szCs w:val="24"/>
        </w:rPr>
        <w:t xml:space="preserve">Este documento es mi plan de gestión de riesgos informáticos relacionados con la violación de derechos de propiedad intelectual (PI). Atiende dos riesgos: que otras personas usen sin permiso lo que es del CIESS y que el CIESS use sin permiso lo que es de otras personas. Son riesgos informáticos porque casi todo ocurre en medios digitales: se copia con un clic, se comparte en segundos y hoy también se genera con inteligencia artificial (IA). Me apoyé en la Lección 10 y en el capítulo 1 del manual de Uceda Carrillo (2025). No soy abogado, así que los puntos legales deben revisarse con el área jurídica antes de aplicarse.</w:t>
      </w:r>
    </w:p>
    <w:p>
      <w:pPr>
        <w:spacing w:after="0" w:before="0" w:line="360" w:lineRule="auto"/>
        <w:ind w:firstLine="720"/>
        <w:jc w:val="both"/>
      </w:pPr>
      <w:r>
        <w:rPr>
          <w:rFonts w:ascii="Arial" w:cs="Arial" w:eastAsia="Arial" w:hAnsi="Arial"/>
          <w:b/>
          <w:bCs/>
          <w:sz w:val="24"/>
          <w:szCs w:val="24"/>
        </w:rPr>
        <w:t xml:space="preserve">Lo que pido a la Dirección:</w:t>
      </w:r>
      <w:r>
        <w:rPr>
          <w:rFonts w:ascii="Arial" w:cs="Arial" w:eastAsia="Arial" w:hAnsi="Arial"/>
          <w:sz w:val="24"/>
          <w:szCs w:val="24"/>
        </w:rPr>
        <w:t xml:space="preserve"> nombrar a una persona responsable de la PI (puedo serlo con apoyo jurídico), aprobar las políticas cortas del apartado 6 y reservar unas 3 horas por semana durante 6 meses.</w:t>
      </w:r>
    </w:p>
    <w:p>
      <w:pPr>
        <w:pStyle w:val="Heading1"/>
        <w:keepNext/>
        <w:spacing w:after="0" w:before="0" w:line="360" w:lineRule="auto"/>
        <w:jc w:val="center"/>
      </w:pPr>
      <w:r>
        <w:rPr>
          <w:rFonts w:ascii="Arial" w:cs="Arial" w:eastAsia="Arial" w:hAnsi="Arial"/>
          <w:b/>
          <w:bCs/>
          <w:color w:val="000000"/>
          <w:sz w:val="24"/>
          <w:szCs w:val="24"/>
        </w:rPr>
        <w:t xml:space="preserve">Desarrollo</w:t>
      </w:r>
    </w:p>
    <w:p>
      <w:pPr>
        <w:pStyle w:val="Heading2"/>
        <w:keepNext/>
        <w:spacing w:after="0" w:before="160" w:line="360" w:lineRule="auto"/>
        <w:jc w:val="left"/>
      </w:pPr>
      <w:r>
        <w:rPr>
          <w:rFonts w:ascii="Arial" w:cs="Arial" w:eastAsia="Arial" w:hAnsi="Arial"/>
          <w:b/>
          <w:bCs/>
          <w:color w:val="000000"/>
          <w:sz w:val="24"/>
          <w:szCs w:val="24"/>
        </w:rPr>
        <w:t xml:space="preserve">1. Conceptos base</w:t>
      </w:r>
    </w:p>
    <w:p>
      <w:pPr>
        <w:spacing w:after="0" w:before="0" w:line="360" w:lineRule="auto"/>
        <w:ind w:firstLine="720"/>
        <w:jc w:val="both"/>
      </w:pPr>
      <w:r>
        <w:rPr>
          <w:rFonts w:ascii="Arial" w:cs="Arial" w:eastAsia="Arial" w:hAnsi="Arial"/>
          <w:sz w:val="24"/>
          <w:szCs w:val="24"/>
        </w:rPr>
        <w:t xml:space="preserve">La PI protege las creaciones de la mente (Organización Mundial de la Propiedad Intelectual [OMPI], 2020). Tiene dos ramas: los derechos de autor, que protegen obras literarias, artísticas, programas de computación y bases de datos, y la propiedad industrial, que protege invenciones, signos distintivos como las marcas y diseños industriales (Uceda Carrillo, 2025). En inglés, </w:t>
      </w:r>
      <w:r>
        <w:rPr>
          <w:rFonts w:ascii="Arial" w:cs="Arial" w:eastAsia="Arial" w:hAnsi="Arial"/>
          <w:i/>
          <w:iCs/>
          <w:sz w:val="24"/>
          <w:szCs w:val="24"/>
        </w:rPr>
        <w:t xml:space="preserve">intellectual property</w:t>
      </w:r>
      <w:r>
        <w:rPr>
          <w:rFonts w:ascii="Arial" w:cs="Arial" w:eastAsia="Arial" w:hAnsi="Arial"/>
          <w:sz w:val="24"/>
          <w:szCs w:val="24"/>
        </w:rPr>
        <w:t xml:space="preserve"> incluye ambas ramas, y traducirla como si fuera solo propiedad industrial es un error frecuente (Uceda Carrillo, 2025).</w:t>
      </w:r>
    </w:p>
    <w:p>
      <w:pPr>
        <w:spacing w:after="0" w:before="0" w:line="360" w:lineRule="auto"/>
        <w:ind w:firstLine="720"/>
        <w:jc w:val="both"/>
      </w:pPr>
      <w:r>
        <w:rPr>
          <w:rFonts w:ascii="Arial" w:cs="Arial" w:eastAsia="Arial" w:hAnsi="Arial"/>
          <w:sz w:val="24"/>
          <w:szCs w:val="24"/>
        </w:rPr>
        <w:t xml:space="preserve">Los derechos de autor nacen cuando una obra original se fija en un medio tangible, como un archivo o un papel, y no necesitan registro (Uceda Carrillo, 2025), principio que también recoge el Convenio de Berna (Centro Español de Derechos Reprográficos [CEDRO], 2024). Hay dos clases de derechos. Los morales (paternidad e integridad) son inalienables, imprescriptibles e inembargables. Los patrimoniales permiten explotar la obra económicamente y duran un tiempo limitado. Además, las ideas no se protegen, solo su expresión (Uceda Carrillo, 2025): la idea de “un curso sobre seguridad social” es libre, pero el video y el material de un curso concreto no.</w:t>
      </w:r>
    </w:p>
    <w:p>
      <w:pPr>
        <w:spacing w:after="0" w:before="0" w:line="360" w:lineRule="auto"/>
        <w:ind w:firstLine="720"/>
        <w:jc w:val="both"/>
      </w:pPr>
      <w:r>
        <w:rPr>
          <w:rFonts w:ascii="Arial" w:cs="Arial" w:eastAsia="Arial" w:hAnsi="Arial"/>
          <w:sz w:val="24"/>
          <w:szCs w:val="24"/>
        </w:rPr>
        <w:t xml:space="preserve">En la propiedad industrial, en cambio, el registro es indispensable: los derechos de una marca nacen con su registro (Uceda Carrillo, 2025). Tiene tres pilares: marcas y nombres comerciales, diseños industriales, y patentes y modelos de utilidad. Dos aclaraciones del mismo manual me parecieron útiles: las marcas se registran, no se “patentan”, y no existe una “patente mundial”, porque el trámite internacional termina en patentes nacionales o regionales. Tampoco una patente garantiza libertad para comercializar ni impide por sí sola que alguien copie: da herramientas para defenderse (Uceda Carrillo, 2025).</w:t>
      </w:r>
    </w:p>
    <w:p>
      <w:pPr>
        <w:spacing w:after="0" w:before="0" w:line="360" w:lineRule="auto"/>
        <w:ind w:firstLine="720"/>
        <w:jc w:val="both"/>
      </w:pPr>
      <w:r>
        <w:rPr>
          <w:rFonts w:ascii="Arial" w:cs="Arial" w:eastAsia="Arial" w:hAnsi="Arial"/>
          <w:sz w:val="24"/>
          <w:szCs w:val="24"/>
        </w:rPr>
        <w:t xml:space="preserve">En lo digital, la Lección 10 menciona las medidas tecnológicas de protección (MTP) y la gestión de derechos digitales (DRM), que limitan copiar o descargar. También recuerda que publicar algo en redes sociales no lo deja libre de derechos y que existen excepciones, como citar con fuente. Las licencias Creative Commons permiten compartir con condiciones: BY (dar atribución), NC (no uso comercial), ND (sin obras derivadas) y SA (compartir igual) (Creative Commons, s.f.).</w:t>
      </w:r>
    </w:p>
    <w:p>
      <w:pPr>
        <w:spacing w:after="0" w:before="0" w:line="360" w:lineRule="auto"/>
        <w:ind w:firstLine="720"/>
        <w:jc w:val="both"/>
      </w:pPr>
      <w:r>
        <w:rPr>
          <w:rFonts w:ascii="Arial" w:cs="Arial" w:eastAsia="Arial" w:hAnsi="Arial"/>
          <w:sz w:val="24"/>
          <w:szCs w:val="24"/>
        </w:rPr>
        <w:t xml:space="preserve">Proteger tiene sentido para una organización como el CIESS porque los activos intangibles pesan mucho: Uceda Carrillo (2025) menciona que son cerca del 90 % del valor de las empresas del índice S&amp;P 500, y que las marcas suelen sobrevivir a las empresas que las crearon.</w:t>
      </w:r>
    </w:p>
    <w:p>
      <w:pPr>
        <w:pStyle w:val="Heading2"/>
        <w:keepNext/>
        <w:spacing w:after="0" w:before="160" w:line="360" w:lineRule="auto"/>
        <w:jc w:val="left"/>
      </w:pPr>
      <w:r>
        <w:rPr>
          <w:rFonts w:ascii="Arial" w:cs="Arial" w:eastAsia="Arial" w:hAnsi="Arial"/>
          <w:b/>
          <w:bCs/>
          <w:color w:val="000000"/>
          <w:sz w:val="24"/>
          <w:szCs w:val="24"/>
        </w:rPr>
        <w:t xml:space="preserve">2. Consideraciones legales nacionales</w:t>
      </w:r>
    </w:p>
    <w:p>
      <w:pPr>
        <w:spacing w:after="0" w:before="0" w:line="360" w:lineRule="auto"/>
        <w:ind w:firstLine="720"/>
        <w:jc w:val="both"/>
      </w:pPr>
      <w:r>
        <w:rPr>
          <w:rFonts w:ascii="Arial" w:cs="Arial" w:eastAsia="Arial" w:hAnsi="Arial"/>
          <w:sz w:val="24"/>
          <w:szCs w:val="24"/>
        </w:rPr>
        <w:t xml:space="preserve">El CIESS tiene su sede en México y trabaja con instituciones de seguridad social de varios países. Tomo la ley mexicana como referencia mínima, como hice con los datos personales en el Reto 3, aunque cada contrato debe decir qué ley aplica. Estas son las normas principales:</w:t>
      </w:r>
    </w:p>
    <w:p>
      <w:pPr>
        <w:pStyle w:val="ListParagraph"/>
        <w:numPr>
          <w:ilvl w:val="0"/>
          <w:numId w:val="2"/>
        </w:numPr>
        <w:spacing w:after="0" w:before="0" w:line="360" w:lineRule="auto"/>
        <w:jc w:val="both"/>
      </w:pPr>
      <w:r>
        <w:rPr>
          <w:rFonts w:ascii="Arial" w:cs="Arial" w:eastAsia="Arial" w:hAnsi="Arial"/>
          <w:b/>
          <w:bCs/>
          <w:sz w:val="24"/>
          <w:szCs w:val="24"/>
        </w:rPr>
        <w:t xml:space="preserve">Ley Federal del Derecho de Autor (LFDA).</w:t>
      </w:r>
      <w:r>
        <w:rPr>
          <w:rFonts w:ascii="Arial" w:cs="Arial" w:eastAsia="Arial" w:hAnsi="Arial"/>
          <w:sz w:val="24"/>
          <w:szCs w:val="24"/>
        </w:rPr>
        <w:t xml:space="preserve"> Protege las obras desde que se fijan en un soporte, sin trámite (Ley Federal del Derecho de Autor [LFDA], 1996, art. 5). Los programas de computación se protegen como obras literarias (LFDA, 1996, art. 102). La persona autora es titular única y perpetua de los derechos morales (LFDA, 1996, arts. 18 y 21). Los derechos patrimoniales duran la vida de la persona autora y 100 años más (LFDA, 1996, art. 29). La LFDA permite citar textos con la fuente y sin alterarlos (LFDA, 1996, art. 148) y exige el consentimiento expreso de una persona para usar su retrato (LFDA, 1996, art. 87).</w:t>
      </w:r>
    </w:p>
    <w:p>
      <w:pPr>
        <w:pStyle w:val="ListParagraph"/>
        <w:numPr>
          <w:ilvl w:val="0"/>
          <w:numId w:val="2"/>
        </w:numPr>
        <w:spacing w:after="0" w:before="0" w:line="360" w:lineRule="auto"/>
        <w:jc w:val="both"/>
      </w:pPr>
      <w:r>
        <w:rPr>
          <w:rFonts w:ascii="Arial" w:cs="Arial" w:eastAsia="Arial" w:hAnsi="Arial"/>
          <w:b/>
          <w:bCs/>
          <w:sz w:val="24"/>
          <w:szCs w:val="24"/>
        </w:rPr>
        <w:t xml:space="preserve">Ley Federal de Protección a la Propiedad Industrial (LFPPI).</w:t>
      </w:r>
      <w:r>
        <w:rPr>
          <w:rFonts w:ascii="Arial" w:cs="Arial" w:eastAsia="Arial" w:hAnsi="Arial"/>
          <w:sz w:val="24"/>
          <w:szCs w:val="24"/>
        </w:rPr>
        <w:t xml:space="preserve"> Su artículo 5 faculta al Instituto Mexicano de la Propiedad Industrial (IMPI) para atender patentes, modelos de utilidad, diseños industriales, esquemas de trazado de circuitos integrados, marcas, avisos comerciales, nombres comerciales y denominaciones de origen (Ley Federal de Protección a la Propiedad Industrial [LFPPI], 2020, art. 5). Una marca registrada dura 10 años y se renueva (Uceda Carrillo, 2025). La ley también regula el secreto industrial, que la Lección llama secreto comercial y que exige tres cosas: valor comercial, conocimiento limitado y medidas razonables de protección (OMPI, 2025b).</w:t>
      </w:r>
    </w:p>
    <w:p>
      <w:pPr>
        <w:pStyle w:val="ListParagraph"/>
        <w:numPr>
          <w:ilvl w:val="0"/>
          <w:numId w:val="2"/>
        </w:numPr>
        <w:spacing w:after="0" w:before="0" w:line="360" w:lineRule="auto"/>
        <w:jc w:val="both"/>
      </w:pPr>
      <w:r>
        <w:rPr>
          <w:rFonts w:ascii="Arial" w:cs="Arial" w:eastAsia="Arial" w:hAnsi="Arial"/>
          <w:b/>
          <w:bCs/>
          <w:sz w:val="24"/>
          <w:szCs w:val="24"/>
        </w:rPr>
        <w:t xml:space="preserve">Autoridades.</w:t>
      </w:r>
      <w:r>
        <w:rPr>
          <w:rFonts w:ascii="Arial" w:cs="Arial" w:eastAsia="Arial" w:hAnsi="Arial"/>
          <w:sz w:val="24"/>
          <w:szCs w:val="24"/>
        </w:rPr>
        <w:t xml:space="preserve"> El IMPI atiende la propiedad industrial (IMPI, 2025) y el Instituto Nacional del Derecho de Autor (INDAUTOR) registra obras y contratos, con trámites en línea (INDAUTOR, 2025).</w:t>
      </w:r>
    </w:p>
    <w:p>
      <w:pPr>
        <w:pStyle w:val="ListParagraph"/>
        <w:numPr>
          <w:ilvl w:val="0"/>
          <w:numId w:val="2"/>
        </w:numPr>
        <w:spacing w:after="0" w:before="0" w:line="360" w:lineRule="auto"/>
        <w:jc w:val="both"/>
      </w:pPr>
      <w:r>
        <w:rPr>
          <w:rFonts w:ascii="Arial" w:cs="Arial" w:eastAsia="Arial" w:hAnsi="Arial"/>
          <w:b/>
          <w:bCs/>
          <w:sz w:val="24"/>
          <w:szCs w:val="24"/>
        </w:rPr>
        <w:t xml:space="preserve">IA generativa.</w:t>
      </w:r>
      <w:r>
        <w:rPr>
          <w:rFonts w:ascii="Arial" w:cs="Arial" w:eastAsia="Arial" w:hAnsi="Arial"/>
          <w:sz w:val="24"/>
          <w:szCs w:val="24"/>
        </w:rPr>
        <w:t xml:space="preserve"> INDAUTOR no registra obras creadas exclusivamente con IA, porque falta la intervención de una persona autora (Jalife, 2025).</w:t>
      </w:r>
    </w:p>
    <w:p>
      <w:pPr>
        <w:pStyle w:val="ListParagraph"/>
        <w:numPr>
          <w:ilvl w:val="0"/>
          <w:numId w:val="2"/>
        </w:numPr>
        <w:spacing w:after="0" w:before="0" w:line="360" w:lineRule="auto"/>
        <w:jc w:val="both"/>
      </w:pPr>
      <w:r>
        <w:rPr>
          <w:rFonts w:ascii="Arial" w:cs="Arial" w:eastAsia="Arial" w:hAnsi="Arial"/>
          <w:b/>
          <w:bCs/>
          <w:sz w:val="24"/>
          <w:szCs w:val="24"/>
        </w:rPr>
        <w:t xml:space="preserve">Datos personales.</w:t>
      </w:r>
      <w:r>
        <w:rPr>
          <w:rFonts w:ascii="Arial" w:cs="Arial" w:eastAsia="Arial" w:hAnsi="Arial"/>
          <w:sz w:val="24"/>
          <w:szCs w:val="24"/>
        </w:rPr>
        <w:t xml:space="preserve"> La voz y la imagen de las personas son además datos personales, así que se cruzan la LFDA y la ley que revisé en el Reto 3 (Ley Federal de Protección de Datos Personales en Posesión de los Particulares [LFPDPPP], 2025).</w:t>
      </w:r>
    </w:p>
    <w:p>
      <w:pPr>
        <w:spacing w:after="0" w:before="0" w:line="360" w:lineRule="auto"/>
        <w:ind w:firstLine="720"/>
        <w:jc w:val="both"/>
      </w:pPr>
      <w:r>
        <w:rPr>
          <w:rFonts w:ascii="Arial" w:cs="Arial" w:eastAsia="Arial" w:hAnsi="Arial"/>
          <w:sz w:val="24"/>
          <w:szCs w:val="24"/>
        </w:rPr>
        <w:t xml:space="preserve">Lo más importante para mi trabajo es saber de quién es una obra cuando la hace una persona empleada o externa. La Tabla 1 resume lo que dice la LFDA. Uceda Carrillo (2025) explica que la persona autora siempre es una persona física y que, si una empresa contrata a un diseñador o programador, la titularidad queda con quien creó la obra salvo cesión expresa de los derechos de explotación. En México la LFDA ya trae reglas para varios casos, pero conviene aclararlas por escrito, porque un pacto puede cambiarlas. El incumplimiento puede traer sanciones administrativas, civiles e incluso penales, que corresponde detallar al área jurídica.</w:t>
      </w:r>
    </w:p>
    <w:p>
      <w:pPr>
        <w:keepNext/>
        <w:spacing w:after="0" w:before="0" w:line="360" w:lineRule="auto"/>
      </w:pPr>
      <w:r>
        <w:rPr>
          <w:rFonts w:ascii="Arial" w:cs="Arial" w:eastAsia="Arial" w:hAnsi="Arial"/>
          <w:b/>
          <w:bCs/>
          <w:sz w:val="24"/>
          <w:szCs w:val="24"/>
        </w:rPr>
        <w:t xml:space="preserve">Tabla 1</w:t>
      </w:r>
    </w:p>
    <w:p>
      <w:pPr>
        <w:keepNext/>
        <w:spacing w:after="0" w:before="0" w:line="360" w:lineRule="auto"/>
      </w:pPr>
      <w:r>
        <w:rPr>
          <w:rFonts w:ascii="Arial" w:cs="Arial" w:eastAsia="Arial" w:hAnsi="Arial"/>
          <w:i/>
          <w:iCs/>
          <w:sz w:val="24"/>
          <w:szCs w:val="24"/>
        </w:rPr>
        <w:t xml:space="preserve">Quién es titular de una obra según la LFDA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838"/>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Situación</w:t>
            </w:r>
          </w:p>
        </w:tc>
        <w:tc>
          <w:tcPr>
            <w:tcW w:type="dxa" w:w="37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dice la LFDA</w:t>
            </w:r>
          </w:p>
        </w:tc>
        <w:tc>
          <w:tcPr>
            <w:tcW w:type="dxa" w:w="28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haré en el CIESS</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Obra encargada a una persona o empresa externa, o hecha con colaboración remunerada (art. 83)</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Salvo pacto en contrario, los derechos patrimoniales son de quien encarga la obra. La persona autora debe ser mencionada.</w:t>
            </w:r>
          </w:p>
        </w:tc>
        <w:tc>
          <w:tcPr>
            <w:tcW w:type="dxa" w:w="2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Contrato por escrito que diga qué se cede, para qué usos, por cuánto tiempo y cómo se menciona a la persona autora</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Obra de una persona empleada, con contrato individual de trabajo por escrito (art. 84)</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Salvo pacto en contrario, los derechos patrimoniales se dividen por partes iguales entre quien emplea y quien es empleada. El empleador puede divulgar la obra sin autorización.</w:t>
            </w:r>
          </w:p>
        </w:tc>
        <w:tc>
          <w:tcPr>
            <w:tcW w:type="dxa" w:w="2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Pactar por escrito la cesión de los derechos patrimoniales al CIESS cuando la obra se hace como parte del trabajo</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Obra de una persona empleada, sin contrato individual por escrito (art. 84)</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Los derechos patrimoniales corresponden a la persona empleada.</w:t>
            </w:r>
          </w:p>
        </w:tc>
        <w:tc>
          <w:tcPr>
            <w:tcW w:type="dxa" w:w="2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Formalizar el contrato. Es el caso más riesgoso</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Programa de computación creado por una persona empleada en sus funciones (art. 103)</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Salvo pacto en contrario, los derechos patrimoniales corresponden a quien emplea.</w:t>
            </w:r>
          </w:p>
        </w:tc>
        <w:tc>
          <w:tcPr>
            <w:tcW w:type="dxa" w:w="2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Dejar constancia del pacto y de qué sistemas entran en esta regla</w:t>
            </w:r>
          </w:p>
        </w:tc>
      </w:tr>
      <w:tr>
        <w:trPr>
          <w:cantSplit/>
        </w:trPr>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Derechos morales de cualquier obra (arts. 18 y 21)</w:t>
            </w:r>
          </w:p>
        </w:tc>
        <w:tc>
          <w:tcPr>
            <w:tcW w:type="dxa" w:w="3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Pertenecen siempre a la persona autora (paternidad e integridad) y no se pueden ceder.</w:t>
            </w:r>
          </w:p>
        </w:tc>
        <w:tc>
          <w:tcPr>
            <w:tcW w:type="dxa" w:w="28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Mencionar a la persona autora y no alterar la obra sin su autorización</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Resumen mío de los artículos citados de la LFDA (1996). Debe confirmarse con el texto vigente y con el área jurídica, porque el régimen laboral del personal del CIESS puede tener reglas propias.</w:t>
      </w:r>
    </w:p>
    <w:p>
      <w:pPr>
        <w:pStyle w:val="Heading2"/>
        <w:keepNext/>
        <w:spacing w:after="0" w:before="160" w:line="360" w:lineRule="auto"/>
        <w:jc w:val="left"/>
      </w:pPr>
      <w:r>
        <w:rPr>
          <w:rFonts w:ascii="Arial" w:cs="Arial" w:eastAsia="Arial" w:hAnsi="Arial"/>
          <w:b/>
          <w:bCs/>
          <w:color w:val="000000"/>
          <w:sz w:val="24"/>
          <w:szCs w:val="24"/>
        </w:rPr>
        <w:t xml:space="preserve">3. Consideraciones legales internacionales</w:t>
      </w:r>
    </w:p>
    <w:p>
      <w:pPr>
        <w:spacing w:after="0" w:before="0" w:line="360" w:lineRule="auto"/>
        <w:ind w:firstLine="720"/>
        <w:jc w:val="both"/>
      </w:pPr>
      <w:r>
        <w:rPr>
          <w:rFonts w:ascii="Arial" w:cs="Arial" w:eastAsia="Arial" w:hAnsi="Arial"/>
          <w:sz w:val="24"/>
          <w:szCs w:val="24"/>
        </w:rPr>
        <w:t xml:space="preserve">Tres organizaciones mundiales ordenan el tema. La OMPI administra los tratados de PI (OMPI, 2020). La Organización Mundial del Comercio (OMC) administra el Acuerdo sobre los Aspectos de los Derechos de Propiedad Intelectual relacionados con el Comercio (ADPIC). Y el Convenio de Berna es el tratado más antiguo sobre derechos de autor. Los instrumentos que más me importan son estos:</w:t>
      </w:r>
    </w:p>
    <w:p>
      <w:pPr>
        <w:pStyle w:val="ListParagraph"/>
        <w:numPr>
          <w:ilvl w:val="0"/>
          <w:numId w:val="2"/>
        </w:numPr>
        <w:spacing w:after="0" w:before="0" w:line="360" w:lineRule="auto"/>
        <w:jc w:val="both"/>
      </w:pPr>
      <w:r>
        <w:rPr>
          <w:rFonts w:ascii="Arial" w:cs="Arial" w:eastAsia="Arial" w:hAnsi="Arial"/>
          <w:b/>
          <w:bCs/>
          <w:sz w:val="24"/>
          <w:szCs w:val="24"/>
        </w:rPr>
        <w:t xml:space="preserve">Convenio de Berna (1886; Acta de París de 1971).</w:t>
      </w:r>
      <w:r>
        <w:rPr>
          <w:rFonts w:ascii="Arial" w:cs="Arial" w:eastAsia="Arial" w:hAnsi="Arial"/>
          <w:sz w:val="24"/>
          <w:szCs w:val="24"/>
        </w:rPr>
        <w:t xml:space="preserve"> Se basa en el trato nacional (una obra extranjera recibe la misma protección que una local), la protección automática, sin registro, y la independencia de la protección respecto del país de origen (CEDRO, 2024). Fija un mínimo de 50 años después de la muerte de la persona autora, que cada país puede ampliar (OMPI, 1979). México lo amplía a 100 años (LFDA, 1996, art. 29) y la Unión Europea a 70 (Uceda Carrillo, 2025). Tiene más de 180 países miembros (Uceda Carrillo, 2025).</w:t>
      </w:r>
    </w:p>
    <w:p>
      <w:pPr>
        <w:pStyle w:val="ListParagraph"/>
        <w:numPr>
          <w:ilvl w:val="0"/>
          <w:numId w:val="2"/>
        </w:numPr>
        <w:spacing w:after="0" w:before="0" w:line="360" w:lineRule="auto"/>
        <w:jc w:val="both"/>
      </w:pPr>
      <w:r>
        <w:rPr>
          <w:rFonts w:ascii="Arial" w:cs="Arial" w:eastAsia="Arial" w:hAnsi="Arial"/>
          <w:b/>
          <w:bCs/>
          <w:sz w:val="24"/>
          <w:szCs w:val="24"/>
        </w:rPr>
        <w:t xml:space="preserve">Acuerdo sobre los ADPIC (vigente desde 1995).</w:t>
      </w:r>
      <w:r>
        <w:rPr>
          <w:rFonts w:ascii="Arial" w:cs="Arial" w:eastAsia="Arial" w:hAnsi="Arial"/>
          <w:sz w:val="24"/>
          <w:szCs w:val="24"/>
        </w:rPr>
        <w:t xml:space="preserve"> Obliga a los miembros de la OMC a cumplir lo esencial de Berna (artículos 1 a 21 del Acta de París), salvo los derechos morales; protege los programas de computación como obras literarias y la información no divulgada, y exige procedimientos para hacer valer los derechos (OMC, 1994).</w:t>
      </w:r>
    </w:p>
    <w:p>
      <w:pPr>
        <w:pStyle w:val="ListParagraph"/>
        <w:numPr>
          <w:ilvl w:val="0"/>
          <w:numId w:val="2"/>
        </w:numPr>
        <w:spacing w:after="0" w:before="0" w:line="360" w:lineRule="auto"/>
        <w:jc w:val="both"/>
      </w:pPr>
      <w:r>
        <w:rPr>
          <w:rFonts w:ascii="Arial" w:cs="Arial" w:eastAsia="Arial" w:hAnsi="Arial"/>
          <w:b/>
          <w:bCs/>
          <w:sz w:val="24"/>
          <w:szCs w:val="24"/>
        </w:rPr>
        <w:t xml:space="preserve">Tratado de la OMPI sobre Derecho de Autor (WCT, 1996).</w:t>
      </w:r>
      <w:r>
        <w:rPr>
          <w:rFonts w:ascii="Arial" w:cs="Arial" w:eastAsia="Arial" w:hAnsi="Arial"/>
          <w:sz w:val="24"/>
          <w:szCs w:val="24"/>
        </w:rPr>
        <w:t xml:space="preserve"> Lleva los derechos de autor al entorno digital: protege los programas de computación y las bases de datos, y obliga a proteger las medidas tecnológicas contra su evasión (OMPI, 1996).</w:t>
      </w:r>
    </w:p>
    <w:p>
      <w:pPr>
        <w:pStyle w:val="ListParagraph"/>
        <w:numPr>
          <w:ilvl w:val="0"/>
          <w:numId w:val="2"/>
        </w:numPr>
        <w:spacing w:after="0" w:before="0" w:line="360" w:lineRule="auto"/>
        <w:jc w:val="both"/>
      </w:pPr>
      <w:r>
        <w:rPr>
          <w:rFonts w:ascii="Arial" w:cs="Arial" w:eastAsia="Arial" w:hAnsi="Arial"/>
          <w:b/>
          <w:bCs/>
          <w:sz w:val="24"/>
          <w:szCs w:val="24"/>
        </w:rPr>
        <w:t xml:space="preserve">Sistema de Madrid (OMPI).</w:t>
      </w:r>
      <w:r>
        <w:rPr>
          <w:rFonts w:ascii="Arial" w:cs="Arial" w:eastAsia="Arial" w:hAnsi="Arial"/>
          <w:sz w:val="24"/>
          <w:szCs w:val="24"/>
        </w:rPr>
        <w:t xml:space="preserve"> Permite presentar una solicitud internacional de marca y designar los países donde se quiere protección. Cubre 131 países, y la vigencia es de 10 años renovable (OMPI, 2025a).</w:t>
      </w:r>
    </w:p>
    <w:p>
      <w:pPr>
        <w:spacing w:after="0" w:before="0" w:line="360" w:lineRule="auto"/>
        <w:ind w:firstLine="720"/>
        <w:jc w:val="both"/>
      </w:pPr>
      <w:r>
        <w:rPr>
          <w:rFonts w:ascii="Arial" w:cs="Arial" w:eastAsia="Arial" w:hAnsi="Arial"/>
          <w:sz w:val="24"/>
          <w:szCs w:val="24"/>
        </w:rPr>
        <w:t xml:space="preserve">La Tabla 2 muestra si algunos países de la región, más España, forman parte de estas organizaciones.</w:t>
      </w:r>
    </w:p>
    <w:p>
      <w:pPr>
        <w:keepNext/>
        <w:spacing w:after="0" w:before="0" w:line="360" w:lineRule="auto"/>
      </w:pPr>
      <w:r>
        <w:rPr>
          <w:rFonts w:ascii="Arial" w:cs="Arial" w:eastAsia="Arial" w:hAnsi="Arial"/>
          <w:b/>
          <w:bCs/>
          <w:sz w:val="24"/>
          <w:szCs w:val="24"/>
        </w:rPr>
        <w:t xml:space="preserve">Tabla 2</w:t>
      </w:r>
    </w:p>
    <w:p>
      <w:pPr>
        <w:keepNext/>
        <w:spacing w:after="0" w:before="0" w:line="360" w:lineRule="auto"/>
      </w:pPr>
      <w:r>
        <w:rPr>
          <w:rFonts w:ascii="Arial" w:cs="Arial" w:eastAsia="Arial" w:hAnsi="Arial"/>
          <w:i/>
          <w:iCs/>
          <w:sz w:val="24"/>
          <w:szCs w:val="24"/>
        </w:rPr>
        <w:t xml:space="preserve">Países y organizaciones mundiales de propiedad intelectual</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500"/>
        <w:gridCol w:w="2438"/>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País</w:t>
            </w:r>
          </w:p>
        </w:tc>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Convenio de Berna</w:t>
            </w:r>
          </w:p>
        </w:tc>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ADPIC (OMC)</w:t>
            </w:r>
          </w:p>
        </w:tc>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Sistema de Madrid (marcas)</w:t>
            </w:r>
          </w:p>
        </w:tc>
        <w:tc>
          <w:tcPr>
            <w:tcW w:type="dxa" w:w="24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Por qué lo incluyo</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México</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24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Sede del CIESS. Aplican la LFDA y la LFPPI</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Estados Unidos</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24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Plazos distintos: 95 años desde la publicación en ciertas obras (Uceda Carrillo, 2025)</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Brasil</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24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País de la región</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Colombia</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24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País de la región</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Chile</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24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País de la región</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España</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Sí</w:t>
            </w:r>
          </w:p>
        </w:tc>
        <w:tc>
          <w:tcPr>
            <w:tcW w:type="dxa" w:w="24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Ejemplo del manual de Uceda Carrillo (2025): vida del autor más 70 años</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con base en OMPI (1979, 2025a) y OMC (1994). La pertenencia de cada país debe confirmarse en los listados oficiales vigentes.</w:t>
      </w:r>
    </w:p>
    <w:p>
      <w:pPr>
        <w:spacing w:after="0" w:before="0" w:line="360" w:lineRule="auto"/>
        <w:ind w:firstLine="720"/>
        <w:jc w:val="both"/>
      </w:pPr>
      <w:r>
        <w:rPr>
          <w:rFonts w:ascii="Arial" w:cs="Arial" w:eastAsia="Arial" w:hAnsi="Arial"/>
          <w:sz w:val="24"/>
          <w:szCs w:val="24"/>
        </w:rPr>
        <w:t xml:space="preserve">Mi conclusión es doble. Primero, los derechos de autor “viajan” solos: la obra del CIESS queda protegida sin trámite en los países de Berna. Segundo, la propiedad industrial es territorial: una marca registrada en España no protege en Francia ni en México (Uceda Carrillo, 2025). Por eso la protección del logotipo como obra es amplia, pero como marca depende de los países donde esté registrado. Además, como los países resuelven de forma distinta quién es titular de la obra de un empleado, que la Lección 10 señala como un mito que depende del país, </w:t>
      </w:r>
      <w:r>
        <w:rPr>
          <w:rFonts w:ascii="Arial" w:cs="Arial" w:eastAsia="Arial" w:hAnsi="Arial"/>
          <w:b/>
          <w:bCs/>
          <w:sz w:val="24"/>
          <w:szCs w:val="24"/>
        </w:rPr>
        <w:t xml:space="preserve">todo contrato con docentes, ponentes y proveedores debe decir qué ley aplica y quién conserva qué derechos.</w:t>
      </w:r>
    </w:p>
    <w:p>
      <w:pPr>
        <w:pStyle w:val="Heading2"/>
        <w:keepNext/>
        <w:spacing w:after="0" w:before="160" w:line="360" w:lineRule="auto"/>
        <w:jc w:val="left"/>
      </w:pPr>
      <w:r>
        <w:rPr>
          <w:rFonts w:ascii="Arial" w:cs="Arial" w:eastAsia="Arial" w:hAnsi="Arial"/>
          <w:b/>
          <w:bCs/>
          <w:color w:val="000000"/>
          <w:sz w:val="24"/>
          <w:szCs w:val="24"/>
        </w:rPr>
        <w:t xml:space="preserve">4. Tipos de propiedad intelectual aplicables</w:t>
      </w:r>
    </w:p>
    <w:p>
      <w:pPr>
        <w:spacing w:after="0" w:before="0" w:line="360" w:lineRule="auto"/>
        <w:ind w:firstLine="720"/>
        <w:jc w:val="both"/>
      </w:pPr>
      <w:r>
        <w:rPr>
          <w:rFonts w:ascii="Arial" w:cs="Arial" w:eastAsia="Arial" w:hAnsi="Arial"/>
          <w:sz w:val="24"/>
          <w:szCs w:val="24"/>
        </w:rPr>
        <w:t xml:space="preserve">Revisé todos los tipos que menciona la Lección 10 y decidí cuáles se aplican al CIESS (Tabla 3). Un mismo material suele tener más de una protección. Uceda Carrillo (2025) lo ilustra con el juego Trivial Pursuit, que tiene marca, diseño industrial, base de datos y texto protegidos a la vez.</w:t>
      </w:r>
    </w:p>
    <w:p>
      <w:pPr>
        <w:keepNext/>
        <w:spacing w:after="0" w:before="0" w:line="360" w:lineRule="auto"/>
      </w:pPr>
      <w:r>
        <w:rPr>
          <w:rFonts w:ascii="Arial" w:cs="Arial" w:eastAsia="Arial" w:hAnsi="Arial"/>
          <w:b/>
          <w:bCs/>
          <w:sz w:val="24"/>
          <w:szCs w:val="24"/>
        </w:rPr>
        <w:t xml:space="preserve">Tabla 3</w:t>
      </w:r>
    </w:p>
    <w:p>
      <w:pPr>
        <w:keepNext/>
        <w:spacing w:after="0" w:before="0" w:line="360" w:lineRule="auto"/>
      </w:pPr>
      <w:r>
        <w:rPr>
          <w:rFonts w:ascii="Arial" w:cs="Arial" w:eastAsia="Arial" w:hAnsi="Arial"/>
          <w:i/>
          <w:iCs/>
          <w:sz w:val="24"/>
          <w:szCs w:val="24"/>
        </w:rPr>
        <w:t xml:space="preserve">Tipos de propiedad intelectual aplicables al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700"/>
        <w:gridCol w:w="2338"/>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Tipo de PI</w:t>
            </w:r>
          </w:p>
        </w:tc>
        <w:tc>
          <w:tcPr>
            <w:tcW w:type="dxa" w:w="23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protege</w:t>
            </w:r>
          </w:p>
        </w:tc>
        <w:tc>
          <w:tcPr>
            <w:tcW w:type="dxa" w:w="27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Ejemplos en el CIESS</w:t>
            </w:r>
          </w:p>
        </w:tc>
        <w:tc>
          <w:tcPr>
            <w:tcW w:type="dxa" w:w="23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Se combina con</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Derechos de autor</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Obras originales fijadas en un soporte, también programas de computación y bases de datos. Nacen sin registro</w:t>
            </w:r>
          </w:p>
        </w:tc>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Materiales de cursos, boletines, revistas, videos, pódcast, presentaciones, fotografías y textos del sitio, código del sistema de registro, constancias</w:t>
            </w:r>
          </w:p>
        </w:tc>
        <w:tc>
          <w:tcPr>
            <w:tcW w:type="dxa" w:w="2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Secreto comercial (código no publicado), diseño industrial (interfaz) y marca (logotipo)</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Derechos conexos</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Interpretaciones y grabaciones</w:t>
            </w:r>
          </w:p>
        </w:tc>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Voz e imagen de ponentes en conferencias y sesiones grabadas</w:t>
            </w:r>
          </w:p>
        </w:tc>
        <w:tc>
          <w:tcPr>
            <w:tcW w:type="dxa" w:w="2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Derechos de autor de la obra grabada y datos personales</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Marcas y avisos comerciales</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Signos que distinguen productos y servicios. Se registran ante el IMPI</w:t>
            </w:r>
          </w:p>
        </w:tc>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y logotipo del CIESS, RIUSS, nombre del congreso, eslóganes</w:t>
            </w:r>
          </w:p>
        </w:tc>
        <w:tc>
          <w:tcPr>
            <w:tcW w:type="dxa" w:w="2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Derechos de autor y diseño industrial del logotipo</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Nombres comerciales</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Nombre con el que una organización opera</w:t>
            </w:r>
          </w:p>
        </w:tc>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“CIESS” como nombre de la organización</w:t>
            </w:r>
          </w:p>
        </w:tc>
        <w:tc>
          <w:tcPr>
            <w:tcW w:type="dxa" w:w="2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Marca</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Diseños industriales</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La apariencia de un producto; incluye logotipos e interfaces de usuario</w:t>
            </w:r>
          </w:p>
        </w:tc>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Interfaz del campus virtual, del sitio web y del sistema de registro</w:t>
            </w:r>
          </w:p>
        </w:tc>
        <w:tc>
          <w:tcPr>
            <w:tcW w:type="dxa" w:w="2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Derechos de autor y marca</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Secretos comerciales</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Información con valor comercial, conocida por pocos y protegida de manera razonable</w:t>
            </w:r>
          </w:p>
        </w:tc>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Código fuente no publicado, bases de datos de participantes e informes internos</w:t>
            </w:r>
          </w:p>
        </w:tc>
        <w:tc>
          <w:tcPr>
            <w:tcW w:type="dxa" w:w="2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Derechos de autor</w:t>
            </w:r>
          </w:p>
        </w:tc>
      </w:tr>
      <w:tr>
        <w:trPr>
          <w:cantSplit/>
        </w:trPr>
        <w:tc>
          <w:tcPr>
            <w:tcW w:type="dxa" w:w="15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aplican por ahora</w:t>
            </w:r>
          </w:p>
        </w:tc>
        <w:tc>
          <w:tcPr>
            <w:tcW w:type="dxa" w:w="23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Patentes y modelos de utilidad; indicaciones geográficas y denominaciones de origen; esquemas de trazado de circuitos integrados</w:t>
            </w:r>
          </w:p>
        </w:tc>
        <w:tc>
          <w:tcPr>
            <w:tcW w:type="dxa" w:w="27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hay invenciones técnicas, productos de una región ni diseño de circuitos</w:t>
            </w:r>
          </w:p>
        </w:tc>
        <w:tc>
          <w:tcPr>
            <w:tcW w:type="dxa" w:w="23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con base en OMPI (2020, 2025b), Uceda Carrillo (2025) y la Lección 10. Las licencias Creative Commons no son otro tipo de PI: son permisos que da quien tiene los derechos de autor.</w:t>
      </w:r>
    </w:p>
    <w:p>
      <w:pPr>
        <w:spacing w:after="0" w:before="0" w:line="360" w:lineRule="auto"/>
        <w:ind w:firstLine="720"/>
        <w:jc w:val="both"/>
      </w:pPr>
      <w:r>
        <w:rPr>
          <w:rFonts w:ascii="Arial" w:cs="Arial" w:eastAsia="Arial" w:hAnsi="Arial"/>
          <w:sz w:val="24"/>
          <w:szCs w:val="24"/>
        </w:rPr>
        <w:t xml:space="preserve">En el CIESS las superposiciones más claras son estas:</w:t>
      </w:r>
    </w:p>
    <w:p>
      <w:pPr>
        <w:pStyle w:val="ListParagraph"/>
        <w:numPr>
          <w:ilvl w:val="0"/>
          <w:numId w:val="2"/>
        </w:numPr>
        <w:spacing w:after="0" w:before="0" w:line="360" w:lineRule="auto"/>
        <w:jc w:val="both"/>
      </w:pPr>
      <w:r>
        <w:rPr>
          <w:rFonts w:ascii="Arial" w:cs="Arial" w:eastAsia="Arial" w:hAnsi="Arial"/>
          <w:b/>
          <w:bCs/>
          <w:sz w:val="24"/>
          <w:szCs w:val="24"/>
        </w:rPr>
        <w:t xml:space="preserve">Logotipo:</w:t>
      </w:r>
      <w:r>
        <w:rPr>
          <w:rFonts w:ascii="Arial" w:cs="Arial" w:eastAsia="Arial" w:hAnsi="Arial"/>
          <w:sz w:val="24"/>
          <w:szCs w:val="24"/>
        </w:rPr>
        <w:t xml:space="preserve"> marca (si está registrada), diseño industrial y derecho de autor.</w:t>
      </w:r>
    </w:p>
    <w:p>
      <w:pPr>
        <w:pStyle w:val="ListParagraph"/>
        <w:numPr>
          <w:ilvl w:val="0"/>
          <w:numId w:val="2"/>
        </w:numPr>
        <w:spacing w:after="0" w:before="0" w:line="360" w:lineRule="auto"/>
        <w:jc w:val="both"/>
      </w:pPr>
      <w:r>
        <w:rPr>
          <w:rFonts w:ascii="Arial" w:cs="Arial" w:eastAsia="Arial" w:hAnsi="Arial"/>
          <w:b/>
          <w:bCs/>
          <w:sz w:val="24"/>
          <w:szCs w:val="24"/>
        </w:rPr>
        <w:t xml:space="preserve">Sistema de registro del congreso:</w:t>
      </w:r>
      <w:r>
        <w:rPr>
          <w:rFonts w:ascii="Arial" w:cs="Arial" w:eastAsia="Arial" w:hAnsi="Arial"/>
          <w:sz w:val="24"/>
          <w:szCs w:val="24"/>
        </w:rPr>
        <w:t xml:space="preserve"> derecho de autor sobre el código, secreto comercial mientras no se publique, y datos personales regulados por otra ley.</w:t>
      </w:r>
    </w:p>
    <w:p>
      <w:pPr>
        <w:pStyle w:val="ListParagraph"/>
        <w:numPr>
          <w:ilvl w:val="0"/>
          <w:numId w:val="2"/>
        </w:numPr>
        <w:spacing w:after="0" w:before="0" w:line="360" w:lineRule="auto"/>
        <w:jc w:val="both"/>
      </w:pPr>
      <w:r>
        <w:rPr>
          <w:rFonts w:ascii="Arial" w:cs="Arial" w:eastAsia="Arial" w:hAnsi="Arial"/>
          <w:b/>
          <w:bCs/>
          <w:sz w:val="24"/>
          <w:szCs w:val="24"/>
        </w:rPr>
        <w:t xml:space="preserve">Interfaz del campus virtual:</w:t>
      </w:r>
      <w:r>
        <w:rPr>
          <w:rFonts w:ascii="Arial" w:cs="Arial" w:eastAsia="Arial" w:hAnsi="Arial"/>
          <w:sz w:val="24"/>
          <w:szCs w:val="24"/>
        </w:rPr>
        <w:t xml:space="preserve"> diseño industrial y derecho de autor.</w:t>
      </w:r>
    </w:p>
    <w:p>
      <w:pPr>
        <w:pStyle w:val="ListParagraph"/>
        <w:numPr>
          <w:ilvl w:val="0"/>
          <w:numId w:val="2"/>
        </w:numPr>
        <w:spacing w:after="0" w:before="0" w:line="360" w:lineRule="auto"/>
        <w:jc w:val="both"/>
      </w:pPr>
      <w:r>
        <w:rPr>
          <w:rFonts w:ascii="Arial" w:cs="Arial" w:eastAsia="Arial" w:hAnsi="Arial"/>
          <w:b/>
          <w:bCs/>
          <w:sz w:val="24"/>
          <w:szCs w:val="24"/>
        </w:rPr>
        <w:t xml:space="preserve">Curso en video:</w:t>
      </w:r>
      <w:r>
        <w:rPr>
          <w:rFonts w:ascii="Arial" w:cs="Arial" w:eastAsia="Arial" w:hAnsi="Arial"/>
          <w:sz w:val="24"/>
          <w:szCs w:val="24"/>
        </w:rPr>
        <w:t xml:space="preserve"> derecho de autor del video y del material, derechos conexos de la voz e imagen de quien imparte, y la marca del CIESS que aparece en pantalla.</w:t>
      </w:r>
    </w:p>
    <w:p>
      <w:pPr>
        <w:pStyle w:val="Heading2"/>
        <w:keepNext/>
        <w:spacing w:after="0" w:before="160" w:line="360" w:lineRule="auto"/>
        <w:jc w:val="left"/>
      </w:pPr>
      <w:r>
        <w:rPr>
          <w:rFonts w:ascii="Arial" w:cs="Arial" w:eastAsia="Arial" w:hAnsi="Arial"/>
          <w:b/>
          <w:bCs/>
          <w:color w:val="000000"/>
          <w:sz w:val="24"/>
          <w:szCs w:val="24"/>
        </w:rPr>
        <w:t xml:space="preserve">5. Riesgos y controles</w:t>
      </w:r>
    </w:p>
    <w:p>
      <w:pPr>
        <w:spacing w:after="0" w:before="0" w:line="360" w:lineRule="auto"/>
        <w:ind w:firstLine="720"/>
        <w:jc w:val="both"/>
      </w:pPr>
      <w:r>
        <w:rPr>
          <w:rFonts w:ascii="Arial" w:cs="Arial" w:eastAsia="Arial" w:hAnsi="Arial"/>
          <w:sz w:val="24"/>
          <w:szCs w:val="24"/>
        </w:rPr>
        <w:t xml:space="preserve">Evalué cada riesgo con la misma escala del Reto 4: probabilidad baja, media o alta, e impacto bajo, medio o alto. El nivel es alto solo si ambos son altos, bajo solo si ambos son bajos y medio en los demás casos. Separé los riesgos en los dos sentidos que pide el Reto: lo que protege al CIESS de que otras personas usen su PI (Tabla 4) y lo que controla que el CIESS no use material indebido (Tabla 5).</w:t>
      </w:r>
    </w:p>
    <w:p>
      <w:pPr>
        <w:pStyle w:val="Heading3"/>
        <w:keepNext/>
        <w:spacing w:after="0" w:before="120" w:line="360" w:lineRule="auto"/>
        <w:jc w:val="left"/>
      </w:pPr>
      <w:r>
        <w:rPr>
          <w:rFonts w:ascii="Arial" w:cs="Arial" w:eastAsia="Arial" w:hAnsi="Arial"/>
          <w:b/>
          <w:bCs/>
          <w:i/>
          <w:iCs/>
          <w:color w:val="000000"/>
          <w:sz w:val="24"/>
          <w:szCs w:val="24"/>
        </w:rPr>
        <w:t xml:space="preserve">5.1 Proteger lo que es del CIESS</w:t>
      </w:r>
    </w:p>
    <w:p>
      <w:pPr>
        <w:keepNext/>
        <w:spacing w:after="0" w:before="0" w:line="360" w:lineRule="auto"/>
      </w:pPr>
      <w:r>
        <w:rPr>
          <w:rFonts w:ascii="Arial" w:cs="Arial" w:eastAsia="Arial" w:hAnsi="Arial"/>
          <w:b/>
          <w:bCs/>
          <w:sz w:val="24"/>
          <w:szCs w:val="24"/>
        </w:rPr>
        <w:t xml:space="preserve">Tabla 4</w:t>
      </w:r>
    </w:p>
    <w:p>
      <w:pPr>
        <w:keepNext/>
        <w:spacing w:after="0" w:before="0" w:line="360" w:lineRule="auto"/>
      </w:pPr>
      <w:r>
        <w:rPr>
          <w:rFonts w:ascii="Arial" w:cs="Arial" w:eastAsia="Arial" w:hAnsi="Arial"/>
          <w:i/>
          <w:iCs/>
          <w:sz w:val="24"/>
          <w:szCs w:val="24"/>
        </w:rPr>
        <w:t xml:space="preserve">Riesgos de que otras personas usen la propiedad intelectual del CIESS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800"/>
        <w:gridCol w:w="900"/>
        <w:gridCol w:w="800"/>
        <w:gridCol w:w="2858"/>
      </w:tblGrid>
      <w:tr>
        <w:trPr>
          <w:cantSplit/>
          <w:tblHeader/>
        </w:trPr>
        <w:tc>
          <w:tcPr>
            <w:tcW w:type="dxa" w:w="48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ID</w:t>
            </w:r>
          </w:p>
        </w:tc>
        <w:tc>
          <w:tcPr>
            <w:tcW w:type="dxa" w:w="3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Riesgo</w:t>
            </w:r>
          </w:p>
        </w:tc>
        <w:tc>
          <w:tcPr>
            <w:tcW w:type="dxa" w:w="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Prob.</w:t>
            </w:r>
          </w:p>
        </w:tc>
        <w:tc>
          <w:tcPr>
            <w:tcW w:type="dxa" w:w="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Impacto</w:t>
            </w:r>
          </w:p>
        </w:tc>
        <w:tc>
          <w:tcPr>
            <w:tcW w:type="dxa" w:w="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Nivel</w:t>
            </w:r>
          </w:p>
        </w:tc>
        <w:tc>
          <w:tcPr>
            <w:tcW w:type="dxa" w:w="285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Control</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A1</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Copia, descarga o publicación sin permiso de materiales de cursos, videos, boletines o pódcast</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Aviso de derechos o licencia visible; acceso por cuenta; medidas tecnológicas de protección (marcas de agua, PDF protegidos); vigilancia mensual</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A2</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Uso indebido de la marca o el logotipo: sitios o cursos falsos, o nombres parecidos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Verificar y registrar las marcas ante el IMPI; guía de uso de marca; vigilar el boletín; aviso de cese</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A3</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Fuga de secretos comerciales: código no publicado, bases de datos de participantes, informes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Acuerdos de confidencialidad (NDA), mínimo privilegio en accesos, cifrado y bitácoras (continúa el Reto 4)</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A4</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Obras del CIESS sin titularidad documentada: contratos sin cláusula de derechos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Alto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Cesión de derechos por escrito, ley aplicable y mención de autoría (Tabla 1)</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A5</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 poder demostrar quién creó una obra ni cuándo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Archivos fuente con fecha y control de versiones; registro de obras clave ante INDAUTOR</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A6</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Marcas registradas solo en México mientras se opera en otros países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Valorar el Sistema de Madrid donde haya actividad; priorizar por valor y recursos</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A7</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Invertir en proteger contenido hecho solo con IA, que INDAUTOR no registra</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Bajo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Intervención humana sustancial y documentada en lo que se quiera proteger</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Prob. = probabilidad. Elaboración propia con base en la Lección 10 y Uceda Carrillo (2025).</w:t>
      </w:r>
    </w:p>
    <w:p>
      <w:pPr>
        <w:spacing w:after="0" w:before="0" w:line="360" w:lineRule="auto"/>
        <w:ind w:firstLine="720"/>
        <w:jc w:val="both"/>
      </w:pPr>
      <w:r>
        <w:rPr>
          <w:rFonts w:ascii="Arial" w:cs="Arial" w:eastAsia="Arial" w:hAnsi="Arial"/>
          <w:sz w:val="24"/>
          <w:szCs w:val="24"/>
        </w:rPr>
        <w:t xml:space="preserve">Los controles se pueden agrupar en cuatro grupos:</w:t>
      </w:r>
    </w:p>
    <w:p>
      <w:pPr>
        <w:pStyle w:val="ListParagraph"/>
        <w:numPr>
          <w:ilvl w:val="0"/>
          <w:numId w:val="2"/>
        </w:numPr>
        <w:spacing w:after="0" w:before="0" w:line="360" w:lineRule="auto"/>
        <w:jc w:val="both"/>
      </w:pPr>
      <w:r>
        <w:rPr>
          <w:rFonts w:ascii="Arial" w:cs="Arial" w:eastAsia="Arial" w:hAnsi="Arial"/>
          <w:b/>
          <w:bCs/>
          <w:sz w:val="24"/>
          <w:szCs w:val="24"/>
        </w:rPr>
        <w:t xml:space="preserve">Avisos y licencias.</w:t>
      </w:r>
      <w:r>
        <w:rPr>
          <w:rFonts w:ascii="Arial" w:cs="Arial" w:eastAsia="Arial" w:hAnsi="Arial"/>
          <w:sz w:val="24"/>
          <w:szCs w:val="24"/>
        </w:rPr>
        <w:t xml:space="preserve"> Cada material lleva un aviso de derechos con el símbolo ©, el año y “Todos los derechos reservados” (Uceda Carrillo, 2025), o una licencia Creative Commons si se quiere compartir. Por ejemplo, CC BY-NC-ND para materiales de acceso abierto (Creative Commons, s.f.).</w:t>
      </w:r>
    </w:p>
    <w:p>
      <w:pPr>
        <w:pStyle w:val="ListParagraph"/>
        <w:numPr>
          <w:ilvl w:val="0"/>
          <w:numId w:val="2"/>
        </w:numPr>
        <w:spacing w:after="0" w:before="0" w:line="360" w:lineRule="auto"/>
        <w:jc w:val="both"/>
      </w:pPr>
      <w:r>
        <w:rPr>
          <w:rFonts w:ascii="Arial" w:cs="Arial" w:eastAsia="Arial" w:hAnsi="Arial"/>
          <w:b/>
          <w:bCs/>
          <w:sz w:val="24"/>
          <w:szCs w:val="24"/>
        </w:rPr>
        <w:t xml:space="preserve">Medidas técnicas y de acceso.</w:t>
      </w:r>
      <w:r>
        <w:rPr>
          <w:rFonts w:ascii="Arial" w:cs="Arial" w:eastAsia="Arial" w:hAnsi="Arial"/>
          <w:sz w:val="24"/>
          <w:szCs w:val="24"/>
        </w:rPr>
        <w:t xml:space="preserve"> Acceso por cuenta en el campus, marcas de agua, PDF protegidos y los controles de acceso y cifrado del Reto 4 para el código y las bases de datos (Lección 10).</w:t>
      </w:r>
    </w:p>
    <w:p>
      <w:pPr>
        <w:pStyle w:val="ListParagraph"/>
        <w:numPr>
          <w:ilvl w:val="0"/>
          <w:numId w:val="2"/>
        </w:numPr>
        <w:spacing w:after="0" w:before="0" w:line="360" w:lineRule="auto"/>
        <w:jc w:val="both"/>
      </w:pPr>
      <w:r>
        <w:rPr>
          <w:rFonts w:ascii="Arial" w:cs="Arial" w:eastAsia="Arial" w:hAnsi="Arial"/>
          <w:b/>
          <w:bCs/>
          <w:sz w:val="24"/>
          <w:szCs w:val="24"/>
        </w:rPr>
        <w:t xml:space="preserve">Registros.</w:t>
      </w:r>
      <w:r>
        <w:rPr>
          <w:rFonts w:ascii="Arial" w:cs="Arial" w:eastAsia="Arial" w:hAnsi="Arial"/>
          <w:sz w:val="24"/>
          <w:szCs w:val="24"/>
        </w:rPr>
        <w:t xml:space="preserve"> Las marcas y los diseños se registran ante el IMPI y las obras clave ante INDAUTOR. Los derechos de autor existen sin registro, pero registrar sirve como prueba. Las plataformas privadas de depósito solo acreditan la fecha, no la autoría (Uceda Carrillo, 2025). No registrar no es una buena opción, y confiar en la fama de una marca no registrada es un atajo temerario (Uceda Carrillo, 2025). Los costos de registro deben cotizarse con la tarifa vigente del IMPI y de INDAUTOR, porque no los conozco con certeza.</w:t>
      </w:r>
    </w:p>
    <w:p>
      <w:pPr>
        <w:pStyle w:val="ListParagraph"/>
        <w:numPr>
          <w:ilvl w:val="0"/>
          <w:numId w:val="2"/>
        </w:numPr>
        <w:spacing w:after="0" w:before="0" w:line="360" w:lineRule="auto"/>
        <w:jc w:val="both"/>
      </w:pPr>
      <w:r>
        <w:rPr>
          <w:rFonts w:ascii="Arial" w:cs="Arial" w:eastAsia="Arial" w:hAnsi="Arial"/>
          <w:b/>
          <w:bCs/>
          <w:sz w:val="24"/>
          <w:szCs w:val="24"/>
        </w:rPr>
        <w:t xml:space="preserve">Contratos.</w:t>
      </w:r>
      <w:r>
        <w:rPr>
          <w:rFonts w:ascii="Arial" w:cs="Arial" w:eastAsia="Arial" w:hAnsi="Arial"/>
          <w:sz w:val="24"/>
          <w:szCs w:val="24"/>
        </w:rPr>
        <w:t xml:space="preserve"> Cláusulas de cesión, confidencialidad y ley aplicable con docentes, ponentes, proveedores y personal (Tabla 1).</w:t>
      </w:r>
    </w:p>
    <w:p>
      <w:pPr>
        <w:spacing w:after="0" w:before="0" w:line="360" w:lineRule="auto"/>
        <w:ind w:firstLine="720"/>
        <w:jc w:val="both"/>
      </w:pPr>
      <w:r>
        <w:rPr>
          <w:rFonts w:ascii="Arial" w:cs="Arial" w:eastAsia="Arial" w:hAnsi="Arial"/>
          <w:sz w:val="24"/>
          <w:szCs w:val="24"/>
        </w:rPr>
        <w:t xml:space="preserve">Según Uceda Carrillo (2025), hay que proteger en proporción al valor y a los recursos, vigilar y renovar a tiempo. Su recomendación es revisar los boletines al menos una vez al mes, y yo la adopto. Que alguien copie lo nuestro es señal de éxito, pero hay que defenderlo. Si detecto un uso indebido, seguiré estos pasos:</w:t>
      </w:r>
    </w:p>
    <w:p>
      <w:pPr>
        <w:pStyle w:val="ListParagraph"/>
        <w:numPr>
          <w:ilvl w:val="0"/>
          <w:numId w:val="3"/>
        </w:numPr>
        <w:spacing w:after="0" w:before="0" w:line="360" w:lineRule="auto"/>
        <w:jc w:val="both"/>
      </w:pPr>
      <w:r>
        <w:rPr>
          <w:rFonts w:ascii="Arial" w:cs="Arial" w:eastAsia="Arial" w:hAnsi="Arial"/>
          <w:sz w:val="24"/>
          <w:szCs w:val="24"/>
        </w:rPr>
        <w:t xml:space="preserve">Guardar evidencia: capturas con fecha, dirección y descripción.</w:t>
      </w:r>
    </w:p>
    <w:p>
      <w:pPr>
        <w:pStyle w:val="ListParagraph"/>
        <w:numPr>
          <w:ilvl w:val="0"/>
          <w:numId w:val="3"/>
        </w:numPr>
        <w:spacing w:after="0" w:before="0" w:line="360" w:lineRule="auto"/>
        <w:jc w:val="both"/>
      </w:pPr>
      <w:r>
        <w:rPr>
          <w:rFonts w:ascii="Arial" w:cs="Arial" w:eastAsia="Arial" w:hAnsi="Arial"/>
          <w:sz w:val="24"/>
          <w:szCs w:val="24"/>
        </w:rPr>
        <w:t xml:space="preserve">Informar a la persona responsable de PI y al área jurídica.</w:t>
      </w:r>
    </w:p>
    <w:p>
      <w:pPr>
        <w:pStyle w:val="ListParagraph"/>
        <w:numPr>
          <w:ilvl w:val="0"/>
          <w:numId w:val="3"/>
        </w:numPr>
        <w:spacing w:after="0" w:before="0" w:line="360" w:lineRule="auto"/>
        <w:jc w:val="both"/>
      </w:pPr>
      <w:r>
        <w:rPr>
          <w:rFonts w:ascii="Arial" w:cs="Arial" w:eastAsia="Arial" w:hAnsi="Arial"/>
          <w:sz w:val="24"/>
          <w:szCs w:val="24"/>
        </w:rPr>
        <w:t xml:space="preserve">Enviar una carta o aviso de cese a la persona o sitio responsable.</w:t>
      </w:r>
    </w:p>
    <w:p>
      <w:pPr>
        <w:pStyle w:val="ListParagraph"/>
        <w:numPr>
          <w:ilvl w:val="0"/>
          <w:numId w:val="3"/>
        </w:numPr>
        <w:spacing w:after="0" w:before="0" w:line="360" w:lineRule="auto"/>
        <w:jc w:val="both"/>
      </w:pPr>
      <w:r>
        <w:rPr>
          <w:rFonts w:ascii="Arial" w:cs="Arial" w:eastAsia="Arial" w:hAnsi="Arial"/>
          <w:sz w:val="24"/>
          <w:szCs w:val="24"/>
        </w:rPr>
        <w:t xml:space="preserve">Pedir el retiro a la plataforma o al proveedor del sitio.</w:t>
      </w:r>
    </w:p>
    <w:p>
      <w:pPr>
        <w:pStyle w:val="ListParagraph"/>
        <w:numPr>
          <w:ilvl w:val="0"/>
          <w:numId w:val="3"/>
        </w:numPr>
        <w:spacing w:after="0" w:before="0" w:line="360" w:lineRule="auto"/>
        <w:jc w:val="both"/>
      </w:pPr>
      <w:r>
        <w:rPr>
          <w:rFonts w:ascii="Arial" w:cs="Arial" w:eastAsia="Arial" w:hAnsi="Arial"/>
          <w:sz w:val="24"/>
          <w:szCs w:val="24"/>
        </w:rPr>
        <w:t xml:space="preserve">Si no hay respuesta, valorar con el área jurídica una vía ante el IMPI, INDAUTOR, la mediación o los tribunales (Uceda Carrillo, 2025).</w:t>
      </w:r>
    </w:p>
    <w:p>
      <w:pPr>
        <w:pStyle w:val="Heading3"/>
        <w:keepNext/>
        <w:spacing w:after="0" w:before="120" w:line="360" w:lineRule="auto"/>
        <w:jc w:val="left"/>
      </w:pPr>
      <w:r>
        <w:rPr>
          <w:rFonts w:ascii="Arial" w:cs="Arial" w:eastAsia="Arial" w:hAnsi="Arial"/>
          <w:b/>
          <w:bCs/>
          <w:i/>
          <w:iCs/>
          <w:color w:val="000000"/>
          <w:sz w:val="24"/>
          <w:szCs w:val="24"/>
        </w:rPr>
        <w:t xml:space="preserve">5.2 Controlar que el CIESS no use material indebido</w:t>
      </w:r>
    </w:p>
    <w:p>
      <w:pPr>
        <w:keepNext/>
        <w:spacing w:after="0" w:before="0" w:line="360" w:lineRule="auto"/>
      </w:pPr>
      <w:r>
        <w:rPr>
          <w:rFonts w:ascii="Arial" w:cs="Arial" w:eastAsia="Arial" w:hAnsi="Arial"/>
          <w:b/>
          <w:bCs/>
          <w:sz w:val="24"/>
          <w:szCs w:val="24"/>
        </w:rPr>
        <w:t xml:space="preserve">Tabla 5</w:t>
      </w:r>
    </w:p>
    <w:p>
      <w:pPr>
        <w:keepNext/>
        <w:spacing w:after="0" w:before="0" w:line="360" w:lineRule="auto"/>
      </w:pPr>
      <w:r>
        <w:rPr>
          <w:rFonts w:ascii="Arial" w:cs="Arial" w:eastAsia="Arial" w:hAnsi="Arial"/>
          <w:i/>
          <w:iCs/>
          <w:sz w:val="24"/>
          <w:szCs w:val="24"/>
        </w:rPr>
        <w:t xml:space="preserve">Riesgos de que el CIESS use propiedad intelectual de otras personas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800"/>
        <w:gridCol w:w="900"/>
        <w:gridCol w:w="800"/>
        <w:gridCol w:w="2858"/>
      </w:tblGrid>
      <w:tr>
        <w:trPr>
          <w:cantSplit/>
          <w:tblHeader/>
        </w:trPr>
        <w:tc>
          <w:tcPr>
            <w:tcW w:type="dxa" w:w="48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ID</w:t>
            </w:r>
          </w:p>
        </w:tc>
        <w:tc>
          <w:tcPr>
            <w:tcW w:type="dxa" w:w="30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Riesgo</w:t>
            </w:r>
          </w:p>
        </w:tc>
        <w:tc>
          <w:tcPr>
            <w:tcW w:type="dxa" w:w="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Prob.</w:t>
            </w:r>
          </w:p>
        </w:tc>
        <w:tc>
          <w:tcPr>
            <w:tcW w:type="dxa" w:w="9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Impacto</w:t>
            </w:r>
          </w:p>
        </w:tc>
        <w:tc>
          <w:tcPr>
            <w:tcW w:type="dxa" w:w="8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Nivel</w:t>
            </w:r>
          </w:p>
        </w:tc>
        <w:tc>
          <w:tcPr>
            <w:tcW w:type="dxa" w:w="285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Control</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B1</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Imágenes, ilustraciones o videos tomados de internet o de redes sociales sin licencia</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Alto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Inventario con fuente y licencia; solo bancos con licencia o material propio; revisión antes de publicar</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B2</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Fuentes tipográficas, música, íconos o plantillas con licencia que no cubre el uso institucional</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Revisar la licencia al adquirir; guardar comprobantes</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B3</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Software de terceros: licencias de código abierto con condiciones, </w:t>
            </w:r>
            <w:r>
              <w:rPr>
                <w:rFonts w:ascii="Arial" w:cs="Arial" w:eastAsia="Arial" w:hAnsi="Arial"/>
                <w:i/>
                <w:iCs/>
                <w:sz w:val="18"/>
                <w:szCs w:val="18"/>
              </w:rPr>
              <w:t xml:space="preserve">plugins</w:t>
            </w:r>
            <w:r>
              <w:rPr>
                <w:rFonts w:ascii="Arial" w:cs="Arial" w:eastAsia="Arial" w:hAnsi="Arial"/>
                <w:sz w:val="18"/>
                <w:szCs w:val="18"/>
              </w:rPr>
              <w:t xml:space="preserve"> pirateados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Inventario de dependencias y licencias; solo repositorios oficiales; prohibido software sin licencia</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B4</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Textos, tablas o datos de otras personas sin cita ni permiso en materiales académicos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Citar con fuente (cita permitida); pedir permiso si es una parte importante; revisión editorial</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B5</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Grabar o publicar presentaciones, voz o imagen de ponentes y docentes sin autorización</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Formato de autorización firmado; retirar el contenido si lo piden</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B6</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IA generativa que reproduce obras protegidas o se alimenta con material con derechos o con datos personales</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Política de uso de IA: supervisión humana, no ingresar material ajeno, revisar resultados</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B7</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Licencias Creative Commons incumplidas: falta de atribución o uso comercial de material NC</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Guía de atribución (título, autoría, fuente y licencia) y revisión de la condición NC</w:t>
            </w:r>
          </w:p>
        </w:tc>
      </w:tr>
      <w:tr>
        <w:trPr>
          <w:cantSplit/>
        </w:trPr>
        <w:tc>
          <w:tcPr>
            <w:tcW w:type="dxa" w:w="48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B8</w:t>
            </w:r>
          </w:p>
        </w:tc>
        <w:tc>
          <w:tcPr>
            <w:tcW w:type="dxa" w:w="30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Nombrar un curso, evento o producto con un nombre ya registrado por otra persona</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Baja</w:t>
            </w:r>
          </w:p>
        </w:tc>
        <w:tc>
          <w:tcPr>
            <w:tcW w:type="dxa" w:w="9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Alto</w:t>
            </w:r>
          </w:p>
        </w:tc>
        <w:tc>
          <w:tcPr>
            <w:tcW w:type="dxa" w:w="8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Medio</w:t>
            </w:r>
          </w:p>
        </w:tc>
        <w:tc>
          <w:tcPr>
            <w:tcW w:type="dxa" w:w="285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Búsqueda de nombres registrados en el IMPI antes de lanzar</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con base en la Lección 10, Uceda Carrillo (2025) y la LFDA (1996).</w:t>
      </w:r>
    </w:p>
    <w:p>
      <w:pPr>
        <w:spacing w:after="0" w:before="0" w:line="360" w:lineRule="auto"/>
        <w:ind w:firstLine="720"/>
        <w:jc w:val="both"/>
      </w:pPr>
      <w:r>
        <w:rPr>
          <w:rFonts w:ascii="Arial" w:cs="Arial" w:eastAsia="Arial" w:hAnsi="Arial"/>
          <w:sz w:val="24"/>
          <w:szCs w:val="24"/>
        </w:rPr>
        <w:t xml:space="preserve">Mis cuatro controles principales son estos:</w:t>
      </w:r>
    </w:p>
    <w:p>
      <w:pPr>
        <w:pStyle w:val="ListParagraph"/>
        <w:numPr>
          <w:ilvl w:val="0"/>
          <w:numId w:val="2"/>
        </w:numPr>
        <w:spacing w:after="0" w:before="0" w:line="360" w:lineRule="auto"/>
        <w:jc w:val="both"/>
      </w:pPr>
      <w:r>
        <w:rPr>
          <w:rFonts w:ascii="Arial" w:cs="Arial" w:eastAsia="Arial" w:hAnsi="Arial"/>
          <w:b/>
          <w:bCs/>
          <w:sz w:val="24"/>
          <w:szCs w:val="24"/>
        </w:rPr>
        <w:t xml:space="preserve">Inventario.</w:t>
      </w:r>
      <w:r>
        <w:rPr>
          <w:rFonts w:ascii="Arial" w:cs="Arial" w:eastAsia="Arial" w:hAnsi="Arial"/>
          <w:sz w:val="24"/>
          <w:szCs w:val="24"/>
        </w:rPr>
        <w:t xml:space="preserve"> Una lista de cada imagen, fuente, música, </w:t>
      </w:r>
      <w:r>
        <w:rPr>
          <w:rFonts w:ascii="Arial" w:cs="Arial" w:eastAsia="Arial" w:hAnsi="Arial"/>
          <w:i/>
          <w:iCs/>
          <w:sz w:val="24"/>
          <w:szCs w:val="24"/>
        </w:rPr>
        <w:t xml:space="preserve">plugin</w:t>
      </w:r>
      <w:r>
        <w:rPr>
          <w:rFonts w:ascii="Arial" w:cs="Arial" w:eastAsia="Arial" w:hAnsi="Arial"/>
          <w:sz w:val="24"/>
          <w:szCs w:val="24"/>
        </w:rPr>
        <w:t xml:space="preserve"> y biblioteca de código con su fuente, su licencia y quién la autorizó. Sin inventario no hay control.</w:t>
      </w:r>
    </w:p>
    <w:p>
      <w:pPr>
        <w:pStyle w:val="ListParagraph"/>
        <w:numPr>
          <w:ilvl w:val="0"/>
          <w:numId w:val="2"/>
        </w:numPr>
        <w:spacing w:after="0" w:before="0" w:line="360" w:lineRule="auto"/>
        <w:jc w:val="both"/>
      </w:pPr>
      <w:r>
        <w:rPr>
          <w:rFonts w:ascii="Arial" w:cs="Arial" w:eastAsia="Arial" w:hAnsi="Arial"/>
          <w:b/>
          <w:bCs/>
          <w:sz w:val="24"/>
          <w:szCs w:val="24"/>
        </w:rPr>
        <w:t xml:space="preserve">Reglas simples.</w:t>
      </w:r>
      <w:r>
        <w:rPr>
          <w:rFonts w:ascii="Arial" w:cs="Arial" w:eastAsia="Arial" w:hAnsi="Arial"/>
          <w:sz w:val="24"/>
          <w:szCs w:val="24"/>
        </w:rPr>
        <w:t xml:space="preserve"> Nada se publica sin saber de dónde viene (la Lección 10 recuerda que algo publicado en redes no queda libre de derechos). Para texto se cita con la fuente, dentro de los límites que permite la ley, y si la parte tomada es importante se pide permiso (LFDA, 1996, art. 148). Para Creative Commons se da atribución (título, autoría, fuente y licencia) y se revisa si NC impide su uso en cursos de paga.</w:t>
      </w:r>
    </w:p>
    <w:p>
      <w:pPr>
        <w:pStyle w:val="ListParagraph"/>
        <w:numPr>
          <w:ilvl w:val="0"/>
          <w:numId w:val="2"/>
        </w:numPr>
        <w:spacing w:after="0" w:before="0" w:line="360" w:lineRule="auto"/>
        <w:jc w:val="both"/>
      </w:pPr>
      <w:r>
        <w:rPr>
          <w:rFonts w:ascii="Arial" w:cs="Arial" w:eastAsia="Arial" w:hAnsi="Arial"/>
          <w:b/>
          <w:bCs/>
          <w:sz w:val="24"/>
          <w:szCs w:val="24"/>
        </w:rPr>
        <w:t xml:space="preserve">Autorizaciones.</w:t>
      </w:r>
      <w:r>
        <w:rPr>
          <w:rFonts w:ascii="Arial" w:cs="Arial" w:eastAsia="Arial" w:hAnsi="Arial"/>
          <w:sz w:val="24"/>
          <w:szCs w:val="24"/>
        </w:rPr>
        <w:t xml:space="preserve"> Antes de grabar o publicar a ponentes y docentes se firma un formato que cubra la obra, la voz y la imagen (LFDA, 1996, art. 87; LFPDPPP, 2025).</w:t>
      </w:r>
    </w:p>
    <w:p>
      <w:pPr>
        <w:pStyle w:val="ListParagraph"/>
        <w:numPr>
          <w:ilvl w:val="0"/>
          <w:numId w:val="2"/>
        </w:numPr>
        <w:spacing w:after="0" w:before="0" w:line="360" w:lineRule="auto"/>
        <w:jc w:val="both"/>
      </w:pPr>
      <w:r>
        <w:rPr>
          <w:rFonts w:ascii="Arial" w:cs="Arial" w:eastAsia="Arial" w:hAnsi="Arial"/>
          <w:b/>
          <w:bCs/>
          <w:sz w:val="24"/>
          <w:szCs w:val="24"/>
        </w:rPr>
        <w:t xml:space="preserve">Política de uso de IA.</w:t>
      </w:r>
      <w:r>
        <w:rPr>
          <w:rFonts w:ascii="Arial" w:cs="Arial" w:eastAsia="Arial" w:hAnsi="Arial"/>
          <w:sz w:val="24"/>
          <w:szCs w:val="24"/>
        </w:rPr>
        <w:t xml:space="preserve"> Las personas del equipo revisan lo que genera la IA; no ingresan material ajeno ni datos personales; verifican que el resultado no se parezca a una obra existente; y no tratan como propia una obra hecha solo con IA, porque INDAUTOR no la registra (Jalife, 2025).</w:t>
      </w:r>
    </w:p>
    <w:p>
      <w:pPr>
        <w:spacing w:after="0" w:before="0" w:line="360" w:lineRule="auto"/>
        <w:ind w:firstLine="720"/>
        <w:jc w:val="both"/>
      </w:pPr>
      <w:r>
        <w:rPr>
          <w:rFonts w:ascii="Arial" w:cs="Arial" w:eastAsia="Arial" w:hAnsi="Arial"/>
          <w:sz w:val="24"/>
          <w:szCs w:val="24"/>
        </w:rPr>
        <w:t xml:space="preserve">Si el CIESS recibe un reclamo, el procedimiento es el inverso: retirar de inmediato el contenido señalado, revisar la licencia o la cesión que lo respalda, responder por escrito con apoyo del área jurídica y corregir el inventario.</w:t>
      </w:r>
    </w:p>
    <w:p>
      <w:pPr>
        <w:pStyle w:val="Heading2"/>
        <w:keepNext/>
        <w:spacing w:after="0" w:before="160" w:line="360" w:lineRule="auto"/>
        <w:jc w:val="left"/>
      </w:pPr>
      <w:r>
        <w:rPr>
          <w:rFonts w:ascii="Arial" w:cs="Arial" w:eastAsia="Arial" w:hAnsi="Arial"/>
          <w:b/>
          <w:bCs/>
          <w:color w:val="000000"/>
          <w:sz w:val="24"/>
          <w:szCs w:val="24"/>
        </w:rPr>
        <w:t xml:space="preserve">6. Gestión del plan</w:t>
      </w:r>
    </w:p>
    <w:p>
      <w:pPr>
        <w:pStyle w:val="Heading3"/>
        <w:keepNext/>
        <w:spacing w:after="0" w:before="120" w:line="360" w:lineRule="auto"/>
        <w:jc w:val="left"/>
      </w:pPr>
      <w:r>
        <w:rPr>
          <w:rFonts w:ascii="Arial" w:cs="Arial" w:eastAsia="Arial" w:hAnsi="Arial"/>
          <w:b/>
          <w:bCs/>
          <w:i/>
          <w:iCs/>
          <w:color w:val="000000"/>
          <w:sz w:val="24"/>
          <w:szCs w:val="24"/>
        </w:rPr>
        <w:t xml:space="preserve">6.1 Responsables</w:t>
      </w:r>
    </w:p>
    <w:p>
      <w:pPr>
        <w:pStyle w:val="ListParagraph"/>
        <w:numPr>
          <w:ilvl w:val="0"/>
          <w:numId w:val="2"/>
        </w:numPr>
        <w:spacing w:after="0" w:before="0" w:line="360" w:lineRule="auto"/>
        <w:jc w:val="both"/>
      </w:pPr>
      <w:r>
        <w:rPr>
          <w:rFonts w:ascii="Arial" w:cs="Arial" w:eastAsia="Arial" w:hAnsi="Arial"/>
          <w:b/>
          <w:bCs/>
          <w:sz w:val="24"/>
          <w:szCs w:val="24"/>
        </w:rPr>
        <w:t xml:space="preserve">Dirección:</w:t>
      </w:r>
      <w:r>
        <w:rPr>
          <w:rFonts w:ascii="Arial" w:cs="Arial" w:eastAsia="Arial" w:hAnsi="Arial"/>
          <w:sz w:val="24"/>
          <w:szCs w:val="24"/>
        </w:rPr>
        <w:t xml:space="preserve"> aprueba las políticas y el presupuesto de los registros.</w:t>
      </w:r>
    </w:p>
    <w:p>
      <w:pPr>
        <w:pStyle w:val="ListParagraph"/>
        <w:numPr>
          <w:ilvl w:val="0"/>
          <w:numId w:val="2"/>
        </w:numPr>
        <w:spacing w:after="0" w:before="0" w:line="360" w:lineRule="auto"/>
        <w:jc w:val="both"/>
      </w:pPr>
      <w:r>
        <w:rPr>
          <w:rFonts w:ascii="Arial" w:cs="Arial" w:eastAsia="Arial" w:hAnsi="Arial"/>
          <w:b/>
          <w:bCs/>
          <w:sz w:val="24"/>
          <w:szCs w:val="24"/>
        </w:rPr>
        <w:t xml:space="preserve">Responsable de PI:</w:t>
      </w:r>
      <w:r>
        <w:rPr>
          <w:rFonts w:ascii="Arial" w:cs="Arial" w:eastAsia="Arial" w:hAnsi="Arial"/>
          <w:sz w:val="24"/>
          <w:szCs w:val="24"/>
        </w:rPr>
        <w:t xml:space="preserve"> por ahora yo, con apoyo del área jurídica. Coordina el inventario, los formatos, la vigilancia y los registros.</w:t>
      </w:r>
    </w:p>
    <w:p>
      <w:pPr>
        <w:pStyle w:val="ListParagraph"/>
        <w:numPr>
          <w:ilvl w:val="0"/>
          <w:numId w:val="2"/>
        </w:numPr>
        <w:spacing w:after="0" w:before="0" w:line="360" w:lineRule="auto"/>
        <w:jc w:val="both"/>
      </w:pPr>
      <w:r>
        <w:rPr>
          <w:rFonts w:ascii="Arial" w:cs="Arial" w:eastAsia="Arial" w:hAnsi="Arial"/>
          <w:b/>
          <w:bCs/>
          <w:sz w:val="24"/>
          <w:szCs w:val="24"/>
        </w:rPr>
        <w:t xml:space="preserve">Área jurídica:</w:t>
      </w:r>
      <w:r>
        <w:rPr>
          <w:rFonts w:ascii="Arial" w:cs="Arial" w:eastAsia="Arial" w:hAnsi="Arial"/>
          <w:sz w:val="24"/>
          <w:szCs w:val="24"/>
        </w:rPr>
        <w:t xml:space="preserve"> revisa contratos, formatos y respuestas a reclamos.</w:t>
      </w:r>
    </w:p>
    <w:p>
      <w:pPr>
        <w:pStyle w:val="ListParagraph"/>
        <w:numPr>
          <w:ilvl w:val="0"/>
          <w:numId w:val="2"/>
        </w:numPr>
        <w:spacing w:after="0" w:before="0" w:line="360" w:lineRule="auto"/>
        <w:jc w:val="both"/>
      </w:pPr>
      <w:r>
        <w:rPr>
          <w:rFonts w:ascii="Arial" w:cs="Arial" w:eastAsia="Arial" w:hAnsi="Arial"/>
          <w:b/>
          <w:bCs/>
          <w:sz w:val="24"/>
          <w:szCs w:val="24"/>
        </w:rPr>
        <w:t xml:space="preserve">Responsables de cada área:</w:t>
      </w:r>
      <w:r>
        <w:rPr>
          <w:rFonts w:ascii="Arial" w:cs="Arial" w:eastAsia="Arial" w:hAnsi="Arial"/>
          <w:sz w:val="24"/>
          <w:szCs w:val="24"/>
        </w:rPr>
        <w:t xml:space="preserve"> piden autorización y licencia antes de publicar material de terceros.</w:t>
      </w:r>
    </w:p>
    <w:p>
      <w:pPr>
        <w:pStyle w:val="Heading3"/>
        <w:keepNext/>
        <w:spacing w:after="0" w:before="120" w:line="360" w:lineRule="auto"/>
        <w:jc w:val="left"/>
      </w:pPr>
      <w:r>
        <w:rPr>
          <w:rFonts w:ascii="Arial" w:cs="Arial" w:eastAsia="Arial" w:hAnsi="Arial"/>
          <w:b/>
          <w:bCs/>
          <w:i/>
          <w:iCs/>
          <w:color w:val="000000"/>
          <w:sz w:val="24"/>
          <w:szCs w:val="24"/>
        </w:rPr>
        <w:t xml:space="preserve">6.2 Cronograma y metas</w:t>
      </w:r>
    </w:p>
    <w:p>
      <w:pPr>
        <w:spacing w:after="0" w:before="0" w:line="360" w:lineRule="auto"/>
        <w:ind w:firstLine="720"/>
        <w:jc w:val="both"/>
      </w:pPr>
      <w:r>
        <w:rPr>
          <w:rFonts w:ascii="Arial" w:cs="Arial" w:eastAsia="Arial" w:hAnsi="Arial"/>
          <w:sz w:val="24"/>
          <w:szCs w:val="24"/>
        </w:rPr>
        <w:t xml:space="preserve">El plan dura 6 meses y empieza por el inventario y los contratos, que sostienen todo lo demás (Tabla 6).</w:t>
      </w:r>
    </w:p>
    <w:p>
      <w:pPr>
        <w:keepNext/>
        <w:spacing w:after="0" w:before="0" w:line="360" w:lineRule="auto"/>
      </w:pPr>
      <w:r>
        <w:rPr>
          <w:rFonts w:ascii="Arial" w:cs="Arial" w:eastAsia="Arial" w:hAnsi="Arial"/>
          <w:b/>
          <w:bCs/>
          <w:sz w:val="24"/>
          <w:szCs w:val="24"/>
        </w:rPr>
        <w:t xml:space="preserve">Tabla 6</w:t>
      </w:r>
    </w:p>
    <w:p>
      <w:pPr>
        <w:keepNext/>
        <w:spacing w:after="0" w:before="0" w:line="360" w:lineRule="auto"/>
      </w:pPr>
      <w:r>
        <w:rPr>
          <w:rFonts w:ascii="Arial" w:cs="Arial" w:eastAsia="Arial" w:hAnsi="Arial"/>
          <w:i/>
          <w:iCs/>
          <w:sz w:val="24"/>
          <w:szCs w:val="24"/>
        </w:rPr>
        <w:t xml:space="preserve">Cronograma de implementación a 6 meses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998"/>
        <w:gridCol w:w="640"/>
        <w:gridCol w:w="640"/>
        <w:gridCol w:w="640"/>
        <w:gridCol w:w="640"/>
        <w:gridCol w:w="640"/>
        <w:gridCol w:w="640"/>
      </w:tblGrid>
      <w:tr>
        <w:trPr>
          <w:cantSplit/>
          <w:tblHeader/>
        </w:trPr>
        <w:tc>
          <w:tcPr>
            <w:tcW w:type="dxa" w:w="4998"/>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left"/>
            </w:pPr>
            <w:r>
              <w:rPr>
                <w:rFonts w:ascii="Arial" w:cs="Arial" w:eastAsia="Arial" w:hAnsi="Arial"/>
                <w:b/>
                <w:bCs/>
                <w:sz w:val="18"/>
                <w:szCs w:val="18"/>
              </w:rPr>
              <w:t xml:space="preserve">Actividad (mes)</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1</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2</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3</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4</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5</w:t>
            </w:r>
          </w:p>
        </w:tc>
        <w:tc>
          <w:tcPr>
            <w:tcW w:type="dxa" w:w="640"/>
            <w:tcBorders>
              <w:top w:val="single" w:color="7F7F7F" w:sz="4"/>
              <w:left w:val="single" w:color="7F7F7F" w:sz="4"/>
              <w:bottom w:val="single" w:color="7F7F7F" w:sz="4"/>
              <w:right w:val="single" w:color="7F7F7F" w:sz="4"/>
            </w:tcBorders>
            <w:shd w:fill="D9E2F3" w:color="auto" w:val="clear"/>
            <w:tcMar>
              <w:top w:type="dxa" w:w="40"/>
              <w:left w:type="dxa" w:w="60"/>
              <w:bottom w:type="dxa" w:w="40"/>
              <w:right w:type="dxa" w:w="60"/>
            </w:tcMar>
            <w:vAlign w:val="center"/>
          </w:tcPr>
          <w:p>
            <w:pPr>
              <w:keepNext w:val="false"/>
              <w:spacing w:after="40" w:before="40" w:line="240" w:lineRule="auto"/>
              <w:jc w:val="center"/>
            </w:pPr>
            <w:r>
              <w:rPr>
                <w:rFonts w:ascii="Arial" w:cs="Arial" w:eastAsia="Arial" w:hAnsi="Arial"/>
                <w:b/>
                <w:bCs/>
                <w:sz w:val="18"/>
                <w:szCs w:val="18"/>
              </w:rPr>
              <w:t xml:space="preserve">6</w:t>
            </w: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1. Inventario de contenidos, marcas, software y licencias</w:t>
            </w: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2. Formatos y cláusulas (cesión, autorización de voz e imagen, NDA) con revisión jurídica</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3. Avisos de derechos y licencias visibles en sitio, campus y materiales</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4. Búsqueda y solicitudes de registro (marcas ante el IMPI y obras clave ante INDAUTOR)</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5. Políticas cortas y guía de atribución</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6. Capacitación breve</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7. Vigilancia mensual de usos indebidos</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r>
      <w:tr>
        <w:trPr>
          <w:cantSplit/>
        </w:trPr>
        <w:tc>
          <w:tcPr>
            <w:tcW w:type="dxa" w:w="4998"/>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r>
              <w:rPr>
                <w:rFonts w:ascii="Arial" w:cs="Arial" w:eastAsia="Arial" w:hAnsi="Arial"/>
                <w:sz w:val="18"/>
                <w:szCs w:val="18"/>
              </w:rPr>
              <w:t xml:space="preserve">8. Medición final e informe a la Dirección</w:t>
            </w: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tcMar>
              <w:top w:type="dxa" w:w="40"/>
              <w:left w:type="dxa" w:w="60"/>
              <w:bottom w:type="dxa" w:w="40"/>
              <w:right w:type="dxa" w:w="60"/>
            </w:tcMar>
            <w:vAlign w:val="center"/>
          </w:tcPr>
          <w:p>
            <w:pPr>
              <w:keepNext/>
              <w:spacing w:after="40" w:before="40" w:line="240" w:lineRule="auto"/>
              <w:jc w:val="left"/>
            </w:pPr>
          </w:p>
        </w:tc>
        <w:tc>
          <w:tcPr>
            <w:tcW w:type="dxa" w:w="640"/>
            <w:tcBorders>
              <w:top w:val="single" w:color="7F7F7F" w:sz="4"/>
              <w:left w:val="single" w:color="7F7F7F" w:sz="4"/>
              <w:bottom w:val="single" w:color="7F7F7F" w:sz="4"/>
              <w:right w:val="single" w:color="7F7F7F" w:sz="4"/>
            </w:tcBorders>
            <w:shd w:fill="2E75B6" w:color="auto" w:val="clear"/>
            <w:tcMar>
              <w:top w:type="dxa" w:w="40"/>
              <w:left w:type="dxa" w:w="60"/>
              <w:bottom w:type="dxa" w:w="40"/>
              <w:right w:type="dxa" w:w="60"/>
            </w:tcMar>
            <w:vAlign w:val="center"/>
          </w:tcPr>
          <w:p>
            <w:pPr>
              <w:keepNext/>
              <w:spacing w:after="40" w:before="40" w:line="240" w:lineRule="auto"/>
              <w:jc w:val="left"/>
            </w:pP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Los meses se cuentan desde la aprobación del plan. Elaboración propia.</w:t>
      </w:r>
    </w:p>
    <w:p>
      <w:pPr>
        <w:spacing w:after="0" w:before="0" w:line="360" w:lineRule="auto"/>
        <w:ind w:firstLine="720"/>
        <w:jc w:val="both"/>
      </w:pPr>
      <w:r>
        <w:rPr>
          <w:rFonts w:ascii="Arial" w:cs="Arial" w:eastAsia="Arial" w:hAnsi="Arial"/>
          <w:sz w:val="24"/>
          <w:szCs w:val="24"/>
        </w:rPr>
        <w:t xml:space="preserve">Para saber si funciona, propongo estas metas alcanzables:</w:t>
      </w:r>
    </w:p>
    <w:p>
      <w:pPr>
        <w:pStyle w:val="ListParagraph"/>
        <w:numPr>
          <w:ilvl w:val="0"/>
          <w:numId w:val="2"/>
        </w:numPr>
        <w:spacing w:after="0" w:before="0" w:line="360" w:lineRule="auto"/>
        <w:jc w:val="both"/>
      </w:pPr>
      <w:r>
        <w:rPr>
          <w:rFonts w:ascii="Arial" w:cs="Arial" w:eastAsia="Arial" w:hAnsi="Arial"/>
          <w:b/>
          <w:bCs/>
          <w:sz w:val="24"/>
          <w:szCs w:val="24"/>
        </w:rPr>
        <w:t xml:space="preserve">Inventario:</w:t>
      </w:r>
      <w:r>
        <w:rPr>
          <w:rFonts w:ascii="Arial" w:cs="Arial" w:eastAsia="Arial" w:hAnsi="Arial"/>
          <w:sz w:val="24"/>
          <w:szCs w:val="24"/>
        </w:rPr>
        <w:t xml:space="preserve"> sitio principal y campus completos en el mes 2; micrositios y materiales anteriores en el mes 4.</w:t>
      </w:r>
    </w:p>
    <w:p>
      <w:pPr>
        <w:pStyle w:val="ListParagraph"/>
        <w:numPr>
          <w:ilvl w:val="0"/>
          <w:numId w:val="2"/>
        </w:numPr>
        <w:spacing w:after="0" w:before="0" w:line="360" w:lineRule="auto"/>
        <w:jc w:val="both"/>
      </w:pPr>
      <w:r>
        <w:rPr>
          <w:rFonts w:ascii="Arial" w:cs="Arial" w:eastAsia="Arial" w:hAnsi="Arial"/>
          <w:b/>
          <w:bCs/>
          <w:sz w:val="24"/>
          <w:szCs w:val="24"/>
        </w:rPr>
        <w:t xml:space="preserve">Avisos:</w:t>
      </w:r>
      <w:r>
        <w:rPr>
          <w:rFonts w:ascii="Arial" w:cs="Arial" w:eastAsia="Arial" w:hAnsi="Arial"/>
          <w:sz w:val="24"/>
          <w:szCs w:val="24"/>
        </w:rPr>
        <w:t xml:space="preserve"> 100 % de los materiales nuevos con aviso de derechos o licencia desde el mes 3.</w:t>
      </w:r>
    </w:p>
    <w:p>
      <w:pPr>
        <w:pStyle w:val="ListParagraph"/>
        <w:numPr>
          <w:ilvl w:val="0"/>
          <w:numId w:val="2"/>
        </w:numPr>
        <w:spacing w:after="0" w:before="0" w:line="360" w:lineRule="auto"/>
        <w:jc w:val="both"/>
      </w:pPr>
      <w:r>
        <w:rPr>
          <w:rFonts w:ascii="Arial" w:cs="Arial" w:eastAsia="Arial" w:hAnsi="Arial"/>
          <w:b/>
          <w:bCs/>
          <w:sz w:val="24"/>
          <w:szCs w:val="24"/>
        </w:rPr>
        <w:t xml:space="preserve">Contratos:</w:t>
      </w:r>
      <w:r>
        <w:rPr>
          <w:rFonts w:ascii="Arial" w:cs="Arial" w:eastAsia="Arial" w:hAnsi="Arial"/>
          <w:sz w:val="24"/>
          <w:szCs w:val="24"/>
        </w:rPr>
        <w:t xml:space="preserve"> 100 % de los contratos nuevos con docentes, ponentes y proveedores incluyen la cláusula de derechos desde el mes 4. Los vigentes se actualizan al renovarse.</w:t>
      </w:r>
    </w:p>
    <w:p>
      <w:pPr>
        <w:pStyle w:val="ListParagraph"/>
        <w:numPr>
          <w:ilvl w:val="0"/>
          <w:numId w:val="2"/>
        </w:numPr>
        <w:spacing w:after="0" w:before="0" w:line="360" w:lineRule="auto"/>
        <w:jc w:val="both"/>
      </w:pPr>
      <w:r>
        <w:rPr>
          <w:rFonts w:ascii="Arial" w:cs="Arial" w:eastAsia="Arial" w:hAnsi="Arial"/>
          <w:b/>
          <w:bCs/>
          <w:sz w:val="24"/>
          <w:szCs w:val="24"/>
        </w:rPr>
        <w:t xml:space="preserve">Marcas:</w:t>
      </w:r>
      <w:r>
        <w:rPr>
          <w:rFonts w:ascii="Arial" w:cs="Arial" w:eastAsia="Arial" w:hAnsi="Arial"/>
          <w:sz w:val="24"/>
          <w:szCs w:val="24"/>
        </w:rPr>
        <w:t xml:space="preserve"> en el mes 5 sé qué marcas están registradas y hay solicitud presentada para las que falten, si la Dirección lo aprueba.</w:t>
      </w:r>
    </w:p>
    <w:p>
      <w:pPr>
        <w:pStyle w:val="ListParagraph"/>
        <w:numPr>
          <w:ilvl w:val="0"/>
          <w:numId w:val="2"/>
        </w:numPr>
        <w:spacing w:after="0" w:before="0" w:line="360" w:lineRule="auto"/>
        <w:jc w:val="both"/>
      </w:pPr>
      <w:r>
        <w:rPr>
          <w:rFonts w:ascii="Arial" w:cs="Arial" w:eastAsia="Arial" w:hAnsi="Arial"/>
          <w:b/>
          <w:bCs/>
          <w:sz w:val="24"/>
          <w:szCs w:val="24"/>
        </w:rPr>
        <w:t xml:space="preserve">Reacción:</w:t>
      </w:r>
      <w:r>
        <w:rPr>
          <w:rFonts w:ascii="Arial" w:cs="Arial" w:eastAsia="Arial" w:hAnsi="Arial"/>
          <w:sz w:val="24"/>
          <w:szCs w:val="24"/>
        </w:rPr>
        <w:t xml:space="preserve"> atender un reclamo o una infracción en máximo 2 días hábiles.</w:t>
      </w:r>
    </w:p>
    <w:p>
      <w:pPr>
        <w:pStyle w:val="ListParagraph"/>
        <w:numPr>
          <w:ilvl w:val="0"/>
          <w:numId w:val="2"/>
        </w:numPr>
        <w:spacing w:after="0" w:before="0" w:line="360" w:lineRule="auto"/>
        <w:jc w:val="both"/>
      </w:pPr>
      <w:r>
        <w:rPr>
          <w:rFonts w:ascii="Arial" w:cs="Arial" w:eastAsia="Arial" w:hAnsi="Arial"/>
          <w:b/>
          <w:bCs/>
          <w:sz w:val="24"/>
          <w:szCs w:val="24"/>
        </w:rPr>
        <w:t xml:space="preserve">Resultado:</w:t>
      </w:r>
      <w:r>
        <w:rPr>
          <w:rFonts w:ascii="Arial" w:cs="Arial" w:eastAsia="Arial" w:hAnsi="Arial"/>
          <w:sz w:val="24"/>
          <w:szCs w:val="24"/>
        </w:rPr>
        <w:t xml:space="preserve"> al mes 6, los riesgos A4 y B1 pasan de nivel alto a medio.</w:t>
      </w:r>
    </w:p>
    <w:p>
      <w:pPr>
        <w:spacing w:after="0" w:before="0" w:line="360" w:lineRule="auto"/>
        <w:ind w:firstLine="720"/>
        <w:jc w:val="both"/>
      </w:pPr>
      <w:r>
        <w:rPr>
          <w:rFonts w:ascii="Arial" w:cs="Arial" w:eastAsia="Arial" w:hAnsi="Arial"/>
          <w:sz w:val="24"/>
          <w:szCs w:val="24"/>
        </w:rPr>
        <w:t xml:space="preserve">Después del mes 6 mantengo tres revisiones: cada mes, la vigilancia y el boletín del IMPI; cada tres meses, el inventario y las licencias por vencer; y cada año, las renovaciones (las marcas duran 10 años) y esta tabla de riesgos.</w:t>
      </w:r>
    </w:p>
    <w:p>
      <w:pPr>
        <w:pStyle w:val="Heading2"/>
        <w:keepNext/>
        <w:spacing w:after="0" w:before="160" w:line="360" w:lineRule="auto"/>
        <w:jc w:val="left"/>
      </w:pPr>
      <w:r>
        <w:rPr>
          <w:rFonts w:ascii="Arial" w:cs="Arial" w:eastAsia="Arial" w:hAnsi="Arial"/>
          <w:b/>
          <w:bCs/>
          <w:color w:val="000000"/>
          <w:sz w:val="24"/>
          <w:szCs w:val="24"/>
        </w:rPr>
        <w:t xml:space="preserve">7. Relación del plan con mi trabajo actual</w:t>
      </w:r>
    </w:p>
    <w:p>
      <w:pPr>
        <w:spacing w:after="0" w:before="0" w:line="360" w:lineRule="auto"/>
        <w:ind w:firstLine="720"/>
        <w:jc w:val="both"/>
      </w:pPr>
      <w:r>
        <w:rPr>
          <w:rFonts w:ascii="Arial" w:cs="Arial" w:eastAsia="Arial" w:hAnsi="Arial"/>
          <w:sz w:val="24"/>
          <w:szCs w:val="24"/>
        </w:rPr>
        <w:t xml:space="preserve">Cada acción del plan parte de lo que hago hoy. La Tabla 7 indica, por función, qué PI interviene, de quién es y qué propone el plan.</w:t>
      </w:r>
    </w:p>
    <w:p>
      <w:pPr>
        <w:keepNext/>
        <w:spacing w:after="0" w:before="0" w:line="360" w:lineRule="auto"/>
      </w:pPr>
      <w:r>
        <w:rPr>
          <w:rFonts w:ascii="Arial" w:cs="Arial" w:eastAsia="Arial" w:hAnsi="Arial"/>
          <w:b/>
          <w:bCs/>
          <w:sz w:val="24"/>
          <w:szCs w:val="24"/>
        </w:rPr>
        <w:t xml:space="preserve">Tabla 7</w:t>
      </w:r>
    </w:p>
    <w:p>
      <w:pPr>
        <w:keepNext/>
        <w:spacing w:after="0" w:before="0" w:line="360" w:lineRule="auto"/>
      </w:pPr>
      <w:r>
        <w:rPr>
          <w:rFonts w:ascii="Arial" w:cs="Arial" w:eastAsia="Arial" w:hAnsi="Arial"/>
          <w:i/>
          <w:iCs/>
          <w:sz w:val="24"/>
          <w:szCs w:val="24"/>
        </w:rPr>
        <w:t xml:space="preserve">Relación entre mi trabajo actual y el plan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2638"/>
      </w:tblGrid>
      <w:tr>
        <w:trPr>
          <w:cantSplit/>
          <w:tblHeader/>
        </w:trPr>
        <w:tc>
          <w:tcPr>
            <w:tcW w:type="dxa" w:w="16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Mi función actual</w:t>
            </w:r>
          </w:p>
        </w:tc>
        <w:tc>
          <w:tcPr>
            <w:tcW w:type="dxa" w:w="22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PI interviene</w:t>
            </w:r>
          </w:p>
        </w:tc>
        <w:tc>
          <w:tcPr>
            <w:tcW w:type="dxa" w:w="2400"/>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Quién es titular (hasta donde sé)</w:t>
            </w:r>
          </w:p>
        </w:tc>
        <w:tc>
          <w:tcPr>
            <w:tcW w:type="dxa" w:w="2638"/>
            <w:tcBorders>
              <w:top w:val="single" w:color="7F7F7F" w:sz="4"/>
              <w:left w:val="single" w:color="7F7F7F" w:sz="4"/>
              <w:bottom w:val="single" w:color="7F7F7F" w:sz="4"/>
              <w:right w:val="single" w:color="7F7F7F" w:sz="4"/>
            </w:tcBorders>
            <w:shd w:fill="D9E2F3" w:color="auto" w:val="clear"/>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b/>
                <w:bCs/>
                <w:sz w:val="18"/>
                <w:szCs w:val="18"/>
              </w:rPr>
              <w:t xml:space="preserve">Qué propone el plan</w:t>
            </w:r>
          </w:p>
        </w:tc>
      </w:tr>
      <w:tr>
        <w:trPr>
          <w:cantSplit/>
        </w:trPr>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Logotipo actual y rediseño de identidad 2020–2022, que diseñé</w:t>
            </w:r>
          </w:p>
        </w:tc>
        <w:tc>
          <w:tcPr>
            <w:tcW w:type="dxa" w:w="2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Derechos de autor, diseño industrial y marca</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Los derechos morales son míos. Los patrimoniales dependen de mi contrato (LFDA, art. 84)</w:t>
            </w:r>
          </w:p>
        </w:tc>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Cesión por escrito de los derechos patrimoniales, verificar el registro de la marca y manual de uso</w:t>
            </w:r>
          </w:p>
        </w:tc>
      </w:tr>
      <w:tr>
        <w:trPr>
          <w:cantSplit/>
        </w:trPr>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Sitio web y micrositios</w:t>
            </w:r>
          </w:p>
        </w:tc>
        <w:tc>
          <w:tcPr>
            <w:tcW w:type="dxa" w:w="2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Derechos de autor (textos, imágenes, código), diseño industrial (interfaz) y licencias de terceros</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El CIESS y las personas autoras o proveedoras de cada elemento</w:t>
            </w:r>
          </w:p>
        </w:tc>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Inventario de imágenes, fuentes, </w:t>
            </w:r>
            <w:r>
              <w:rPr>
                <w:rFonts w:ascii="Arial" w:cs="Arial" w:eastAsia="Arial" w:hAnsi="Arial"/>
                <w:i/>
                <w:iCs/>
                <w:sz w:val="18"/>
                <w:szCs w:val="18"/>
              </w:rPr>
              <w:t xml:space="preserve">plugins</w:t>
            </w:r>
            <w:r>
              <w:rPr>
                <w:rFonts w:ascii="Arial" w:cs="Arial" w:eastAsia="Arial" w:hAnsi="Arial"/>
                <w:sz w:val="18"/>
                <w:szCs w:val="18"/>
              </w:rPr>
              <w:t xml:space="preserve"> y temas con su licencia, y avisos de derechos</w:t>
            </w:r>
          </w:p>
        </w:tc>
      </w:tr>
      <w:tr>
        <w:trPr>
          <w:cantSplit/>
        </w:trPr>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Campus virtual, constancias y actas</w:t>
            </w:r>
          </w:p>
        </w:tc>
        <w:tc>
          <w:tcPr>
            <w:tcW w:type="dxa" w:w="2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Derechos de autor del código, secreto comercial y datos personales</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El CIESS en lo que creo como empleado (LFDA, art. 103), salvo pacto</w:t>
            </w:r>
          </w:p>
        </w:tc>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Dejar constancia del pacto, NDA con terceros y control de accesos</w:t>
            </w:r>
          </w:p>
        </w:tc>
      </w:tr>
      <w:tr>
        <w:trPr>
          <w:cantSplit/>
        </w:trPr>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Sistema de registro del congreso</w:t>
            </w:r>
          </w:p>
        </w:tc>
        <w:tc>
          <w:tcPr>
            <w:tcW w:type="dxa" w:w="2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Código, base de datos y secreto comercial</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El CIESS (LFDA, art. 103), salvo pacto</w:t>
            </w:r>
          </w:p>
        </w:tc>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val="false"/>
              <w:spacing w:after="40" w:before="40" w:line="240" w:lineRule="auto"/>
              <w:jc w:val="left"/>
            </w:pPr>
            <w:r>
              <w:rPr>
                <w:rFonts w:ascii="Arial" w:cs="Arial" w:eastAsia="Arial" w:hAnsi="Arial"/>
                <w:sz w:val="18"/>
                <w:szCs w:val="18"/>
              </w:rPr>
              <w:t xml:space="preserve">Revisar las licencias de las bibliotecas de código abierto y no publicar el código sin una licencia elegida</w:t>
            </w:r>
          </w:p>
        </w:tc>
      </w:tr>
      <w:tr>
        <w:trPr>
          <w:cantSplit/>
        </w:trPr>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Materiales editoriales y multimedia</w:t>
            </w:r>
          </w:p>
        </w:tc>
        <w:tc>
          <w:tcPr>
            <w:tcW w:type="dxa" w:w="2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Derechos de autor, derechos conexos y voz e imagen</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La persona autora o ponente, salvo cesión</w:t>
            </w:r>
          </w:p>
        </w:tc>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Formato de autorización y licencia clara por tipo de material</w:t>
            </w:r>
          </w:p>
        </w:tc>
      </w:tr>
      <w:tr>
        <w:trPr>
          <w:cantSplit/>
        </w:trPr>
        <w:tc>
          <w:tcPr>
            <w:tcW w:type="dxa" w:w="16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Asistentes de IA para programar y </w:t>
            </w:r>
            <w:r>
              <w:rPr>
                <w:rFonts w:ascii="Arial" w:cs="Arial" w:eastAsia="Arial" w:hAnsi="Arial"/>
                <w:i/>
                <w:iCs/>
                <w:sz w:val="18"/>
                <w:szCs w:val="18"/>
              </w:rPr>
              <w:t xml:space="preserve">chatbot</w:t>
            </w:r>
            <w:r>
              <w:rPr>
                <w:rFonts w:ascii="Arial" w:cs="Arial" w:eastAsia="Arial" w:hAnsi="Arial"/>
                <w:sz w:val="18"/>
                <w:szCs w:val="18"/>
              </w:rPr>
              <w:t xml:space="preserve"> en pruebas</w:t>
            </w:r>
          </w:p>
        </w:tc>
        <w:tc>
          <w:tcPr>
            <w:tcW w:type="dxa" w:w="22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Derechos de autor del código generado y de los datos de entrenamiento</w:t>
            </w:r>
          </w:p>
        </w:tc>
        <w:tc>
          <w:tcPr>
            <w:tcW w:type="dxa" w:w="2400"/>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Sin intervención humana sustancial, no hay obra registrable</w:t>
            </w:r>
          </w:p>
        </w:tc>
        <w:tc>
          <w:tcPr>
            <w:tcW w:type="dxa" w:w="2638"/>
            <w:tcBorders>
              <w:top w:val="single" w:color="7F7F7F" w:sz="4"/>
              <w:left w:val="single" w:color="7F7F7F" w:sz="4"/>
              <w:bottom w:val="single" w:color="7F7F7F" w:sz="4"/>
              <w:right w:val="single" w:color="7F7F7F" w:sz="4"/>
            </w:tcBorders>
            <w:tcMar>
              <w:top w:type="dxa" w:w="40"/>
              <w:left w:type="dxa" w:w="80"/>
              <w:bottom w:type="dxa" w:w="40"/>
              <w:right w:type="dxa" w:w="80"/>
            </w:tcMar>
            <w:vAlign w:val="top"/>
          </w:tcPr>
          <w:p>
            <w:pPr>
              <w:keepNext/>
              <w:spacing w:after="40" w:before="40" w:line="240" w:lineRule="auto"/>
              <w:jc w:val="left"/>
            </w:pPr>
            <w:r>
              <w:rPr>
                <w:rFonts w:ascii="Arial" w:cs="Arial" w:eastAsia="Arial" w:hAnsi="Arial"/>
                <w:sz w:val="18"/>
                <w:szCs w:val="18"/>
              </w:rPr>
              <w:t xml:space="preserve">Política de uso de IA y revisión humana de lo que se publique</w:t>
            </w:r>
          </w:p>
        </w:tc>
      </w:tr>
    </w:tbl>
    <w:p>
      <w:pPr>
        <w:spacing w:after="240" w:before="60" w:line="240" w:lineRule="auto"/>
      </w:pPr>
      <w:r>
        <w:rPr>
          <w:rFonts w:ascii="Arial" w:cs="Arial" w:eastAsia="Arial" w:hAnsi="Arial"/>
          <w:i/>
          <w:iCs/>
          <w:sz w:val="18"/>
          <w:szCs w:val="18"/>
        </w:rPr>
        <w:t xml:space="preserve">Nota.</w:t>
      </w:r>
      <w:r>
        <w:rPr>
          <w:rFonts w:ascii="Arial" w:cs="Arial" w:eastAsia="Arial" w:hAnsi="Arial"/>
          <w:sz w:val="18"/>
          <w:szCs w:val="18"/>
        </w:rPr>
        <w:t xml:space="preserve"> Elaboración propia a partir de mis funciones en el CIESS. La titularidad debe confirmarse con mi contrato y con el área jurídica.</w:t>
      </w:r>
    </w:p>
    <w:p>
      <w:pPr>
        <w:spacing w:after="0" w:before="0" w:line="360" w:lineRule="auto"/>
        <w:ind w:firstLine="720"/>
        <w:jc w:val="both"/>
      </w:pPr>
      <w:r>
        <w:rPr>
          <w:rFonts w:ascii="Arial" w:cs="Arial" w:eastAsia="Arial" w:hAnsi="Arial"/>
          <w:sz w:val="24"/>
          <w:szCs w:val="24"/>
        </w:rPr>
        <w:t xml:space="preserve">Mi caso del logotipo muestra por qué el plan importa. Lo diseñé yo, así que mis derechos morales (que se me reconozca como autor y que no se altere mi obra) no se pueden ceder. Según la LFDA (1996, art. 84), si mi contrato es individual y está por escrito, y no hay otro pacto, los derechos patrimoniales se dividen por partes iguales entre el CIESS y yo. Si no hay contrato por escrito, corresponden a la persona empleada. Para que el CIESS pueda registrar y defender la marca sin dudas, lo adecuado es formalizar por escrito la cesión de los derechos patrimoniales. Es la misma regla que propongo para cualquier persona que cree material para la institución (Tabla 1).</w:t>
      </w:r>
    </w:p>
    <w:p>
      <w:pPr>
        <w:pStyle w:val="Heading1"/>
        <w:keepNext/>
        <w:spacing w:after="0" w:before="0" w:line="360" w:lineRule="auto"/>
        <w:jc w:val="center"/>
      </w:pPr>
      <w:r>
        <w:rPr>
          <w:rFonts w:ascii="Arial" w:cs="Arial" w:eastAsia="Arial" w:hAnsi="Arial"/>
          <w:b/>
          <w:bCs/>
          <w:color w:val="000000"/>
          <w:sz w:val="24"/>
          <w:szCs w:val="24"/>
        </w:rPr>
        <w:t xml:space="preserve">Conclusión</w:t>
      </w:r>
    </w:p>
    <w:p>
      <w:pPr>
        <w:spacing w:after="0" w:before="0" w:line="360" w:lineRule="auto"/>
        <w:ind w:firstLine="720"/>
        <w:jc w:val="both"/>
      </w:pPr>
      <w:r>
        <w:rPr>
          <w:rFonts w:ascii="Arial" w:cs="Arial" w:eastAsia="Arial" w:hAnsi="Arial"/>
          <w:sz w:val="24"/>
          <w:szCs w:val="24"/>
        </w:rPr>
        <w:t xml:space="preserve">Este plan aterriza la Lección 10 y el manual de Uceda Carrillo (2025) en el trabajo real del CIESS. Identifica quién es titular de cada obra, qué tipos de PI se aplican y qué normas nacionales e internacionales intervienen. Propone controles en los dos sentidos: proteger lo propio de usos indebidos y evitar usar material de terceros sin permiso. Los dos riesgos más urgentes son tener contratos sin cláusula de derechos y publicar imágenes sin licencia, por eso el plan empieza por el inventario y los contratos. Lo que más aprendí es que los derechos de autor nacen solos, pero sin contratos, registros y vigilancia la organización no puede demostrar ni defender lo que es suyo.</w:t>
      </w:r>
    </w:p>
    <w:p>
      <w:pPr>
        <w:pStyle w:val="Heading1"/>
        <w:keepNext/>
        <w:spacing w:after="0" w:before="0" w:line="360" w:lineRule="auto"/>
        <w:jc w:val="center"/>
      </w:pPr>
      <w:r>
        <w:rPr>
          <w:rFonts w:ascii="Arial" w:cs="Arial" w:eastAsia="Arial" w:hAnsi="Arial"/>
          <w:b/>
          <w:bCs/>
          <w:color w:val="000000"/>
          <w:sz w:val="24"/>
          <w:szCs w:val="24"/>
        </w:rPr>
        <w:t xml:space="preserve">Referencias</w:t>
      </w:r>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(24 de diciembre de 1996). </w:t>
      </w:r>
      <w:r>
        <w:rPr>
          <w:rFonts w:ascii="Arial" w:cs="Arial" w:eastAsia="Arial" w:hAnsi="Arial"/>
          <w:i/>
          <w:iCs/>
          <w:sz w:val="24"/>
          <w:szCs w:val="24"/>
        </w:rPr>
        <w:t xml:space="preserve">Ley Federal del Derecho de Autor</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tsvglzltf2gjstvhfctcm">
        <w:r>
          <w:rPr>
            <w:rStyle w:val="Hyperlink"/>
            <w:rFonts w:ascii="Arial" w:cs="Arial" w:eastAsia="Arial" w:hAnsi="Arial"/>
            <w:sz w:val="24"/>
            <w:szCs w:val="24"/>
          </w:rPr>
          <w:t xml:space="preserve">https://www.diputados.gob.mx/LeyesBiblio/pdf/LFDA.pdf</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(1 de julio de 2020). </w:t>
      </w:r>
      <w:r>
        <w:rPr>
          <w:rFonts w:ascii="Arial" w:cs="Arial" w:eastAsia="Arial" w:hAnsi="Arial"/>
          <w:i/>
          <w:iCs/>
          <w:sz w:val="24"/>
          <w:szCs w:val="24"/>
        </w:rPr>
        <w:t xml:space="preserve">Ley Federal de Protección a la Propiedad Industrial</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hp6wa38vo3kxwludtoqwv">
        <w:r>
          <w:rPr>
            <w:rStyle w:val="Hyperlink"/>
            <w:rFonts w:ascii="Arial" w:cs="Arial" w:eastAsia="Arial" w:hAnsi="Arial"/>
            <w:sz w:val="24"/>
            <w:szCs w:val="24"/>
          </w:rPr>
          <w:t xml:space="preserve">https://www.diputados.gob.mx/LeyesBiblio/pdf/LFPPI.pdf</w:t>
        </w:r>
      </w:hyperlink>
    </w:p>
    <w:p>
      <w:pPr>
        <w:spacing w:after="0" w:before="0" w:line="360" w:lineRule="auto"/>
        <w:ind w:left="720" w:hanging="720"/>
        <w:jc w:val="left"/>
      </w:pPr>
      <w:r>
        <w:rPr>
          <w:rFonts w:ascii="Arial" w:cs="Arial" w:eastAsia="Arial" w:hAnsi="Arial"/>
          <w:sz w:val="24"/>
          <w:szCs w:val="24"/>
        </w:rPr>
        <w:t xml:space="preserve">Cámara de Diputados del Honorable Congreso de la Unión [CDHCU]. (20 de marzo de 2025). </w:t>
      </w:r>
      <w:r>
        <w:rPr>
          <w:rFonts w:ascii="Arial" w:cs="Arial" w:eastAsia="Arial" w:hAnsi="Arial"/>
          <w:i/>
          <w:iCs/>
          <w:sz w:val="24"/>
          <w:szCs w:val="24"/>
        </w:rPr>
        <w:t xml:space="preserve">Ley Federal de Protección de Datos Personales en Posesión de los Particulares</w:t>
      </w:r>
      <w:r>
        <w:rPr>
          <w:rFonts w:ascii="Arial" w:cs="Arial" w:eastAsia="Arial" w:hAnsi="Arial"/>
          <w:sz w:val="24"/>
          <w:szCs w:val="24"/>
        </w:rPr>
        <w:t xml:space="preserve">. Diario Oficial de la Federación. México: Cámara de Diputados del Honorable Congreso de la Unión. Recuperada el 11 de octubre de 2026, de </w:t>
      </w:r>
      <w:hyperlink w:history="1" r:id="rIdnacimbzd-dtfaamr6l665">
        <w:r>
          <w:rPr>
            <w:rStyle w:val="Hyperlink"/>
            <w:rFonts w:ascii="Arial" w:cs="Arial" w:eastAsia="Arial" w:hAnsi="Arial"/>
            <w:sz w:val="24"/>
            <w:szCs w:val="24"/>
          </w:rPr>
          <w:t xml:space="preserve">https://www.diputados.gob.mx/LeyesBiblio/pdf/LFPDPPP.pdf</w:t>
        </w:r>
      </w:hyperlink>
    </w:p>
    <w:p>
      <w:pPr>
        <w:spacing w:after="0" w:before="0" w:line="360" w:lineRule="auto"/>
        <w:ind w:left="720" w:hanging="720"/>
        <w:jc w:val="left"/>
      </w:pPr>
      <w:r>
        <w:rPr>
          <w:rFonts w:ascii="Arial" w:cs="Arial" w:eastAsia="Arial" w:hAnsi="Arial"/>
          <w:sz w:val="24"/>
          <w:szCs w:val="24"/>
        </w:rPr>
        <w:t xml:space="preserve">Centro Español de Derechos Reprográficos [CEDRO]. (2024). </w:t>
      </w:r>
      <w:r>
        <w:rPr>
          <w:rFonts w:ascii="Arial" w:cs="Arial" w:eastAsia="Arial" w:hAnsi="Arial"/>
          <w:i/>
          <w:iCs/>
          <w:sz w:val="24"/>
          <w:szCs w:val="24"/>
        </w:rPr>
        <w:t xml:space="preserve">El Convenio de Berna y los derechos de autor</w:t>
      </w:r>
      <w:r>
        <w:rPr>
          <w:rFonts w:ascii="Arial" w:cs="Arial" w:eastAsia="Arial" w:hAnsi="Arial"/>
          <w:sz w:val="24"/>
          <w:szCs w:val="24"/>
        </w:rPr>
        <w:t xml:space="preserve">. </w:t>
      </w:r>
      <w:hyperlink w:history="1" r:id="rIdbu_gc5a9n9i0hjo4wacf_">
        <w:r>
          <w:rPr>
            <w:rStyle w:val="Hyperlink"/>
            <w:rFonts w:ascii="Arial" w:cs="Arial" w:eastAsia="Arial" w:hAnsi="Arial"/>
            <w:sz w:val="24"/>
            <w:szCs w:val="24"/>
          </w:rPr>
          <w:t xml:space="preserve">https://www.cedro.org/blog/articulo/blog.cedro.org/2021/05/18/convenio-berna-derechos-autor</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(s.f.-a). </w:t>
      </w:r>
      <w:r>
        <w:rPr>
          <w:rFonts w:ascii="Arial" w:cs="Arial" w:eastAsia="Arial" w:hAnsi="Arial"/>
          <w:i/>
          <w:iCs/>
          <w:sz w:val="24"/>
          <w:szCs w:val="24"/>
        </w:rPr>
        <w:t xml:space="preserve">1er Congreso de Estudios Interamericanos de Seguridad Social</w:t>
      </w:r>
      <w:r>
        <w:rPr>
          <w:rFonts w:ascii="Arial" w:cs="Arial" w:eastAsia="Arial" w:hAnsi="Arial"/>
          <w:sz w:val="24"/>
          <w:szCs w:val="24"/>
        </w:rPr>
        <w:t xml:space="preserve">. </w:t>
      </w:r>
      <w:hyperlink w:history="1" r:id="rId27xk4qdtip4asnzzkh3yo">
        <w:r>
          <w:rPr>
            <w:rStyle w:val="Hyperlink"/>
            <w:rFonts w:ascii="Arial" w:cs="Arial" w:eastAsia="Arial" w:hAnsi="Arial"/>
            <w:sz w:val="24"/>
            <w:szCs w:val="24"/>
          </w:rPr>
          <w:t xml:space="preserve">https://congreso-dss.ciess.org/</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(s.f.-b). </w:t>
      </w:r>
      <w:r>
        <w:rPr>
          <w:rFonts w:ascii="Arial" w:cs="Arial" w:eastAsia="Arial" w:hAnsi="Arial"/>
          <w:i/>
          <w:iCs/>
          <w:sz w:val="24"/>
          <w:szCs w:val="24"/>
        </w:rPr>
        <w:t xml:space="preserve">CIESS · Centro Interamericano de Estudios de Seguridad Social</w:t>
      </w:r>
      <w:r>
        <w:rPr>
          <w:rFonts w:ascii="Arial" w:cs="Arial" w:eastAsia="Arial" w:hAnsi="Arial"/>
          <w:sz w:val="24"/>
          <w:szCs w:val="24"/>
        </w:rPr>
        <w:t xml:space="preserve">. </w:t>
      </w:r>
      <w:hyperlink w:history="1" r:id="rIdv4whb2iyr_jjqtfnzddgz">
        <w:r>
          <w:rPr>
            <w:rStyle w:val="Hyperlink"/>
            <w:rFonts w:ascii="Arial" w:cs="Arial" w:eastAsia="Arial" w:hAnsi="Arial"/>
            <w:sz w:val="24"/>
            <w:szCs w:val="24"/>
          </w:rPr>
          <w:t xml:space="preserve">https://home.ciess.org/</w:t>
        </w:r>
      </w:hyperlink>
    </w:p>
    <w:p>
      <w:pPr>
        <w:spacing w:after="0" w:before="0" w:line="360" w:lineRule="auto"/>
        <w:ind w:left="720" w:hanging="720"/>
        <w:jc w:val="left"/>
      </w:pPr>
      <w:r>
        <w:rPr>
          <w:rFonts w:ascii="Arial" w:cs="Arial" w:eastAsia="Arial" w:hAnsi="Arial"/>
          <w:sz w:val="24"/>
          <w:szCs w:val="24"/>
        </w:rPr>
        <w:t xml:space="preserve">Centro Interamericano de Estudios de Seguridad Social. (s.f.-c). </w:t>
      </w:r>
      <w:r>
        <w:rPr>
          <w:rFonts w:ascii="Arial" w:cs="Arial" w:eastAsia="Arial" w:hAnsi="Arial"/>
          <w:i/>
          <w:iCs/>
          <w:sz w:val="24"/>
          <w:szCs w:val="24"/>
        </w:rPr>
        <w:t xml:space="preserve">RIUSS · Red Interamericana de Universidades para la Seguridad Social</w:t>
      </w:r>
      <w:r>
        <w:rPr>
          <w:rFonts w:ascii="Arial" w:cs="Arial" w:eastAsia="Arial" w:hAnsi="Arial"/>
          <w:sz w:val="24"/>
          <w:szCs w:val="24"/>
        </w:rPr>
        <w:t xml:space="preserve">. </w:t>
      </w:r>
      <w:hyperlink w:history="1" r:id="rIdukcj7nidmruxbkkrr33on">
        <w:r>
          <w:rPr>
            <w:rStyle w:val="Hyperlink"/>
            <w:rFonts w:ascii="Arial" w:cs="Arial" w:eastAsia="Arial" w:hAnsi="Arial"/>
            <w:sz w:val="24"/>
            <w:szCs w:val="24"/>
          </w:rPr>
          <w:t xml:space="preserve">https://home.ciess.org/riuss/</w:t>
        </w:r>
      </w:hyperlink>
    </w:p>
    <w:p>
      <w:pPr>
        <w:spacing w:after="0" w:before="0" w:line="360" w:lineRule="auto"/>
        <w:ind w:left="720" w:hanging="720"/>
        <w:jc w:val="left"/>
      </w:pPr>
      <w:r>
        <w:rPr>
          <w:rFonts w:ascii="Arial" w:cs="Arial" w:eastAsia="Arial" w:hAnsi="Arial"/>
          <w:sz w:val="24"/>
          <w:szCs w:val="24"/>
        </w:rPr>
        <w:t xml:space="preserve">Creative Commons. (s.f.). </w:t>
      </w:r>
      <w:r>
        <w:rPr>
          <w:rFonts w:ascii="Arial" w:cs="Arial" w:eastAsia="Arial" w:hAnsi="Arial"/>
          <w:i/>
          <w:iCs/>
          <w:sz w:val="24"/>
          <w:szCs w:val="24"/>
        </w:rPr>
        <w:t xml:space="preserve">Atribución-NoComercial-SinDerivadas 4.0 Internacional (CC BY-NC-ND 4.0)</w:t>
      </w:r>
      <w:r>
        <w:rPr>
          <w:rFonts w:ascii="Arial" w:cs="Arial" w:eastAsia="Arial" w:hAnsi="Arial"/>
          <w:sz w:val="24"/>
          <w:szCs w:val="24"/>
        </w:rPr>
        <w:t xml:space="preserve">. </w:t>
      </w:r>
      <w:hyperlink w:history="1" r:id="rIdcrvkbxhjty7aubf0dr_b5">
        <w:r>
          <w:rPr>
            <w:rStyle w:val="Hyperlink"/>
            <w:rFonts w:ascii="Arial" w:cs="Arial" w:eastAsia="Arial" w:hAnsi="Arial"/>
            <w:sz w:val="24"/>
            <w:szCs w:val="24"/>
          </w:rPr>
          <w:t xml:space="preserve">https://creativecommons.org/licenses/by-nc-nd/4.0/deed.es</w:t>
        </w:r>
      </w:hyperlink>
    </w:p>
    <w:p>
      <w:pPr>
        <w:spacing w:after="0" w:before="0" w:line="360" w:lineRule="auto"/>
        <w:ind w:left="720" w:hanging="720"/>
        <w:jc w:val="left"/>
      </w:pPr>
      <w:r>
        <w:rPr>
          <w:rFonts w:ascii="Arial" w:cs="Arial" w:eastAsia="Arial" w:hAnsi="Arial"/>
          <w:sz w:val="24"/>
          <w:szCs w:val="24"/>
        </w:rPr>
        <w:t xml:space="preserve">Instituto Mexicano de la Propiedad Industrial [IMPI]. (2025). </w:t>
      </w:r>
      <w:r>
        <w:rPr>
          <w:rFonts w:ascii="Arial" w:cs="Arial" w:eastAsia="Arial" w:hAnsi="Arial"/>
          <w:i/>
          <w:iCs/>
          <w:sz w:val="24"/>
          <w:szCs w:val="24"/>
        </w:rPr>
        <w:t xml:space="preserve">Página oficial del Instituto Mexicano de la Propiedad Industrial</w:t>
      </w:r>
      <w:r>
        <w:rPr>
          <w:rFonts w:ascii="Arial" w:cs="Arial" w:eastAsia="Arial" w:hAnsi="Arial"/>
          <w:sz w:val="24"/>
          <w:szCs w:val="24"/>
        </w:rPr>
        <w:t xml:space="preserve">. </w:t>
      </w:r>
      <w:hyperlink w:history="1" r:id="rIdmbyrwjg4fx3mncmxyjzqp">
        <w:r>
          <w:rPr>
            <w:rStyle w:val="Hyperlink"/>
            <w:rFonts w:ascii="Arial" w:cs="Arial" w:eastAsia="Arial" w:hAnsi="Arial"/>
            <w:sz w:val="24"/>
            <w:szCs w:val="24"/>
          </w:rPr>
          <w:t xml:space="preserve">https://www.gob.mx/impi</w:t>
        </w:r>
      </w:hyperlink>
    </w:p>
    <w:p>
      <w:pPr>
        <w:spacing w:after="0" w:before="0" w:line="360" w:lineRule="auto"/>
        <w:ind w:left="720" w:hanging="720"/>
        <w:jc w:val="left"/>
      </w:pPr>
      <w:r>
        <w:rPr>
          <w:rFonts w:ascii="Arial" w:cs="Arial" w:eastAsia="Arial" w:hAnsi="Arial"/>
          <w:sz w:val="24"/>
          <w:szCs w:val="24"/>
        </w:rPr>
        <w:t xml:space="preserve">Instituto Nacional del Derecho de Autor [INDAUTOR]. (2025). </w:t>
      </w:r>
      <w:r>
        <w:rPr>
          <w:rFonts w:ascii="Arial" w:cs="Arial" w:eastAsia="Arial" w:hAnsi="Arial"/>
          <w:i/>
          <w:iCs/>
          <w:sz w:val="24"/>
          <w:szCs w:val="24"/>
        </w:rPr>
        <w:t xml:space="preserve">Plataforma de trámites en línea – INDARELÍN</w:t>
      </w:r>
      <w:r>
        <w:rPr>
          <w:rFonts w:ascii="Arial" w:cs="Arial" w:eastAsia="Arial" w:hAnsi="Arial"/>
          <w:sz w:val="24"/>
          <w:szCs w:val="24"/>
        </w:rPr>
        <w:t xml:space="preserve">. </w:t>
      </w:r>
      <w:hyperlink w:history="1" r:id="rIdmou1re9yeovoiost0is0m">
        <w:r>
          <w:rPr>
            <w:rStyle w:val="Hyperlink"/>
            <w:rFonts w:ascii="Arial" w:cs="Arial" w:eastAsia="Arial" w:hAnsi="Arial"/>
            <w:sz w:val="24"/>
            <w:szCs w:val="24"/>
          </w:rPr>
          <w:t xml:space="preserve">https://sindautor.cultura.gob.mx/admin/</w:t>
        </w:r>
      </w:hyperlink>
    </w:p>
    <w:p>
      <w:pPr>
        <w:spacing w:after="0" w:before="0" w:line="360" w:lineRule="auto"/>
        <w:ind w:left="720" w:hanging="720"/>
        <w:jc w:val="left"/>
      </w:pPr>
      <w:r>
        <w:rPr>
          <w:rFonts w:ascii="Arial" w:cs="Arial" w:eastAsia="Arial" w:hAnsi="Arial"/>
          <w:sz w:val="24"/>
          <w:szCs w:val="24"/>
        </w:rPr>
        <w:t xml:space="preserve">Jalife, M. (8 de enero de 2025). Confirma Sala Especializada la no registrabilidad de obras de IA. </w:t>
      </w:r>
      <w:r>
        <w:rPr>
          <w:rFonts w:ascii="Arial" w:cs="Arial" w:eastAsia="Arial" w:hAnsi="Arial"/>
          <w:i/>
          <w:iCs/>
          <w:sz w:val="24"/>
          <w:szCs w:val="24"/>
        </w:rPr>
        <w:t xml:space="preserve">El Financiero</w:t>
      </w:r>
      <w:r>
        <w:rPr>
          <w:rFonts w:ascii="Arial" w:cs="Arial" w:eastAsia="Arial" w:hAnsi="Arial"/>
          <w:sz w:val="24"/>
          <w:szCs w:val="24"/>
        </w:rPr>
        <w:t xml:space="preserve">. </w:t>
      </w:r>
      <w:hyperlink w:history="1" r:id="rId_xecc8mk9eacwijyxjxut">
        <w:r>
          <w:rPr>
            <w:rStyle w:val="Hyperlink"/>
            <w:rFonts w:ascii="Arial" w:cs="Arial" w:eastAsia="Arial" w:hAnsi="Arial"/>
            <w:sz w:val="24"/>
            <w:szCs w:val="24"/>
          </w:rPr>
          <w:t xml:space="preserve">https://www.elfinanciero.com.mx/opinion/mauricio-jalife/2025/01/08/confirma-sala-especializada-la-no-registrabilidad-de-obras-de-ia/</w:t>
        </w:r>
      </w:hyperlink>
    </w:p>
    <w:p>
      <w:pPr>
        <w:spacing w:after="0" w:before="0" w:line="360" w:lineRule="auto"/>
        <w:ind w:left="720" w:hanging="720"/>
        <w:jc w:val="left"/>
      </w:pPr>
      <w:r>
        <w:rPr>
          <w:rFonts w:ascii="Arial" w:cs="Arial" w:eastAsia="Arial" w:hAnsi="Arial"/>
          <w:sz w:val="24"/>
          <w:szCs w:val="24"/>
        </w:rPr>
        <w:t xml:space="preserve">Organización Mundial de la Propiedad Intelectual [OMPI]. (1979). </w:t>
      </w:r>
      <w:r>
        <w:rPr>
          <w:rFonts w:ascii="Arial" w:cs="Arial" w:eastAsia="Arial" w:hAnsi="Arial"/>
          <w:i/>
          <w:iCs/>
          <w:sz w:val="24"/>
          <w:szCs w:val="24"/>
        </w:rPr>
        <w:t xml:space="preserve">Convenio de Berna para la Protección de las Obras Literarias y Artísticas</w:t>
      </w:r>
      <w:r>
        <w:rPr>
          <w:rFonts w:ascii="Arial" w:cs="Arial" w:eastAsia="Arial" w:hAnsi="Arial"/>
          <w:sz w:val="24"/>
          <w:szCs w:val="24"/>
        </w:rPr>
        <w:t xml:space="preserve"> (Acta de París de 1971, enmendado en 1979). </w:t>
      </w:r>
      <w:hyperlink w:history="1" r:id="rIdwnnjihjodlhxrivl-vzyn">
        <w:r>
          <w:rPr>
            <w:rStyle w:val="Hyperlink"/>
            <w:rFonts w:ascii="Arial" w:cs="Arial" w:eastAsia="Arial" w:hAnsi="Arial"/>
            <w:sz w:val="24"/>
            <w:szCs w:val="24"/>
          </w:rPr>
          <w:t xml:space="preserve">https://www.wipo.int/treaties/es/ip/berne/</w:t>
        </w:r>
      </w:hyperlink>
    </w:p>
    <w:p>
      <w:pPr>
        <w:spacing w:after="0" w:before="0" w:line="360" w:lineRule="auto"/>
        <w:ind w:left="720" w:hanging="720"/>
        <w:jc w:val="left"/>
      </w:pPr>
      <w:r>
        <w:rPr>
          <w:rFonts w:ascii="Arial" w:cs="Arial" w:eastAsia="Arial" w:hAnsi="Arial"/>
          <w:sz w:val="24"/>
          <w:szCs w:val="24"/>
        </w:rPr>
        <w:t xml:space="preserve">Organización Mundial de la Propiedad Intelectual [OMPI]. (1996). </w:t>
      </w:r>
      <w:r>
        <w:rPr>
          <w:rFonts w:ascii="Arial" w:cs="Arial" w:eastAsia="Arial" w:hAnsi="Arial"/>
          <w:i/>
          <w:iCs/>
          <w:sz w:val="24"/>
          <w:szCs w:val="24"/>
        </w:rPr>
        <w:t xml:space="preserve">Tratado de la OMPI sobre Derecho de Autor (WCT)</w:t>
      </w:r>
      <w:r>
        <w:rPr>
          <w:rFonts w:ascii="Arial" w:cs="Arial" w:eastAsia="Arial" w:hAnsi="Arial"/>
          <w:sz w:val="24"/>
          <w:szCs w:val="24"/>
        </w:rPr>
        <w:t xml:space="preserve">. </w:t>
      </w:r>
      <w:hyperlink w:history="1" r:id="rIddadcpfpuf-mwutaxksu16">
        <w:r>
          <w:rPr>
            <w:rStyle w:val="Hyperlink"/>
            <w:rFonts w:ascii="Arial" w:cs="Arial" w:eastAsia="Arial" w:hAnsi="Arial"/>
            <w:sz w:val="24"/>
            <w:szCs w:val="24"/>
          </w:rPr>
          <w:t xml:space="preserve">https://www.wipo.int/treaties/es/ip/wct/</w:t>
        </w:r>
      </w:hyperlink>
    </w:p>
    <w:p>
      <w:pPr>
        <w:spacing w:after="0" w:before="0" w:line="360" w:lineRule="auto"/>
        <w:ind w:left="720" w:hanging="720"/>
        <w:jc w:val="left"/>
      </w:pPr>
      <w:r>
        <w:rPr>
          <w:rFonts w:ascii="Arial" w:cs="Arial" w:eastAsia="Arial" w:hAnsi="Arial"/>
          <w:sz w:val="24"/>
          <w:szCs w:val="24"/>
        </w:rPr>
        <w:t xml:space="preserve">Organización Mundial de la Propiedad Intelectual [OMPI]. (2020). </w:t>
      </w:r>
      <w:r>
        <w:rPr>
          <w:rFonts w:ascii="Arial" w:cs="Arial" w:eastAsia="Arial" w:hAnsi="Arial"/>
          <w:i/>
          <w:iCs/>
          <w:sz w:val="24"/>
          <w:szCs w:val="24"/>
        </w:rPr>
        <w:t xml:space="preserve">¿Qué es la propiedad intelectual?</w:t>
      </w:r>
      <w:r>
        <w:rPr>
          <w:rFonts w:ascii="Arial" w:cs="Arial" w:eastAsia="Arial" w:hAnsi="Arial"/>
          <w:sz w:val="24"/>
          <w:szCs w:val="24"/>
        </w:rPr>
        <w:t xml:space="preserve"> </w:t>
      </w:r>
      <w:hyperlink w:history="1" r:id="rIdxndb6nyh9k89j0o5podo3">
        <w:r>
          <w:rPr>
            <w:rStyle w:val="Hyperlink"/>
            <w:rFonts w:ascii="Arial" w:cs="Arial" w:eastAsia="Arial" w:hAnsi="Arial"/>
            <w:sz w:val="24"/>
            <w:szCs w:val="24"/>
          </w:rPr>
          <w:t xml:space="preserve">https://tind.wipo.int/record/44180?v=pdf</w:t>
        </w:r>
      </w:hyperlink>
    </w:p>
    <w:p>
      <w:pPr>
        <w:spacing w:after="0" w:before="0" w:line="360" w:lineRule="auto"/>
        <w:ind w:left="720" w:hanging="720"/>
        <w:jc w:val="left"/>
      </w:pPr>
      <w:r>
        <w:rPr>
          <w:rFonts w:ascii="Arial" w:cs="Arial" w:eastAsia="Arial" w:hAnsi="Arial"/>
          <w:sz w:val="24"/>
          <w:szCs w:val="24"/>
        </w:rPr>
        <w:t xml:space="preserve">Organización Mundial de la Propiedad Intelectual [OMPI]. (2025a). </w:t>
      </w:r>
      <w:r>
        <w:rPr>
          <w:rFonts w:ascii="Arial" w:cs="Arial" w:eastAsia="Arial" w:hAnsi="Arial"/>
          <w:i/>
          <w:iCs/>
          <w:sz w:val="24"/>
          <w:szCs w:val="24"/>
        </w:rPr>
        <w:t xml:space="preserve">Sistema de Madrid: el sistema internacional de marcas</w:t>
      </w:r>
      <w:r>
        <w:rPr>
          <w:rFonts w:ascii="Arial" w:cs="Arial" w:eastAsia="Arial" w:hAnsi="Arial"/>
          <w:sz w:val="24"/>
          <w:szCs w:val="24"/>
        </w:rPr>
        <w:t xml:space="preserve">. </w:t>
      </w:r>
      <w:hyperlink w:history="1" r:id="rIdremdgmcss1grqitdhis4v">
        <w:r>
          <w:rPr>
            <w:rStyle w:val="Hyperlink"/>
            <w:rFonts w:ascii="Arial" w:cs="Arial" w:eastAsia="Arial" w:hAnsi="Arial"/>
            <w:sz w:val="24"/>
            <w:szCs w:val="24"/>
          </w:rPr>
          <w:t xml:space="preserve">https://www.wipo.int/es/web/madrid-system/</w:t>
        </w:r>
      </w:hyperlink>
    </w:p>
    <w:p>
      <w:pPr>
        <w:spacing w:after="0" w:before="0" w:line="360" w:lineRule="auto"/>
        <w:ind w:left="720" w:hanging="720"/>
        <w:jc w:val="left"/>
      </w:pPr>
      <w:r>
        <w:rPr>
          <w:rFonts w:ascii="Arial" w:cs="Arial" w:eastAsia="Arial" w:hAnsi="Arial"/>
          <w:sz w:val="24"/>
          <w:szCs w:val="24"/>
        </w:rPr>
        <w:t xml:space="preserve">Organización Mundial de la Propiedad Intelectual [OMPI]. (2025b). </w:t>
      </w:r>
      <w:r>
        <w:rPr>
          <w:rFonts w:ascii="Arial" w:cs="Arial" w:eastAsia="Arial" w:hAnsi="Arial"/>
          <w:i/>
          <w:iCs/>
          <w:sz w:val="24"/>
          <w:szCs w:val="24"/>
        </w:rPr>
        <w:t xml:space="preserve">Secretos comerciales</w:t>
      </w:r>
      <w:r>
        <w:rPr>
          <w:rFonts w:ascii="Arial" w:cs="Arial" w:eastAsia="Arial" w:hAnsi="Arial"/>
          <w:sz w:val="24"/>
          <w:szCs w:val="24"/>
        </w:rPr>
        <w:t xml:space="preserve">. </w:t>
      </w:r>
      <w:hyperlink w:history="1" r:id="rIdvfqpzbb4ne24kukaauj8y">
        <w:r>
          <w:rPr>
            <w:rStyle w:val="Hyperlink"/>
            <w:rFonts w:ascii="Arial" w:cs="Arial" w:eastAsia="Arial" w:hAnsi="Arial"/>
            <w:sz w:val="24"/>
            <w:szCs w:val="24"/>
          </w:rPr>
          <w:t xml:space="preserve">https://www.wipo.int/es/web/trade-secrets</w:t>
        </w:r>
      </w:hyperlink>
    </w:p>
    <w:p>
      <w:pPr>
        <w:spacing w:after="0" w:before="0" w:line="360" w:lineRule="auto"/>
        <w:ind w:left="720" w:hanging="720"/>
        <w:jc w:val="left"/>
      </w:pPr>
      <w:r>
        <w:rPr>
          <w:rFonts w:ascii="Arial" w:cs="Arial" w:eastAsia="Arial" w:hAnsi="Arial"/>
          <w:sz w:val="24"/>
          <w:szCs w:val="24"/>
        </w:rPr>
        <w:t xml:space="preserve">Organización Mundial del Comercio [OMC]. (1994). </w:t>
      </w:r>
      <w:r>
        <w:rPr>
          <w:rFonts w:ascii="Arial" w:cs="Arial" w:eastAsia="Arial" w:hAnsi="Arial"/>
          <w:i/>
          <w:iCs/>
          <w:sz w:val="24"/>
          <w:szCs w:val="24"/>
        </w:rPr>
        <w:t xml:space="preserve">Acuerdo sobre los aspectos de los derechos de propiedad intelectual relacionados con el comercio (ADPIC)</w:t>
      </w:r>
      <w:r>
        <w:rPr>
          <w:rFonts w:ascii="Arial" w:cs="Arial" w:eastAsia="Arial" w:hAnsi="Arial"/>
          <w:sz w:val="24"/>
          <w:szCs w:val="24"/>
        </w:rPr>
        <w:t xml:space="preserve">. </w:t>
      </w:r>
      <w:hyperlink w:history="1" r:id="rIdau3gxzqnday2uby4hj_jn">
        <w:r>
          <w:rPr>
            <w:rStyle w:val="Hyperlink"/>
            <w:rFonts w:ascii="Arial" w:cs="Arial" w:eastAsia="Arial" w:hAnsi="Arial"/>
            <w:sz w:val="24"/>
            <w:szCs w:val="24"/>
          </w:rPr>
          <w:t xml:space="preserve">https://www.wto.org/spanish/docs_s/legal_s/27-trips.pdf</w:t>
        </w:r>
      </w:hyperlink>
    </w:p>
    <w:p>
      <w:pPr>
        <w:spacing w:after="0" w:before="0" w:line="360" w:lineRule="auto"/>
        <w:ind w:left="720" w:hanging="720"/>
        <w:jc w:val="left"/>
      </w:pPr>
      <w:r>
        <w:rPr>
          <w:rFonts w:ascii="Arial" w:cs="Arial" w:eastAsia="Arial" w:hAnsi="Arial"/>
          <w:sz w:val="24"/>
          <w:szCs w:val="24"/>
        </w:rPr>
        <w:t xml:space="preserve">Uceda Carrillo, P. P. (2025). </w:t>
      </w:r>
      <w:r>
        <w:rPr>
          <w:rFonts w:ascii="Arial" w:cs="Arial" w:eastAsia="Arial" w:hAnsi="Arial"/>
          <w:i/>
          <w:iCs/>
          <w:sz w:val="24"/>
          <w:szCs w:val="24"/>
        </w:rPr>
        <w:t xml:space="preserve">Manual práctico de propiedad industrial: cómo proteger la innovación sin perder la paciencia</w:t>
      </w:r>
      <w:r>
        <w:rPr>
          <w:rFonts w:ascii="Arial" w:cs="Arial" w:eastAsia="Arial" w:hAnsi="Arial"/>
          <w:sz w:val="24"/>
          <w:szCs w:val="24"/>
        </w:rPr>
        <w:t xml:space="preserve">. FC Editorial. </w:t>
      </w:r>
      <w:hyperlink w:history="1" r:id="rIdzqn_5y92r9wc0ob81i-_u">
        <w:r>
          <w:rPr>
            <w:rStyle w:val="Hyperlink"/>
            <w:rFonts w:ascii="Arial" w:cs="Arial" w:eastAsia="Arial" w:hAnsi="Arial"/>
            <w:sz w:val="24"/>
            <w:szCs w:val="24"/>
          </w:rPr>
          <w:t xml:space="preserve">https://elibro.net/es/ereader/bibliotecauveg/294209?page=18</w:t>
        </w:r>
      </w:hyperlink>
    </w:p>
    <w:sectPr>
      <w:headerReference w:type="default" r:id="rId7"/>
      <w:headerReference w:type="first" r:id="rId8"/>
      <w:pgSz w:w="12240" w:h="15840" w:orient="portrait"/>
      <w:pgMar w:top="1417" w:right="1701"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MX"/>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Arial" w:cs="Arial" w:eastAsia="Arial" w:hAnsi="Arial"/>
      <w:b/>
      <w:bCs/>
      <w:color w:val="000000"/>
      <w:sz w:val="24"/>
      <w:szCs w:val="24"/>
    </w:rPr>
  </w:style>
  <w:style w:type="paragraph" w:styleId="Heading2">
    <w:name w:val="Heading 2"/>
    <w:basedOn w:val="Normal"/>
    <w:next w:val="Normal"/>
    <w:qFormat/>
    <w:pPr>
      <w:spacing w:after="0" w:before="0" w:line="360" w:lineRule="auto"/>
      <w:outlineLvl w:val="1"/>
    </w:pPr>
    <w:rPr>
      <w:rFonts w:ascii="Arial" w:cs="Arial" w:eastAsia="Arial" w:hAnsi="Arial"/>
      <w:b/>
      <w:bCs/>
      <w:color w:val="000000"/>
      <w:sz w:val="24"/>
      <w:szCs w:val="24"/>
    </w:rPr>
  </w:style>
  <w:style w:type="paragraph" w:styleId="Heading3">
    <w:name w:val="Heading 3"/>
    <w:basedOn w:val="Normal"/>
    <w:next w:val="Normal"/>
    <w:qFormat/>
    <w:pPr>
      <w:spacing w:after="0" w:before="0" w:line="360" w:lineRule="auto"/>
      <w:outlineLvl w:val="2"/>
    </w:pPr>
    <w:rPr>
      <w:rFonts w:ascii="Arial" w:cs="Arial" w:eastAsia="Arial" w:hAnsi="Arial"/>
      <w:b/>
      <w:bCs/>
      <w:i/>
      <w:iCs/>
      <w:color w:val="000000"/>
      <w:sz w:val="24"/>
      <w:szCs w:val="24"/>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tsvglzltf2gjstvhfctcm" Type="http://schemas.openxmlformats.org/officeDocument/2006/relationships/hyperlink" Target="https://www.diputados.gob.mx/LeyesBiblio/pdf/LFDA.pdf" TargetMode="External"/><Relationship Id="rIdhp6wa38vo3kxwludtoqwv" Type="http://schemas.openxmlformats.org/officeDocument/2006/relationships/hyperlink" Target="https://www.diputados.gob.mx/LeyesBiblio/pdf/LFPPI.pdf" TargetMode="External"/><Relationship Id="rIdnacimbzd-dtfaamr6l665" Type="http://schemas.openxmlformats.org/officeDocument/2006/relationships/hyperlink" Target="https://www.diputados.gob.mx/LeyesBiblio/pdf/LFPDPPP.pdf" TargetMode="External"/><Relationship Id="rIdbu_gc5a9n9i0hjo4wacf_" Type="http://schemas.openxmlformats.org/officeDocument/2006/relationships/hyperlink" Target="https://www.cedro.org/blog/articulo/blog.cedro.org/2021/05/18/convenio-berna-derechos-autor" TargetMode="External"/><Relationship Id="rId27xk4qdtip4asnzzkh3yo" Type="http://schemas.openxmlformats.org/officeDocument/2006/relationships/hyperlink" Target="https://congreso-dss.ciess.org/" TargetMode="External"/><Relationship Id="rIdv4whb2iyr_jjqtfnzddgz" Type="http://schemas.openxmlformats.org/officeDocument/2006/relationships/hyperlink" Target="https://home.ciess.org/" TargetMode="External"/><Relationship Id="rIdukcj7nidmruxbkkrr33on" Type="http://schemas.openxmlformats.org/officeDocument/2006/relationships/hyperlink" Target="https://home.ciess.org/riuss/" TargetMode="External"/><Relationship Id="rIdcrvkbxhjty7aubf0dr_b5" Type="http://schemas.openxmlformats.org/officeDocument/2006/relationships/hyperlink" Target="https://creativecommons.org/licenses/by-nc-nd/4.0/deed.es" TargetMode="External"/><Relationship Id="rIdmbyrwjg4fx3mncmxyjzqp" Type="http://schemas.openxmlformats.org/officeDocument/2006/relationships/hyperlink" Target="https://www.gob.mx/impi" TargetMode="External"/><Relationship Id="rIdmou1re9yeovoiost0is0m" Type="http://schemas.openxmlformats.org/officeDocument/2006/relationships/hyperlink" Target="https://sindautor.cultura.gob.mx/admin/" TargetMode="External"/><Relationship Id="rId_xecc8mk9eacwijyxjxut" Type="http://schemas.openxmlformats.org/officeDocument/2006/relationships/hyperlink" Target="https://www.elfinanciero.com.mx/opinion/mauricio-jalife/2025/01/08/confirma-sala-especializada-la-no-registrabilidad-de-obras-de-ia/" TargetMode="External"/><Relationship Id="rIdwnnjihjodlhxrivl-vzyn" Type="http://schemas.openxmlformats.org/officeDocument/2006/relationships/hyperlink" Target="https://www.wipo.int/treaties/es/ip/berne/" TargetMode="External"/><Relationship Id="rIddadcpfpuf-mwutaxksu16" Type="http://schemas.openxmlformats.org/officeDocument/2006/relationships/hyperlink" Target="https://www.wipo.int/treaties/es/ip/wct/" TargetMode="External"/><Relationship Id="rIdxndb6nyh9k89j0o5podo3" Type="http://schemas.openxmlformats.org/officeDocument/2006/relationships/hyperlink" Target="https://tind.wipo.int/record/44180?v=pdf" TargetMode="External"/><Relationship Id="rIdremdgmcss1grqitdhis4v" Type="http://schemas.openxmlformats.org/officeDocument/2006/relationships/hyperlink" Target="https://www.wipo.int/es/web/madrid-system/" TargetMode="External"/><Relationship Id="rIdvfqpzbb4ne24kukaauj8y" Type="http://schemas.openxmlformats.org/officeDocument/2006/relationships/hyperlink" Target="https://www.wipo.int/es/web/trade-secrets" TargetMode="External"/><Relationship Id="rIdau3gxzqnday2uby4hj_jn" Type="http://schemas.openxmlformats.org/officeDocument/2006/relationships/hyperlink" Target="https://www.wto.org/spanish/docs_s/legal_s/27-trips.pdf" TargetMode="External"/><Relationship Id="rIdzqn_5y92r9wc0ob81i-_u" Type="http://schemas.openxmlformats.org/officeDocument/2006/relationships/hyperlink" Target="https://elibro.net/es/ereader/bibliotecauveg/294209?page=18" TargetMode="External"/><Relationship Id="rId9" Type="http://schemas.openxmlformats.org/officeDocument/2006/relationships/image" Target="media/5951818202f0ae4061aa00d74cf0fca5c1ca172b.png"/><Relationship Id="rId10" Type="http://schemas.openxmlformats.org/officeDocument/2006/relationships/image" Target="media/759452d37c7609302b9d34d617285dd8479bc98c.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 riesgos informáticos relacionados con la violación de derechos de propiedad intelectual en el CIESS</dc:title>
  <dc:creator>Arturo David Navarrete Flores</dc:creator>
  <cp:lastModifiedBy>Un-named</cp:lastModifiedBy>
  <cp:revision>1</cp:revision>
  <dcterms:created xsi:type="dcterms:W3CDTF">2026-10-11T20:59:45.621Z</dcterms:created>
  <dcterms:modified xsi:type="dcterms:W3CDTF">2026-10-11T20:59:45.622Z</dcterms:modified>
</cp:coreProperties>
</file>

<file path=docProps/custom.xml><?xml version="1.0" encoding="utf-8"?>
<Properties xmlns="http://schemas.openxmlformats.org/officeDocument/2006/custom-properties" xmlns:vt="http://schemas.openxmlformats.org/officeDocument/2006/docPropsVTypes"/>
</file>