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276" w:lineRule="auto"/>
        <w:jc w:val="center"/>
      </w:pPr>
      <w:r>
        <w:drawing>
          <wp:inline distT="0" distB="0" distL="0" distR="0">
            <wp:extent cx="1714500" cy="819150"/>
            <wp:effectExtent t="0" r="0" b="0" l="0"/>
            <wp:docPr id="1" name="logo" descr="Logotipo de la Universidad Virtual del Estado de Guanajuato" title="UV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819150"/>
                    </a:xfrm>
                    <a:prstGeom prst="rect">
                      <a:avLst/>
                    </a:prstGeom>
                  </pic:spPr>
                </pic:pic>
              </a:graphicData>
            </a:graphic>
          </wp:inline>
        </w:drawing>
      </w:r>
    </w:p>
    <w:p>
      <w:pPr>
        <w:spacing w:after="0" w:before="0" w:line="276" w:lineRule="auto"/>
        <w:jc w:val="center"/>
      </w:pPr>
      <w:r>
        <w:rPr>
          <w:rFonts w:ascii="Arial" w:cs="Arial" w:eastAsia="Arial" w:hAnsi="Arial"/>
          <w:b/>
          <w:bCs/>
          <w:color w:val="1F4E79"/>
          <w:sz w:val="32"/>
          <w:szCs w:val="32"/>
        </w:rPr>
        <w:t xml:space="preserve">Universidad Virtual del Estado de Guanajuato</w:t>
      </w:r>
    </w:p>
    <w:p>
      <w:pPr>
        <w:spacing w:after="0" w:before="120" w:line="276" w:lineRule="auto"/>
        <w:jc w:val="center"/>
      </w:pPr>
      <w:r>
        <w:rPr>
          <w:rFonts w:ascii="Arial" w:cs="Arial" w:eastAsia="Arial" w:hAnsi="Arial"/>
          <w:b/>
          <w:bCs/>
          <w:color w:val="1F4E79"/>
          <w:sz w:val="32"/>
          <w:szCs w:val="32"/>
        </w:rPr>
        <w:t xml:space="preserve">Maestría en Inteligencia Artificial</w:t>
      </w:r>
    </w:p>
    <w:p>
      <w:pPr>
        <w:spacing w:after="0" w:before="360" w:line="276" w:lineRule="auto"/>
        <w:jc w:val="center"/>
      </w:pPr>
      <w:r>
        <w:rPr>
          <w:rFonts w:ascii="Arial" w:cs="Arial" w:eastAsia="Arial" w:hAnsi="Arial"/>
          <w:b/>
          <w:bCs/>
          <w:color w:val="1F4E79"/>
          <w:sz w:val="32"/>
          <w:szCs w:val="32"/>
        </w:rPr>
        <w:t xml:space="preserve">Módulo: </w:t>
      </w:r>
      <w:r>
        <w:rPr>
          <w:rFonts w:ascii="Arial" w:cs="Arial" w:eastAsia="Arial" w:hAnsi="Arial"/>
          <w:b/>
          <w:bCs/>
          <w:color w:val="1F4E79"/>
          <w:sz w:val="32"/>
          <w:szCs w:val="32"/>
        </w:rPr>
        <w:t xml:space="preserve">Aspectos éticos y normativos de la Ciencia de Datos e Inteligencia Artificial</w:t>
      </w:r>
    </w:p>
    <w:p>
      <w:pPr>
        <w:spacing w:after="0" w:before="360" w:line="276" w:lineRule="auto"/>
        <w:jc w:val="center"/>
      </w:pPr>
      <w:r>
        <w:rPr>
          <w:rFonts w:ascii="Arial" w:cs="Arial" w:eastAsia="Arial" w:hAnsi="Arial"/>
          <w:b/>
          <w:bCs/>
          <w:color w:val="1F4E79"/>
          <w:sz w:val="32"/>
          <w:szCs w:val="32"/>
        </w:rPr>
        <w:t xml:space="preserve">Reto 3: </w:t>
      </w:r>
      <w:r>
        <w:rPr>
          <w:rFonts w:ascii="Arial" w:cs="Arial" w:eastAsia="Arial" w:hAnsi="Arial"/>
          <w:b/>
          <w:bCs/>
          <w:color w:val="1F4E79"/>
          <w:sz w:val="32"/>
          <w:szCs w:val="32"/>
        </w:rPr>
        <w:t xml:space="preserve">Normatividad y políticas relacionadas con la ciencia de datos e IA</w:t>
      </w:r>
    </w:p>
    <w:p>
      <w:pPr>
        <w:spacing w:after="0" w:before="360" w:line="276" w:lineRule="auto"/>
        <w:jc w:val="center"/>
      </w:pPr>
      <w:r>
        <w:rPr>
          <w:rFonts w:ascii="Arial" w:cs="Arial" w:eastAsia="Arial" w:hAnsi="Arial"/>
          <w:b/>
          <w:bCs/>
          <w:color w:val="1F4E79"/>
          <w:sz w:val="32"/>
          <w:szCs w:val="32"/>
        </w:rPr>
        <w:t xml:space="preserve">Normatividad aplicable al uso de la ciencia de datos y la inteligencia artificial en el CIESS: evaluación y recomendaciones</w:t>
      </w:r>
    </w:p>
    <w:p>
      <w:pPr>
        <w:spacing w:after="0" w:before="600" w:line="276" w:lineRule="auto"/>
        <w:jc w:val="center"/>
      </w:pPr>
      <w:r>
        <w:rPr>
          <w:rFonts w:ascii="Arial" w:cs="Arial" w:eastAsia="Arial" w:hAnsi="Arial"/>
          <w:b/>
          <w:bCs/>
          <w:color w:val="1F4E79"/>
          <w:sz w:val="32"/>
          <w:szCs w:val="32"/>
        </w:rPr>
        <w:t xml:space="preserve">Nombre del alumno: </w:t>
      </w:r>
      <w:r>
        <w:rPr>
          <w:rFonts w:ascii="Arial" w:cs="Arial" w:eastAsia="Arial" w:hAnsi="Arial"/>
          <w:b/>
          <w:bCs/>
          <w:color w:val="1F4E79"/>
          <w:sz w:val="32"/>
          <w:szCs w:val="32"/>
        </w:rPr>
        <w:t xml:space="preserve">Arturo David Navarrete Flores</w:t>
      </w:r>
    </w:p>
    <w:p>
      <w:pPr>
        <w:spacing w:after="0" w:before="120" w:line="276" w:lineRule="auto"/>
        <w:jc w:val="center"/>
      </w:pPr>
      <w:r>
        <w:rPr>
          <w:rFonts w:ascii="Arial" w:cs="Arial" w:eastAsia="Arial" w:hAnsi="Arial"/>
          <w:b/>
          <w:bCs/>
          <w:color w:val="1F4E79"/>
          <w:sz w:val="32"/>
          <w:szCs w:val="32"/>
        </w:rPr>
        <w:t xml:space="preserve">Matrícula: </w:t>
      </w:r>
      <w:r>
        <w:rPr>
          <w:rFonts w:ascii="Arial" w:cs="Arial" w:eastAsia="Arial" w:hAnsi="Arial"/>
          <w:b/>
          <w:bCs/>
          <w:color w:val="1F4E79"/>
          <w:sz w:val="32"/>
          <w:szCs w:val="32"/>
        </w:rPr>
        <w:t xml:space="preserve">26014842</w:t>
      </w:r>
    </w:p>
    <w:p>
      <w:pPr>
        <w:spacing w:after="0" w:before="120" w:line="276" w:lineRule="auto"/>
        <w:jc w:val="center"/>
      </w:pPr>
      <w:r>
        <w:rPr>
          <w:rFonts w:ascii="Arial" w:cs="Arial" w:eastAsia="Arial" w:hAnsi="Arial"/>
          <w:b/>
          <w:bCs/>
          <w:color w:val="1F4E79"/>
          <w:sz w:val="32"/>
          <w:szCs w:val="32"/>
        </w:rPr>
        <w:t xml:space="preserve">Nombre del asesor: </w:t>
      </w:r>
      <w:r>
        <w:rPr>
          <w:rFonts w:ascii="Arial" w:cs="Arial" w:eastAsia="Arial" w:hAnsi="Arial"/>
          <w:b/>
          <w:bCs/>
          <w:color w:val="1F4E79"/>
          <w:sz w:val="32"/>
          <w:szCs w:val="32"/>
        </w:rPr>
        <w:t xml:space="preserve">Laura Antonia Aldana Ortiz</w:t>
      </w:r>
    </w:p>
    <w:p>
      <w:pPr>
        <w:spacing w:after="0" w:before="120" w:line="276" w:lineRule="auto"/>
        <w:jc w:val="center"/>
      </w:pPr>
      <w:r>
        <w:rPr>
          <w:rFonts w:ascii="Arial" w:cs="Arial" w:eastAsia="Arial" w:hAnsi="Arial"/>
          <w:b/>
          <w:bCs/>
          <w:color w:val="1F4E79"/>
          <w:sz w:val="32"/>
          <w:szCs w:val="32"/>
        </w:rPr>
        <w:t xml:space="preserve">Fecha de elaboración: </w:t>
      </w:r>
      <w:r>
        <w:rPr>
          <w:rFonts w:ascii="Arial" w:cs="Arial" w:eastAsia="Arial" w:hAnsi="Arial"/>
          <w:b/>
          <w:bCs/>
          <w:color w:val="1F4E79"/>
          <w:sz w:val="32"/>
          <w:szCs w:val="32"/>
        </w:rPr>
        <w:t xml:space="preserve">11 de octubre de 2026</w:t>
      </w:r>
    </w:p>
    <w:p>
      <w:pPr>
        <w:spacing w:after="0" w:before="120" w:line="276" w:lineRule="auto"/>
        <w:jc w:val="center"/>
      </w:pPr>
      <w:r>
        <w:rPr>
          <w:rFonts w:ascii="Arial" w:cs="Arial" w:eastAsia="Arial" w:hAnsi="Arial"/>
          <w:b/>
          <w:bCs/>
          <w:color w:val="1F4E79"/>
          <w:sz w:val="32"/>
          <w:szCs w:val="32"/>
        </w:rPr>
        <w:t xml:space="preserve">Declaratoria de originalidad: </w:t>
      </w:r>
      <w:r>
        <w:rPr>
          <w:rFonts w:ascii="Arial" w:cs="Arial" w:eastAsia="Arial" w:hAnsi="Arial"/>
          <w:b/>
          <w:bCs/>
          <w:color w:val="1F4E79"/>
          <w:sz w:val="32"/>
          <w:szCs w:val="32"/>
        </w:rPr>
        <w:t xml:space="preserve">se anexa en la página siguiente</w:t>
      </w:r>
    </w:p>
    <w:p>
      <w:pPr>
        <w:pageBreakBefore/>
        <w:spacing w:line="240" w:lineRule="auto"/>
        <w:jc w:val="center"/>
      </w:pPr>
      <w:r>
        <w:drawing>
          <wp:inline distT="0" distB="0" distL="0" distR="0">
            <wp:extent cx="5619750" cy="6981825"/>
            <wp:effectExtent t="0" r="0" b="0" l="0"/>
            <wp:docPr id="1" name="declaratoria" descr="Declaración del estudiante firmada (declaratoria de originalidad)" title="Declara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6981825"/>
                    </a:xfrm>
                    <a:prstGeom prst="rect">
                      <a:avLst/>
                    </a:prstGeom>
                  </pic:spPr>
                </pic:pic>
              </a:graphicData>
            </a:graphic>
          </wp:inline>
        </w:drawing>
      </w:r>
    </w:p>
    <w:p>
      <w:pPr>
        <w:pStyle w:val="Heading1"/>
        <w:keepNext/>
        <w:pageBreakBefore/>
        <w:spacing w:after="0" w:before="0" w:line="360" w:lineRule="auto"/>
        <w:jc w:val="center"/>
      </w:pPr>
      <w:r>
        <w:rPr>
          <w:rFonts w:ascii="Arial" w:cs="Arial" w:eastAsia="Arial" w:hAnsi="Arial"/>
          <w:b/>
          <w:bCs/>
          <w:color w:val="000000"/>
          <w:sz w:val="24"/>
          <w:szCs w:val="24"/>
        </w:rPr>
        <w:t xml:space="preserve">Normatividad aplicable al uso de la ciencia de datos y la inteligencia artificial en el CIESS: evaluación y recomendaciones</w:t>
      </w:r>
    </w:p>
    <w:p>
      <w:pPr>
        <w:pStyle w:val="Heading1"/>
        <w:keepNext/>
        <w:spacing w:after="0" w:before="0" w:line="360" w:lineRule="auto"/>
        <w:jc w:val="center"/>
      </w:pPr>
      <w:r>
        <w:rPr>
          <w:rFonts w:ascii="Arial" w:cs="Arial" w:eastAsia="Arial" w:hAnsi="Arial"/>
          <w:b/>
          <w:bCs/>
          <w:color w:val="000000"/>
          <w:sz w:val="24"/>
          <w:szCs w:val="24"/>
        </w:rPr>
        <w:t xml:space="preserve">Introducción</w:t>
      </w:r>
    </w:p>
    <w:p>
      <w:pPr>
        <w:spacing w:after="0" w:before="0" w:line="360" w:lineRule="auto"/>
        <w:ind w:firstLine="720"/>
        <w:jc w:val="both"/>
      </w:pPr>
      <w:r>
        <w:rPr>
          <w:rFonts w:ascii="Arial" w:cs="Arial" w:eastAsia="Arial" w:hAnsi="Arial"/>
          <w:sz w:val="24"/>
          <w:szCs w:val="24"/>
        </w:rPr>
        <w:t xml:space="preserve">El Centro Interamericano de Estudios de Seguridad Social (CIESS) es el órgano de docencia, capacitación e investigación de la Conferencia Interamericana de Seguridad Social (CISS), un organismo internacional, técnico, especializado y sin fines de lucro que reúne a más de 80 instituciones de 36 países (Centro Interamericano de Estudios de Seguridad Social [CIESS], s.f.-d). Laboro en el CIESS desde 2014 como diseñador de experiencia e interfaz de usuario (UX/UI) y desarrollador de herramientas digitales. En esa función construyo sistemas que tratan datos de personas de numerosos países —constancias, el registro de un congreso internacional, un complemento del campus virtual— y, más recientemente, lo hago con apoyo de asistentes de inteligencia artificial (IA) generativa (Navarrete Flores, 2026a).</w:t>
      </w:r>
    </w:p>
    <w:p>
      <w:pPr>
        <w:spacing w:after="0" w:before="0" w:line="360" w:lineRule="auto"/>
        <w:ind w:firstLine="720"/>
        <w:jc w:val="both"/>
      </w:pPr>
      <w:r>
        <w:rPr>
          <w:rFonts w:ascii="Arial" w:cs="Arial" w:eastAsia="Arial" w:hAnsi="Arial"/>
          <w:sz w:val="24"/>
          <w:szCs w:val="24"/>
        </w:rPr>
        <w:t xml:space="preserve">Este reporte evalúa qué normatividad es aplicable al uso de la ciencia de datos y la IA en esa organización. Revisa la normatividad de las Lecciones, la nacional y la internacional con la que el CIESS se vincula por la procedencia de sus participantes y proveedores, e incluye las propuestas de ley en curso. Se organiza así: el apartado 1 identifica las actividades de la organización; el 2 describe la información, la función y el uso de los sistemas de IA; el 3 reúne la normatividad nacional e internacional y las propuestas de ley; el 4 evalúa qué instrumentos se aplican a cada actividad; y el 5 propone recomendaciones personales para prevenir riesgos futuros.</w:t>
      </w:r>
    </w:p>
    <w:p>
      <w:pPr>
        <w:spacing w:after="0" w:before="0" w:line="360" w:lineRule="auto"/>
        <w:ind w:firstLine="720"/>
        <w:jc w:val="both"/>
      </w:pPr>
      <w:r>
        <w:rPr>
          <w:rFonts w:ascii="Arial" w:cs="Arial" w:eastAsia="Arial" w:hAnsi="Arial"/>
          <w:sz w:val="24"/>
          <w:szCs w:val="24"/>
        </w:rPr>
        <w:t xml:space="preserve">Antes de afirmar que un documento </w:t>
      </w:r>
      <w:r>
        <w:rPr>
          <w:rFonts w:ascii="Arial" w:cs="Arial" w:eastAsia="Arial" w:hAnsi="Arial"/>
          <w:b/>
          <w:bCs/>
          <w:sz w:val="24"/>
          <w:szCs w:val="24"/>
        </w:rPr>
        <w:t xml:space="preserve">obliga</w:t>
      </w:r>
      <w:r>
        <w:rPr>
          <w:rFonts w:ascii="Arial" w:cs="Arial" w:eastAsia="Arial" w:hAnsi="Arial"/>
          <w:sz w:val="24"/>
          <w:szCs w:val="24"/>
        </w:rPr>
        <w:t xml:space="preserve">, lo clasifiqué como ley vigente, norma obligatoria, tratado, recomendación no vinculante, estándar voluntario, política pública o iniciativa, y verifiqué su estatus a la fecha de elaboración, el 11 de octubre de 2026. Además de la normatividad de las Lecciones, el reporte se apoya en fuentes adicionales: el sitio y el Reglamento Académico del CIESS, la ley mexicana de protección de datos de 2025, la sentencia de la Suprema Corte de Justicia de la Nación de 2025, los Principios de Chapultepec y el Ómnibus de la Unión Europea de 2026. Los instrumentos que solo pude contrastar en fuentes especializadas, y no en el texto oficial, se señalan con la fuente que los respalda. Cuando escribo </w:t>
      </w:r>
      <w:r>
        <w:rPr>
          <w:rFonts w:ascii="Arial" w:cs="Arial" w:eastAsia="Arial" w:hAnsi="Arial"/>
          <w:b/>
          <w:bCs/>
          <w:sz w:val="24"/>
          <w:szCs w:val="24"/>
        </w:rPr>
        <w:t xml:space="preserve">no localicé</w:t>
      </w:r>
      <w:r>
        <w:rPr>
          <w:rFonts w:ascii="Arial" w:cs="Arial" w:eastAsia="Arial" w:hAnsi="Arial"/>
          <w:sz w:val="24"/>
          <w:szCs w:val="24"/>
        </w:rPr>
        <w:t xml:space="preserve"> o </w:t>
      </w:r>
      <w:r>
        <w:rPr>
          <w:rFonts w:ascii="Arial" w:cs="Arial" w:eastAsia="Arial" w:hAnsi="Arial"/>
          <w:b/>
          <w:bCs/>
          <w:sz w:val="24"/>
          <w:szCs w:val="24"/>
        </w:rPr>
        <w:t xml:space="preserve">no pude verificar</w:t>
      </w:r>
      <w:r>
        <w:rPr>
          <w:rFonts w:ascii="Arial" w:cs="Arial" w:eastAsia="Arial" w:hAnsi="Arial"/>
          <w:sz w:val="24"/>
          <w:szCs w:val="24"/>
        </w:rPr>
        <w:t xml:space="preserve"> me refiero a que no consta en fuentes públicas ni en lo que conozco de mi área; esa búsqueda no sustituye la consulta que recomiendo a las áreas de personal, asuntos jurídicos y administración.</w:t>
      </w:r>
    </w:p>
    <w:p>
      <w:pPr>
        <w:pStyle w:val="Heading1"/>
        <w:keepNext/>
        <w:spacing w:after="0" w:before="0" w:line="360" w:lineRule="auto"/>
        <w:jc w:val="center"/>
      </w:pPr>
      <w:r>
        <w:rPr>
          <w:rFonts w:ascii="Arial" w:cs="Arial" w:eastAsia="Arial" w:hAnsi="Arial"/>
          <w:b/>
          <w:bCs/>
          <w:color w:val="000000"/>
          <w:sz w:val="24"/>
          <w:szCs w:val="24"/>
        </w:rPr>
        <w:t xml:space="preserve">Desarrollo</w:t>
      </w:r>
    </w:p>
    <w:p>
      <w:pPr>
        <w:pStyle w:val="Heading2"/>
        <w:keepNext/>
        <w:spacing w:after="0" w:before="0" w:line="360" w:lineRule="auto"/>
        <w:jc w:val="left"/>
      </w:pPr>
      <w:r>
        <w:rPr>
          <w:rFonts w:ascii="Arial" w:cs="Arial" w:eastAsia="Arial" w:hAnsi="Arial"/>
          <w:b/>
          <w:bCs/>
          <w:color w:val="000000"/>
          <w:sz w:val="24"/>
          <w:szCs w:val="24"/>
        </w:rPr>
        <w:t xml:space="preserve">1. La organización y sus actividades</w:t>
      </w:r>
    </w:p>
    <w:p>
      <w:pPr>
        <w:spacing w:after="0" w:before="0" w:line="360" w:lineRule="auto"/>
        <w:ind w:firstLine="720"/>
        <w:jc w:val="both"/>
      </w:pPr>
      <w:r>
        <w:rPr>
          <w:rFonts w:ascii="Arial" w:cs="Arial" w:eastAsia="Arial" w:hAnsi="Arial"/>
          <w:sz w:val="24"/>
          <w:szCs w:val="24"/>
        </w:rPr>
        <w:t xml:space="preserve">El CIESS no es una dependencia del Estado mexicano ni un particular en sentido estricto. Es un órgano de la CISS, organismo internacional con sede en la Ciudad de México, cuya personalidad jurídica reconoce el Estado mexicano conforme al acuerdo de sede, según declara la propia CISS (CISS, s.f.). Hay argumentos en ambos sentidos sobre la aplicación de las leyes mexicanas. A favor, la ley federal para particulares es de orden público y de observancia general en todo el territorio nacional (Ley Federal de Protección de Datos Personales en Posesión de los Particulares [LFPDPPP], 2025, art. 1), y el CIESS opera y trata datos en la Ciudad de México. En contra, esa ley regula a las personas físicas o morales de carácter privado (art. 2, fr. XVI), la ley del sector público se dirige a sujetos obligados del Estado (Ley General de Protección de Datos Personales en Posesión de Sujetos Obligados [LGPDPPSO], 2025), el acuerdo de sede podría otorgar al organismo inmunidades y un régimen propio, y el responsable de los datos podría ser la CISS y no el CIESS.</w:t>
      </w:r>
    </w:p>
    <w:p>
      <w:pPr>
        <w:spacing w:after="0" w:before="0" w:line="360" w:lineRule="auto"/>
        <w:ind w:firstLine="720"/>
        <w:jc w:val="both"/>
      </w:pPr>
      <w:r>
        <w:rPr>
          <w:rFonts w:ascii="Arial" w:cs="Arial" w:eastAsia="Arial" w:hAnsi="Arial"/>
          <w:sz w:val="24"/>
          <w:szCs w:val="24"/>
        </w:rPr>
        <w:t xml:space="preserve">No localicé el texto del acuerdo de sede ni un criterio de autoridad que resuelva la cuestión. Por eso trato las leyes mexicanas como estándar mínimo de referencia, no como una obligación probada, y en el apartado 5 recomiendo solicitar una opinión jurídica formal. Hay razones de prudencia para esa postura: el Reglamento Académico reconoce a las personas estudiantes el derecho a la protección de sus datos personales “conforme a la normativa vigente” (CIESS, 2025, art. 5, inciso h); el aviso de privacidad del sistema de registro del congreso, redactado en mi área, se elaboró conforme a la ley mexicana, la brasileña y la europea (Navarrete Flores, 2026a); y los proveedores tecnológicos y las personas participantes sí están sujetos a las leyes de sus propios países.</w:t>
      </w:r>
    </w:p>
    <w:p>
      <w:pPr>
        <w:spacing w:after="0" w:before="0" w:line="360" w:lineRule="auto"/>
        <w:ind w:firstLine="720"/>
        <w:jc w:val="both"/>
      </w:pPr>
      <w:r>
        <w:rPr>
          <w:rFonts w:ascii="Arial" w:cs="Arial" w:eastAsia="Arial" w:hAnsi="Arial"/>
          <w:sz w:val="24"/>
          <w:szCs w:val="24"/>
        </w:rPr>
        <w:t xml:space="preserve">La Tabla 1 reúne las actividades del CIESS que identifiqué a partir de su sitio web, su Reglamento Académico y mi experiencia en el área (CIESS, s.f.-a, s.f.-b, s.f.-d, s.f.-e, 2025). Para cada una indica los datos que trata y si interviene la IA o la analítica de datos.</w:t>
      </w:r>
    </w:p>
    <w:p>
      <w:pPr>
        <w:keepNext/>
        <w:spacing w:after="0" w:before="0" w:line="360" w:lineRule="auto"/>
      </w:pPr>
      <w:r>
        <w:rPr>
          <w:rFonts w:ascii="Arial" w:cs="Arial" w:eastAsia="Arial" w:hAnsi="Arial"/>
          <w:b/>
          <w:bCs/>
          <w:sz w:val="24"/>
          <w:szCs w:val="24"/>
        </w:rPr>
        <w:t xml:space="preserve">Tabla 1</w:t>
      </w:r>
    </w:p>
    <w:p>
      <w:pPr>
        <w:keepNext/>
        <w:spacing w:after="0" w:before="0" w:line="360" w:lineRule="auto"/>
      </w:pPr>
      <w:r>
        <w:rPr>
          <w:rFonts w:ascii="Arial" w:cs="Arial" w:eastAsia="Arial" w:hAnsi="Arial"/>
          <w:i/>
          <w:iCs/>
          <w:sz w:val="24"/>
          <w:szCs w:val="24"/>
        </w:rPr>
        <w:t xml:space="preserve">Actividades del CIESS, datos que tratan y presencia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38"/>
        <w:gridCol w:w="1900"/>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Cód.</w:t>
            </w:r>
          </w:p>
        </w:tc>
        <w:tc>
          <w:tcPr>
            <w:tcW w:type="dxa" w:w="2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Actividad</w:t>
            </w:r>
          </w:p>
        </w:tc>
        <w:tc>
          <w:tcPr>
            <w:tcW w:type="dxa" w:w="33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Datos que trata</w:t>
            </w:r>
          </w:p>
        </w:tc>
        <w:tc>
          <w:tcPr>
            <w:tcW w:type="dxa" w:w="1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IA o analítica</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Formación: cursos, diplomados, seminarios, talleres, microaprendizajes y actividades lúdico-formativas, en campus virtual y sesiones sincrónicas (Zoom, Meet)</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correo, asistencia, calificaciones, grabaciones de voz e imagen, encuestas de percepción; justificantes médicos y solicitudes alimentarias (sensibles)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A2</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Inscripción y admisión de participantes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nacionalidad, institución, CV, identificación oficial con fotografía, carta de motivación; solicitudes alimentarias por razones médicas o religiosas (sensibles); recepción por correo y WhatsApp</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 sin evidencia de decisiones automatizadas</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A3</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Acreditación: calificaciones, actas y constancias con código QR</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programa, calificación, asistencia, folio, URL pública, historial de versiones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Automatización por reglas, no IA; sistema desarrollado con apoyo de IA (A13)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A4</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Congresos y eventos internacionales (Encuentros, </w:t>
            </w:r>
            <w:r>
              <w:rPr>
                <w:rFonts w:ascii="Arial" w:cs="Arial" w:eastAsia="Arial" w:hAnsi="Arial"/>
                <w:i/>
                <w:iCs/>
                <w:sz w:val="18"/>
                <w:szCs w:val="18"/>
              </w:rPr>
              <w:t xml:space="preserve">webinars</w:t>
            </w:r>
            <w:r>
              <w:rPr>
                <w:rFonts w:ascii="Arial" w:cs="Arial" w:eastAsia="Arial" w:hAnsi="Arial"/>
                <w:sz w:val="18"/>
                <w:szCs w:val="18"/>
              </w:rPr>
              <w:t xml:space="preserve">, conversatorios, aulas virtuales): registro trilingüe, ponencias, transmisión</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Contacto, semblanza, fotografía, vuelo y hospedaje, régimen alimentario y accesibilidad (sensibles), huella irreversible de IP</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Regresión lineal simple; dictamen por personas; sistema desarrollado con apoyo de IA (A13)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A5</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Becas y gestión de docentes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Tipo de beca, institución postulante, datos y horarios de docentes, programación de sesiones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Analítica en hojas de cálculo; posible IA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A6</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Sitio web institucional y micrositios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IP, navegación y </w:t>
            </w:r>
            <w:r>
              <w:rPr>
                <w:rFonts w:ascii="Arial" w:cs="Arial" w:eastAsia="Arial" w:hAnsi="Arial"/>
                <w:i/>
                <w:iCs/>
                <w:sz w:val="18"/>
                <w:szCs w:val="18"/>
              </w:rPr>
              <w:t xml:space="preserve">cookies</w:t>
            </w:r>
            <w:r>
              <w:rPr>
                <w:rFonts w:ascii="Arial" w:cs="Arial" w:eastAsia="Arial" w:hAnsi="Arial"/>
                <w:sz w:val="18"/>
                <w:szCs w:val="18"/>
              </w:rPr>
              <w:t xml:space="preserve">, mensajes de formularios, correos del boletín</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Analítica de uso; posible IA (A15); asistente propuesto (A14)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A7</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Producción editorial y multimedia: boletines, revistas, libros, pódcast, video, infografías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Imagen y voz de ponentes, semblanzas, obras de terceros, datos incidentales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IA generativa para redactar, ilustrar o narrar</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A8</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Tableros y reportes académicos y financieros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Matrículas, pagos, becas, calificaciones, cifras por país e institución</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Ciencia de datos: automatización y visualización</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A9</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Directorio y relación con instituciones miembro (Red Interamericana de Universidades para la Seguridad Social [RIUSS], CISS, Junta Directiva)</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cargo, institución, correo institucional, fotografía</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A10</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Biblioteca Digital en Seguridad Social (BIDISS) y catálogo</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Metadatos de obras, semblanzas; posibles datos de personas usuarias (no pude verificarlo)</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pude verificarlo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A11</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Investigación y asistencia técnica; registro de personas investigadoras; estancias; proyectos especiales (como una cátedra de salud mental y adulto mayor y programas de certificación actuarial)</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CV y documentos probatorios, propuestas, posibles bases de instituciones, con posibles datos de salud</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por confirmar</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A12</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Comunicación institucional: correo, WhatsApp, redes sociales, boletín</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Teléfonos, cuentas, mensajes, imágenes de participantes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IA integrada en plataformas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A13</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Desarrollo y producción con asistentes de IA generativa</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Código, esquemas, textos institucionales; datos de prueba</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Sí: sistema S1 (en uso)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A14</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Asistente virtual con generación aumentada por recuperación (RAG) para el sitio web (propuesta)</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Conversaciones libres que pueden incluir datos personales, idioma, inferencia de sentimiento</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Sí: sistema S2 (propuesto)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A15</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IA integrada en herramientas cotidianas: videoconferencia, suites en la nube, buscadores, mensajería</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Audio, video, transcripciones, documentos, mensajes, navegación</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Sí: sistema S3 (sin inventario)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A16</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Cobranza y pagos de matrícula</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Comprobantes bancarios, datos de facturación, adeudos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A17</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Logística presencial: hospedaje, alimentación y traslados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Género (habitaciones), pasaporte, vuelos, contacto de emergencia, dietas (sensibles)</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A18</w:t>
            </w:r>
          </w:p>
        </w:tc>
        <w:tc>
          <w:tcPr>
            <w:tcW w:type="dxa" w:w="2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Administración interna: personal, contratación de docentes y proveedores, tecnologías de la información (TI) y soporte (cuentas del campus y del correo), seguridad de instalaciones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Expedientes laborales, honorarios, datos bancarios y fiscales, credenciales, registros de acceso</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documentado en fuentes públicas</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S1, S2 y S3 son los sistemas de IA descritos en el apartado 2. Las actividades A16 a A18 las añadí al contrastar el sitio con el Reglamento Académico y con la operación de una institución educativa.</w:t>
      </w:r>
    </w:p>
    <w:p>
      <w:pPr>
        <w:spacing w:after="0" w:before="0" w:line="360" w:lineRule="auto"/>
        <w:ind w:firstLine="720"/>
        <w:jc w:val="both"/>
      </w:pPr>
      <w:r>
        <w:rPr>
          <w:rFonts w:ascii="Arial" w:cs="Arial" w:eastAsia="Arial" w:hAnsi="Arial"/>
          <w:sz w:val="24"/>
          <w:szCs w:val="24"/>
        </w:rPr>
        <w:t xml:space="preserve">No documenté los procesos internos de personal, contratación y seguridad de instalaciones (A18) porque no son públicos ni forman parte de mi área; recomiendo extender el inventario con esas áreas (recomendación 9). Salvo A13 (en uso), A14 (propuesta) y A15 (sin inventario de funciones), ninguna actividad usa IA de forma deliberada. En cambio, casi todas tratan datos personales y varias, datos sensibles (A1, A2, A4 y A17), por lo que el riesgo normativo dominante hoy es el de protección de datos y no el de la regulación específica de la IA. Esa lectura es consistente con el estado de la regulación en México, donde no existe una ley marco de IA y las reglas avanzan por sectores (ITSitio, 2026); en América Latina, además, regular no equivale a proteger (Lara, 2024).</w:t>
      </w:r>
    </w:p>
    <w:p>
      <w:pPr>
        <w:pStyle w:val="Heading2"/>
        <w:keepNext/>
        <w:spacing w:after="0" w:before="0" w:line="360" w:lineRule="auto"/>
        <w:jc w:val="left"/>
      </w:pPr>
      <w:r>
        <w:rPr>
          <w:rFonts w:ascii="Arial" w:cs="Arial" w:eastAsia="Arial" w:hAnsi="Arial"/>
          <w:b/>
          <w:bCs/>
          <w:color w:val="000000"/>
          <w:sz w:val="24"/>
          <w:szCs w:val="24"/>
        </w:rPr>
        <w:t xml:space="preserve">2. Los sistemas de IA: información, función y uso</w:t>
      </w:r>
    </w:p>
    <w:p>
      <w:pPr>
        <w:spacing w:after="0" w:before="0" w:line="360" w:lineRule="auto"/>
        <w:ind w:firstLine="720"/>
        <w:jc w:val="both"/>
      </w:pPr>
      <w:r>
        <w:rPr>
          <w:rFonts w:ascii="Arial" w:cs="Arial" w:eastAsia="Arial" w:hAnsi="Arial"/>
          <w:sz w:val="24"/>
          <w:szCs w:val="24"/>
        </w:rPr>
        <w:t xml:space="preserve">Identifiqué tres sistemas de IA. S1 es el asistente de IA generativa que uso para desarrollar herramientas; S2 es un asistente virtual para el sitio web que propuse en el módulo Inteligencia Artificial y Ciencia de Datos y que aún no se despliega (Navarrete Flores, 2026b); y S3 es la IA incorporada en herramientas de uso cotidiano. Los analizo en paralelo, en una misma ficha, para poder compararlos, porque las normas les aplican de forma distinta según su estado y su riesgo. El motor de constancias y la proyección de inscripciones del congreso no los cuento como sistemas de IA: se basan en reglas definidas por una persona y en una regresión lineal simple de proyección, sin modelos entrenados ni decisiones automatizadas sobre personas (Navarrete Flores, 2026a). Los menciono porque tratan datos personales de las mismas personas participantes.</w:t>
      </w:r>
    </w:p>
    <w:p>
      <w:pPr>
        <w:pStyle w:val="Heading3"/>
        <w:keepNext/>
        <w:spacing w:after="0" w:before="0" w:line="360" w:lineRule="auto"/>
        <w:jc w:val="left"/>
      </w:pPr>
      <w:r>
        <w:rPr>
          <w:rFonts w:ascii="Arial" w:cs="Arial" w:eastAsia="Arial" w:hAnsi="Arial"/>
          <w:b/>
          <w:bCs/>
          <w:i/>
          <w:iCs/>
          <w:color w:val="000000"/>
          <w:sz w:val="24"/>
          <w:szCs w:val="24"/>
        </w:rPr>
        <w:t xml:space="preserve">2.1 Información del sistema de IA</w:t>
      </w:r>
    </w:p>
    <w:p>
      <w:pPr>
        <w:spacing w:after="0" w:before="0" w:line="360" w:lineRule="auto"/>
        <w:ind w:firstLine="720"/>
        <w:jc w:val="both"/>
      </w:pPr>
      <w:r>
        <w:rPr>
          <w:rFonts w:ascii="Arial" w:cs="Arial" w:eastAsia="Arial" w:hAnsi="Arial"/>
          <w:sz w:val="24"/>
          <w:szCs w:val="24"/>
        </w:rPr>
        <w:t xml:space="preserve">La Tabla 2 resume la información de cada sistema. Las clasificaciones de riesgo remiten a la iniciativa de 2025 (Grupos Parlamentarios de MORENA y del Partido Verde Ecologista de México [GP MORENA y PVEM], 2025) y al Reglamento de IA de la Unión Europea (UE) (Parlamento Europeo y Consejo de la Unión Europea [PE y CUE], 2024), que se describen en el apartado 3.</w:t>
      </w:r>
    </w:p>
    <w:p>
      <w:pPr>
        <w:keepNext/>
        <w:spacing w:after="0" w:before="0" w:line="360" w:lineRule="auto"/>
      </w:pPr>
      <w:r>
        <w:rPr>
          <w:rFonts w:ascii="Arial" w:cs="Arial" w:eastAsia="Arial" w:hAnsi="Arial"/>
          <w:b/>
          <w:bCs/>
          <w:sz w:val="24"/>
          <w:szCs w:val="24"/>
        </w:rPr>
        <w:t xml:space="preserve">Tabla 2</w:t>
      </w:r>
    </w:p>
    <w:p>
      <w:pPr>
        <w:keepNext/>
        <w:spacing w:after="0" w:before="0" w:line="360" w:lineRule="auto"/>
      </w:pPr>
      <w:r>
        <w:rPr>
          <w:rFonts w:ascii="Arial" w:cs="Arial" w:eastAsia="Arial" w:hAnsi="Arial"/>
          <w:i/>
          <w:iCs/>
          <w:sz w:val="24"/>
          <w:szCs w:val="24"/>
        </w:rPr>
        <w:t xml:space="preserve">Ficha de los sistemas de IA del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00"/>
        <w:gridCol w:w="2446"/>
        <w:gridCol w:w="2446"/>
        <w:gridCol w:w="2446"/>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Aspecto</w:t>
            </w:r>
          </w:p>
        </w:tc>
        <w:tc>
          <w:tcPr>
            <w:tcW w:type="dxa" w:w="244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S1. Asistente de IA generativa para desarrollo</w:t>
            </w:r>
          </w:p>
        </w:tc>
        <w:tc>
          <w:tcPr>
            <w:tcW w:type="dxa" w:w="244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S2. Asistente virtual del sitio web</w:t>
            </w:r>
          </w:p>
        </w:tc>
        <w:tc>
          <w:tcPr>
            <w:tcW w:type="dxa" w:w="244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S3. IA integrada en herramientas cotidianas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Tipo de sistema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Asistente de programación basado en un modelo de lenguaje de gran tamaño (Claude Code, de Anthropic), que lee y edita código, ejecuta pruebas y redacta documentación</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i/>
                <w:iCs/>
                <w:sz w:val="18"/>
                <w:szCs w:val="18"/>
              </w:rPr>
              <w:t xml:space="preserve">Chatbot</w:t>
            </w:r>
            <w:r>
              <w:rPr>
                <w:rFonts w:ascii="Arial" w:cs="Arial" w:eastAsia="Arial" w:hAnsi="Arial"/>
                <w:sz w:val="18"/>
                <w:szCs w:val="18"/>
              </w:rPr>
              <w:t xml:space="preserve"> conversacional con IA generativa y RAG sobre el sitio, catálogos y reglamentos; modelo candidato: un modelo de lenguaje comercial por API o uno de código abierto ajustado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Funciones de IA de las herramientas en uso (Zoom, Google Meet y Workspace, WhatsApp): resúmenes, transcripción, sugerencias; y asistentes que usan las personas participantes en los cursos de IA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Estado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En uso en mi área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Propuesta; no desplegado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En uso; funciones activadas sin documentar</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Proveedor y alojamiento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Anthropic (Estados Unidos). Servicio en la nube: las instrucciones y los fragmentos de código se procesan en servidores del proveedor fuera de México, que actúa como persona encargada; habría transferencia solo si usara los datos para fines propios (LFPDPPP, 2025, arts. 2, fr. XII, y 35). Retención y uso de datos según los términos del plan contratado, sin revisión formal del CIESS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Por decidir; se integraría como </w:t>
            </w:r>
            <w:r>
              <w:rPr>
                <w:rFonts w:ascii="Arial" w:cs="Arial" w:eastAsia="Arial" w:hAnsi="Arial"/>
                <w:i/>
                <w:iCs/>
                <w:sz w:val="18"/>
                <w:szCs w:val="18"/>
              </w:rPr>
              <w:t xml:space="preserve">widget</w:t>
            </w:r>
            <w:r>
              <w:rPr>
                <w:rFonts w:ascii="Arial" w:cs="Arial" w:eastAsia="Arial" w:hAnsi="Arial"/>
                <w:sz w:val="18"/>
                <w:szCs w:val="18"/>
              </w:rPr>
              <w:t xml:space="preserve"> mediante una interfaz de programación (API) y dependería del proveedor del modelo y de la nube</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Proveedores de cada plataforma (Zoom, Google, Microsoft, Meta, Adobe, entre otros)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Datos de entrada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Instrucciones, fragmentos de código, esquemas y textos institucionales; por criterio propio, solo datos de prueba, sin credenciales ni datos personales reales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Preguntas libres de las personas usuarias, que pueden incluir nombres, correos, folios o datos de salud; idioma; historial</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Audio, video, documentos, mensajes y metadatos de participantes y personal</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Salidas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Código, </w:t>
            </w:r>
            <w:r>
              <w:rPr>
                <w:rFonts w:ascii="Arial" w:cs="Arial" w:eastAsia="Arial" w:hAnsi="Arial"/>
                <w:i/>
                <w:iCs/>
                <w:sz w:val="18"/>
                <w:szCs w:val="18"/>
              </w:rPr>
              <w:t xml:space="preserve">scripts</w:t>
            </w:r>
            <w:r>
              <w:rPr>
                <w:rFonts w:ascii="Arial" w:cs="Arial" w:eastAsia="Arial" w:hAnsi="Arial"/>
                <w:sz w:val="18"/>
                <w:szCs w:val="18"/>
              </w:rPr>
              <w:t xml:space="preserve">, documentación y textos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Respuestas informativas en español, portugués e inglés; resumen para la persona que atiende; clasificación de consultas (fase 2)</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Transcripciones, resúmenes, sugerencias y recomendaciones algorítmicas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Supervisión humana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Revisión y pruebas en un entorno de pruebas (copia del sistema) antes de producción; una persona responde por el resultado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Escalamiento a una persona cuando la consulta lo requiera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Depende de la configuración de cada plataforma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Riesgo según la iniciativa de 2025 (clasificación propia)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Probablemente mínimo: uso interno, sin decisiones sobre personas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Probablemente limitado: “asistentes virtuales informativos”; alto si interviniera en admisiones o becas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Probablemente mínimo a limitado, según la función</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Riesgo según el Reglamento de IA de la UE</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Riesgo mínimo; sin obligaciones de alto riesgo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Riesgo de transparencia (art. 50); alto riesgo solo si decidiera admisiones o becas (anexo III)</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Mínimo a limitado, según la función</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Navarrete Flores (2026a, 2026b), GP MORENA y PVEM (2025) y PE y CUE (2024). La clasificación de riesgo es mía: la iniciativa no menciona la IA generativa. Fichas verificadas el 11 de octubre de 2026; S2, según la propuesta de julio de 2026.</w:t>
      </w:r>
    </w:p>
    <w:p>
      <w:pPr>
        <w:pStyle w:val="Heading3"/>
        <w:keepNext/>
        <w:spacing w:after="0" w:before="0" w:line="360" w:lineRule="auto"/>
        <w:jc w:val="left"/>
      </w:pPr>
      <w:r>
        <w:rPr>
          <w:rFonts w:ascii="Arial" w:cs="Arial" w:eastAsia="Arial" w:hAnsi="Arial"/>
          <w:b/>
          <w:bCs/>
          <w:i/>
          <w:iCs/>
          <w:color w:val="000000"/>
          <w:sz w:val="24"/>
          <w:szCs w:val="24"/>
        </w:rPr>
        <w:t xml:space="preserve">2.2 Función del sistema de IA</w:t>
      </w:r>
    </w:p>
    <w:p>
      <w:pPr>
        <w:spacing w:after="0" w:before="0" w:line="360" w:lineRule="auto"/>
        <w:ind w:firstLine="720"/>
        <w:jc w:val="both"/>
      </w:pPr>
      <w:r>
        <w:rPr>
          <w:rFonts w:ascii="Arial" w:cs="Arial" w:eastAsia="Arial" w:hAnsi="Arial"/>
          <w:sz w:val="24"/>
          <w:szCs w:val="24"/>
        </w:rPr>
        <w:t xml:space="preserve">La función de S1 es acelerar el desarrollo y el mantenimiento de herramientas digitales: generar y revisar código, depurar errores, proponer pruebas y documentar. Con este apoyo se construyeron el sistema de constancias, el sistema de registro del congreso y el complemento del campus virtual (Navarrete Flores, 2026a). S1 no toma decisiones sobre personas: produce código y textos que una persona revisa, prueba en un entorno de pruebas y publica.</w:t>
      </w:r>
    </w:p>
    <w:p>
      <w:pPr>
        <w:spacing w:after="0" w:before="0" w:line="360" w:lineRule="auto"/>
        <w:ind w:firstLine="720"/>
        <w:jc w:val="both"/>
      </w:pPr>
      <w:r>
        <w:rPr>
          <w:rFonts w:ascii="Arial" w:cs="Arial" w:eastAsia="Arial" w:hAnsi="Arial"/>
          <w:sz w:val="24"/>
          <w:szCs w:val="24"/>
        </w:rPr>
        <w:t xml:space="preserve">La función de S2 sería atender de forma ininterrumpida las consultas frecuentes de las personas interesadas en español, portugués e inglés, recuperando la respuesta de los documentos oficiales del CIESS mediante RAG y escalando a una persona cuando la consulta lo requiera (Navarrete Flores, 2026b). La función de S3 es auxiliar: transcribir y resumir sesiones, sugerir textos y ordenar contenidos dentro de las plataformas que ya se usan.</w:t>
      </w:r>
    </w:p>
    <w:p>
      <w:pPr>
        <w:pStyle w:val="Heading3"/>
        <w:keepNext/>
        <w:spacing w:after="0" w:before="0" w:line="360" w:lineRule="auto"/>
        <w:jc w:val="left"/>
      </w:pPr>
      <w:r>
        <w:rPr>
          <w:rFonts w:ascii="Arial" w:cs="Arial" w:eastAsia="Arial" w:hAnsi="Arial"/>
          <w:b/>
          <w:bCs/>
          <w:i/>
          <w:iCs/>
          <w:color w:val="000000"/>
          <w:sz w:val="24"/>
          <w:szCs w:val="24"/>
        </w:rPr>
        <w:t xml:space="preserve">2.3 Uso que le da el CIESS al sistema de IA</w:t>
      </w:r>
    </w:p>
    <w:p>
      <w:pPr>
        <w:spacing w:after="0" w:before="0" w:line="360" w:lineRule="auto"/>
        <w:ind w:firstLine="720"/>
        <w:jc w:val="both"/>
      </w:pPr>
      <w:r>
        <w:rPr>
          <w:rFonts w:ascii="Arial" w:cs="Arial" w:eastAsia="Arial" w:hAnsi="Arial"/>
          <w:sz w:val="24"/>
          <w:szCs w:val="24"/>
        </w:rPr>
        <w:t xml:space="preserve">En el CIESS el uso de la IA es, hasta donde pude documentar, informal y centrado en personas. Mi área emplea S1 en el desarrollo, con validación humana en cada etapa (Navarrete Flores, 2026a). La institución, además, forma a personal de instituciones de seguridad social en el uso efectivo y responsable de asistentes de IA generativa mediante un microaprendizaje que incluye un módulo sobre uso responsable, ética y privacidad (CIESS, s.f.-c). S2 sigue como propuesta y S3 se usa sin inventario de las funciones activadas.</w:t>
      </w:r>
    </w:p>
    <w:p>
      <w:pPr>
        <w:spacing w:after="0" w:before="0" w:line="360" w:lineRule="auto"/>
        <w:ind w:firstLine="720"/>
        <w:jc w:val="both"/>
      </w:pPr>
      <w:r>
        <w:rPr>
          <w:rFonts w:ascii="Arial" w:cs="Arial" w:eastAsia="Arial" w:hAnsi="Arial"/>
          <w:sz w:val="24"/>
          <w:szCs w:val="24"/>
        </w:rPr>
        <w:t xml:space="preserve">No encontré una política institucional sobre IA ni un aviso de privacidad propio en el sitio: su pie de página remite a la política de privacidad de la CISS (CISS, s.f.) y el Reglamento Académico no menciona la IA (CIESS, 2025). Esa ausencia no prueba que no existan documentos internos, pero sí indica que, de existir, no son visibles para quienes participan.</w:t>
      </w:r>
    </w:p>
    <w:p>
      <w:pPr>
        <w:pStyle w:val="Heading2"/>
        <w:keepNext/>
        <w:spacing w:after="0" w:before="0" w:line="360" w:lineRule="auto"/>
        <w:jc w:val="left"/>
      </w:pPr>
      <w:r>
        <w:rPr>
          <w:rFonts w:ascii="Arial" w:cs="Arial" w:eastAsia="Arial" w:hAnsi="Arial"/>
          <w:b/>
          <w:bCs/>
          <w:color w:val="000000"/>
          <w:sz w:val="24"/>
          <w:szCs w:val="24"/>
        </w:rPr>
        <w:t xml:space="preserve">3. Normatividad revisada</w:t>
      </w:r>
    </w:p>
    <w:p>
      <w:pPr>
        <w:spacing w:after="0" w:before="0" w:line="360" w:lineRule="auto"/>
        <w:ind w:firstLine="720"/>
        <w:jc w:val="both"/>
      </w:pPr>
      <w:r>
        <w:rPr>
          <w:rFonts w:ascii="Arial" w:cs="Arial" w:eastAsia="Arial" w:hAnsi="Arial"/>
          <w:sz w:val="24"/>
          <w:szCs w:val="24"/>
        </w:rPr>
        <w:t xml:space="preserve">Solo la ley vigente y la norma obligatoria obligan a sus destinatarios; el tratado obliga a los Estados que lo ratifican; la recomendación, el estándar voluntario y la política pública orientan, y la iniciativa o el proyecto de ley no producen efectos jurídicos hasta su publicación. Respecto del CIESS uso cinco categorías de aplicabilidad: directa; condicionada (obliga si se cumple una condición, como tener participantes o servicios en otro país); por analogía o estándar (no obliga, pero es la referencia razonable); iniciativa (no obliga hoy); y no aplica. Con † se señalan los instrumentos presentados en las Lecciones.</w:t>
      </w:r>
    </w:p>
    <w:p>
      <w:pPr>
        <w:pStyle w:val="Heading3"/>
        <w:keepNext/>
        <w:spacing w:after="0" w:before="0" w:line="360" w:lineRule="auto"/>
        <w:jc w:val="left"/>
      </w:pPr>
      <w:r>
        <w:rPr>
          <w:rFonts w:ascii="Arial" w:cs="Arial" w:eastAsia="Arial" w:hAnsi="Arial"/>
          <w:b/>
          <w:bCs/>
          <w:i/>
          <w:iCs/>
          <w:color w:val="000000"/>
          <w:sz w:val="24"/>
          <w:szCs w:val="24"/>
        </w:rPr>
        <w:t xml:space="preserve">3.1 Normatividad y políticas de México</w:t>
      </w:r>
    </w:p>
    <w:p>
      <w:pPr>
        <w:spacing w:after="0" w:before="0" w:line="360" w:lineRule="auto"/>
        <w:ind w:firstLine="720"/>
        <w:jc w:val="both"/>
      </w:pPr>
      <w:r>
        <w:rPr>
          <w:rFonts w:ascii="Arial" w:cs="Arial" w:eastAsia="Arial" w:hAnsi="Arial"/>
          <w:sz w:val="24"/>
          <w:szCs w:val="24"/>
        </w:rPr>
        <w:t xml:space="preserve">En México no existe una ley marco de IA. Lo vigente son leyes transversales sobre datos personales, propiedad intelectual y delitos informáticos, y lo específico sobre IA son políticas públicas, declaraciones y propuestas de ley (ITSitio, 2026). La Tabla 3 las clasifica.</w:t>
      </w:r>
    </w:p>
    <w:p>
      <w:pPr>
        <w:spacing w:after="0" w:before="0" w:line="360" w:lineRule="auto"/>
        <w:ind w:firstLine="720"/>
        <w:jc w:val="both"/>
      </w:pPr>
      <w:r>
        <w:rPr>
          <w:rFonts w:ascii="Arial" w:cs="Arial" w:eastAsia="Arial" w:hAnsi="Arial"/>
          <w:sz w:val="24"/>
          <w:szCs w:val="24"/>
        </w:rPr>
        <w:t xml:space="preserve">La iniciativa de 2025 es la propuesta que mejor permite anticipar el marco que podría aplicarse al CIESS. Clasifica los sistemas en riesgo mínimo, limitado, alto y prohibido (GP MORENA y PVEM, 2025, art. 31) y pone como ejemplo de riesgo limitado a los “asistentes virtuales informativos” (GP MORENA y PVEM, 2025, p. 8), que es lo que sería S2. Entre sus principios propone que “toda decisión automatizada que tenga consecuencias jurídicas, sociales o personales relevantes deberá contar con supervisión humana efectiva” (GP MORENA y PVEM, 2025, p. 14), una regla compatible con el procedimiento que sigo en mi área, donde una persona revisa y prueba cada resultado. Para una institución educativa son especialmente relevantes el art. 51 y el art. 107 de la iniciativa, sobre obligaciones reforzadas en educación y sobre IA en certificación y evaluación; ambos alcanzarían a A1 y A3 si se automatizaran.</w:t>
      </w:r>
    </w:p>
    <w:p>
      <w:pPr>
        <w:spacing w:after="0" w:before="0" w:line="360" w:lineRule="auto"/>
        <w:ind w:firstLine="720"/>
        <w:jc w:val="both"/>
      </w:pPr>
      <w:r>
        <w:rPr>
          <w:rFonts w:ascii="Arial" w:cs="Arial" w:eastAsia="Arial" w:hAnsi="Arial"/>
          <w:sz w:val="24"/>
          <w:szCs w:val="24"/>
        </w:rPr>
        <w:t xml:space="preserve">Por su estructura —semáforo de cuatro niveles, transparencia para los asistentes conversacionales, evaluación de impacto y registro para el alto riesgo— la iniciativa se parece al Reglamento de IA de la UE (PE y CUE, 2024) y comparte con el proyecto brasileño (Pacheco, 2023) el enfoque por riesgos y los derechos de las personas afectadas; en cambio, propone un registro nacional, una plataforma de auditoría algorítmica y principios de soberanía tecnológica y equidad territorial (GP MORENA y PVEM, 2025, art. 6). La comparación es mía: el texto de la iniciativa no la hace.</w:t>
      </w:r>
    </w:p>
    <w:p>
      <w:pPr>
        <w:keepNext/>
        <w:spacing w:after="0" w:before="0" w:line="360" w:lineRule="auto"/>
      </w:pPr>
      <w:r>
        <w:rPr>
          <w:rFonts w:ascii="Arial" w:cs="Arial" w:eastAsia="Arial" w:hAnsi="Arial"/>
          <w:b/>
          <w:bCs/>
          <w:sz w:val="24"/>
          <w:szCs w:val="24"/>
        </w:rPr>
        <w:t xml:space="preserve">Tabla 3</w:t>
      </w:r>
    </w:p>
    <w:p>
      <w:pPr>
        <w:keepNext/>
        <w:spacing w:after="0" w:before="0" w:line="360" w:lineRule="auto"/>
      </w:pPr>
      <w:r>
        <w:rPr>
          <w:rFonts w:ascii="Arial" w:cs="Arial" w:eastAsia="Arial" w:hAnsi="Arial"/>
          <w:i/>
          <w:iCs/>
          <w:sz w:val="24"/>
          <w:szCs w:val="24"/>
        </w:rPr>
        <w:t xml:space="preserve">Normatividad y políticas de México revisadas y su aplicabilidad al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038"/>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Instrumento</w:t>
            </w:r>
          </w:p>
        </w:tc>
        <w:tc>
          <w:tcPr>
            <w:tcW w:type="dxa" w:w="3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Tipo y estatus a octubre de 2026</w:t>
            </w:r>
          </w:p>
        </w:tc>
        <w:tc>
          <w:tcPr>
            <w:tcW w:type="dxa" w:w="30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Aplicabilidad al CIESS y actividades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Constitución Política de los Estados Unidos Mexicanos (CPEUM, 1917), arts. 1, 6 y 16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 vigente.</w:t>
            </w:r>
            <w:r>
              <w:rPr>
                <w:rFonts w:ascii="Arial" w:cs="Arial" w:eastAsia="Arial" w:hAnsi="Arial"/>
                <w:sz w:val="18"/>
                <w:szCs w:val="18"/>
              </w:rPr>
              <w:t xml:space="preserve"> Reconoce el derecho a la protección de datos personales y a los derechos de acceso, rectificación, cancelación y oposición (ARCO) (art. 16, párr. 2) y da rango constitucional a los derechos humanos de los tratados internacionales (art. 1).</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Obliga al Estado y funda las leyes que se aplican; en el CIESS es el principio de referencia para todas las actividades.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Ley Federal de Protección de Datos Personales en Posesión de los Particulares (LFPDPPP, 2025)</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 vigente.</w:t>
            </w:r>
            <w:r>
              <w:rPr>
                <w:rFonts w:ascii="Arial" w:cs="Arial" w:eastAsia="Arial" w:hAnsi="Arial"/>
                <w:sz w:val="18"/>
                <w:szCs w:val="18"/>
              </w:rPr>
              <w:t xml:space="preserve"> Publicada en el Diario Oficial de la Federación (DOF) el 20 mar. 2025, en vigor desde el 21 mar. 2025; última reforma, 14 nov. 2025.</w:t>
            </w:r>
          </w:p>
          <w:p>
            <w:pPr>
              <w:keepNext w:val="false"/>
              <w:spacing w:after="40" w:before="40" w:line="240" w:lineRule="auto"/>
              <w:jc w:val="left"/>
            </w:pPr>
            <w:r>
              <w:rPr>
                <w:rFonts w:ascii="Arial" w:cs="Arial" w:eastAsia="Arial" w:hAnsi="Arial"/>
                <w:sz w:val="18"/>
                <w:szCs w:val="18"/>
              </w:rPr>
              <w:t xml:space="preserve">Autoridad: la Secretaría Anticorrupción y Buen Gobierno, que asumió las funciones del Instituto Nacional de Transparencia, Acceso a la Información y Protección de Datos Personales (INAI).</w:t>
            </w:r>
          </w:p>
          <w:p>
            <w:pPr>
              <w:keepNext w:val="false"/>
              <w:spacing w:after="40" w:before="40" w:line="240" w:lineRule="auto"/>
              <w:jc w:val="left"/>
            </w:pPr>
            <w:r>
              <w:rPr>
                <w:rFonts w:ascii="Arial" w:cs="Arial" w:eastAsia="Arial" w:hAnsi="Arial"/>
                <w:sz w:val="18"/>
                <w:szCs w:val="18"/>
              </w:rPr>
              <w:t xml:space="preserve">Contenido: principios (art. 5), consentimiento (arts. 7 y 8), aviso de privacidad (arts. 14 a 16), seguridad y vulneraciones (arts. 18 y 19), derechos ARCO (arts. 21 a 34), oposición al tratamiento automatizado (art. 26, fr. II) y transferencias (arts. 35 y 36).</w:t>
            </w:r>
          </w:p>
          <w:p>
            <w:pPr>
              <w:keepNext w:val="false"/>
              <w:spacing w:after="40" w:before="40" w:line="240" w:lineRule="auto"/>
              <w:jc w:val="left"/>
            </w:pPr>
            <w:r>
              <w:rPr>
                <w:rFonts w:ascii="Arial" w:cs="Arial" w:eastAsia="Arial" w:hAnsi="Arial"/>
                <w:sz w:val="18"/>
                <w:szCs w:val="18"/>
              </w:rPr>
              <w:t xml:space="preserve">Sanciones: multas de 100 a 160,000 Unidades de Medida y Actualización (UMA) por las infracciones de las fracciones II a VII del art. 58 y de 200 a 320,000 UMA por las de las fracciones VIII a XVIII, con multa adicional por reiteración y hasta el doble si hay datos sensibles (art. 59); además, delitos con prisión (arts. 62 a 64).</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el CIESS (apartado 1); </w:t>
            </w:r>
            <w:r>
              <w:rPr>
                <w:rFonts w:ascii="Arial" w:cs="Arial" w:eastAsia="Arial" w:hAnsi="Arial"/>
                <w:b/>
                <w:bCs/>
                <w:sz w:val="18"/>
                <w:szCs w:val="18"/>
              </w:rPr>
              <w:t xml:space="preserve">directa</w:t>
            </w:r>
            <w:r>
              <w:rPr>
                <w:rFonts w:ascii="Arial" w:cs="Arial" w:eastAsia="Arial" w:hAnsi="Arial"/>
                <w:sz w:val="18"/>
                <w:szCs w:val="18"/>
              </w:rPr>
              <w:t xml:space="preserve"> para sus proveedores privados. Aplica a las actividades A1 a A12, A14 a A18 y a los sistemas S1 a S3 cuando haya datos personales.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Ley General de Protección de Datos Personales en Posesión de Sujetos Obligados (LGPDPPSO, 2025)</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 vigente</w:t>
            </w:r>
            <w:r>
              <w:rPr>
                <w:rFonts w:ascii="Arial" w:cs="Arial" w:eastAsia="Arial" w:hAnsi="Arial"/>
                <w:sz w:val="18"/>
                <w:szCs w:val="18"/>
              </w:rPr>
              <w:t xml:space="preserve"> (DOF 20 mar. 2025). Rige el tratamiento de datos en el sector público y sustituyó a la ley de 2017.</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Salvo que la opinión jurídica (recomendación 1) indique lo contrario, el CIESS no es sujeto obligado del Estado mexicano; sirve de contraste y de referencia para las instituciones públicas miembro (A9, A11).</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Convenio 108 del Consejo de Europa (Consejo de Europa, 1981)</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Tratado vigente para México</w:t>
            </w:r>
            <w:r>
              <w:rPr>
                <w:rFonts w:ascii="Arial" w:cs="Arial" w:eastAsia="Arial" w:hAnsi="Arial"/>
                <w:sz w:val="18"/>
                <w:szCs w:val="18"/>
              </w:rPr>
              <w:t xml:space="preserve"> desde 2018. Obliga al Estado a proteger los datos personales en su tratamiento automatizado; la LFPDPPP admite las transferencias previstas en tratados (art. 36, fr. I).</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no obliga al CIESS; respalda el estándar de protección que adopte (A1 a A18).</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Ley Federal del Derecho de Autor (LFDA, 1996), con la reforma de mayo de 2026</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 vigente.</w:t>
            </w:r>
            <w:r>
              <w:rPr>
                <w:rFonts w:ascii="Arial" w:cs="Arial" w:eastAsia="Arial" w:hAnsi="Arial"/>
                <w:sz w:val="18"/>
                <w:szCs w:val="18"/>
              </w:rPr>
              <w:t xml:space="preserve"> Los derechos patrimoniales de un programa de cómputo creado por empleados en el ejercicio de sus funciones o por instrucciones del empleador corresponden a este, salvo pacto en contrario (art. 103); para las demás obras de la relación laboral rigen los arts. 83 y 84. El decreto del DOF del 14 may. 2026 reformó la LFDA y la Ley Federal del Trabajo para exigir acuerdo previo y por escrito, y remuneración pactada, en la clonación de voz o imagen de artistas intérpretes con IA (Basham, 2026).</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A3 y A13 (titularidad del software, si media una relación laboral regida por la ley mexicana y el desarrollo está dentro de las funciones del puesto); A7, A10 y A11 (obras de terceros y de personas investigadoras); la reforma de 2026 aplicaría si se contratara o clonara la voz o imagen de personas dedicadas a la locución o la actuación.</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Amparo directo 6/2025 de la Suprema Corte de Justicia de la Nación (SCJN, 2025)</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Criterio judicial.</w:t>
            </w:r>
            <w:r>
              <w:rPr>
                <w:rFonts w:ascii="Arial" w:cs="Arial" w:eastAsia="Arial" w:hAnsi="Arial"/>
                <w:sz w:val="18"/>
                <w:szCs w:val="18"/>
              </w:rPr>
              <w:t xml:space="preserve"> La Segunda Sala resolvió en julio de 2025 que solo las personas físicas pueden ser autoras: una herramienta de IA no puede ser titular de derechos morales sobre una obra. Su efecto más allá de las partes del caso está por confirmar.</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Orienta A7 y A13: lo generado por IA sin aportación humana creativa no es registrable a nombre de la herramienta.</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Código Penal Federal (CPF, 1931), arts. 211 Bis 1 y siguientes y 199 Octies; Ley General de Acceso de las Mujeres a una Vida Libre de Violencia (LGAMVLV, 2007), art. 20 Quáter</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Leyes vigentes.</w:t>
            </w:r>
            <w:r>
              <w:rPr>
                <w:rFonts w:ascii="Arial" w:cs="Arial" w:eastAsia="Arial" w:hAnsi="Arial"/>
                <w:sz w:val="18"/>
                <w:szCs w:val="18"/>
              </w:rPr>
              <w:t xml:space="preserve"> El CPF sanciona el acceso ilícito a sistemas y equipos de informática y la violación a la intimidad sexual (art. 199 Octies, incorporado por las reformas de 2021 conocidas como Ley Olimpia); la LGAMVLV define la violencia digital, que alcanza contenido íntimo real o simulado. La mención expresa de los </w:t>
            </w:r>
            <w:r>
              <w:rPr>
                <w:rFonts w:ascii="Arial" w:cs="Arial" w:eastAsia="Arial" w:hAnsi="Arial"/>
                <w:i/>
                <w:iCs/>
                <w:sz w:val="18"/>
                <w:szCs w:val="18"/>
              </w:rPr>
              <w:t xml:space="preserve">deepfakes</w:t>
            </w:r>
            <w:r>
              <w:rPr>
                <w:rFonts w:ascii="Arial" w:cs="Arial" w:eastAsia="Arial" w:hAnsi="Arial"/>
                <w:sz w:val="18"/>
                <w:szCs w:val="18"/>
              </w:rPr>
              <w:t xml:space="preserve"> con IA está en iniciativas y dictámenes, no en ley vigente.</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No aplica como obligación.</w:t>
            </w:r>
            <w:r>
              <w:rPr>
                <w:rFonts w:ascii="Arial" w:cs="Arial" w:eastAsia="Arial" w:hAnsi="Arial"/>
                <w:sz w:val="18"/>
                <w:szCs w:val="18"/>
              </w:rPr>
              <w:t xml:space="preserve"> Respaldan la denuncia de intrusiones en A3, A4, A8 y A13 y justifican un protocolo de reporte y retiro de contenido íntimo en A7 y A12.</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Iniciativa de Ley Federal para el Desarrollo Ético, Soberano e Inclusivo de la Inteligencia Artificial (GP MORENA y PVEM, 2025)</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Iniciativa.</w:t>
            </w:r>
            <w:r>
              <w:rPr>
                <w:rFonts w:ascii="Arial" w:cs="Arial" w:eastAsia="Arial" w:hAnsi="Arial"/>
                <w:sz w:val="18"/>
                <w:szCs w:val="18"/>
              </w:rPr>
              <w:t xml:space="preserve"> Presentada por diputadas y diputados de MORENA y del Partido Verde y publicada en la Gaceta Parlamentaria el 30 abr. 2025; hasta donde pude verificar, sin dictamen ni publicación en el DOF.</w:t>
            </w:r>
          </w:p>
          <w:p>
            <w:pPr>
              <w:keepNext w:val="false"/>
              <w:spacing w:after="40" w:before="40" w:line="240" w:lineRule="auto"/>
              <w:jc w:val="left"/>
            </w:pPr>
            <w:r>
              <w:rPr>
                <w:rFonts w:ascii="Arial" w:cs="Arial" w:eastAsia="Arial" w:hAnsi="Arial"/>
                <w:sz w:val="18"/>
                <w:szCs w:val="18"/>
              </w:rPr>
              <w:t xml:space="preserve">Propone un semáforo de cuatro niveles —mínimo, limitado, alto y prohibido— (art. 31), más de veinte principios rectores (art. 6), obligaciones mínimas para todo sistema (art. 35), evaluación de impacto y registro para el alto riesgo (art. 37), derechos de las personas usuarias (art. 44), obligaciones reforzadas en sectores como la educación (art. 51) y multas que superan las 100,000 UMA en infracciones muy graves (art. 132).</w:t>
            </w:r>
          </w:p>
          <w:p>
            <w:pPr>
              <w:keepNext w:val="false"/>
              <w:spacing w:after="40" w:before="40" w:line="240" w:lineRule="auto"/>
              <w:jc w:val="left"/>
            </w:pPr>
            <w:r>
              <w:rPr>
                <w:rFonts w:ascii="Arial" w:cs="Arial" w:eastAsia="Arial" w:hAnsi="Arial"/>
                <w:sz w:val="18"/>
                <w:szCs w:val="18"/>
              </w:rPr>
              <w:t xml:space="preserve">Alcanzaría a personas físicas o morales, públicas o privadas, nacionales o extranjeras, cuyos sistemas operen en territorio nacional o afecten a personas mexicanas (art. 3).</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Iniciativa (no obliga hoy).</w:t>
            </w:r>
            <w:r>
              <w:rPr>
                <w:rFonts w:ascii="Arial" w:cs="Arial" w:eastAsia="Arial" w:hAnsi="Arial"/>
                <w:sz w:val="18"/>
                <w:szCs w:val="18"/>
              </w:rPr>
              <w:t xml:space="preserve"> Es referencia prospectiva: S2 sería probablemente de riesgo limitado y S1, de riesgo mínimo; una IA que decidiera admisiones, becas o calificaciones sería probablemente de alto riesgo, pues la educación es un sector sensible (arts. 32, fr. IV, 51 y 107).</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Otras propuestas de ley sobre IA en el Senado y la Cámara de Diputados, 2025-2026</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Iniciativas</w:t>
            </w:r>
            <w:r>
              <w:rPr>
                <w:rFonts w:ascii="Arial" w:cs="Arial" w:eastAsia="Arial" w:hAnsi="Arial"/>
                <w:sz w:val="18"/>
                <w:szCs w:val="18"/>
              </w:rPr>
              <w:t xml:space="preserve"> sin aprobación al 11 oct. 2026, según prensa especializada y no contrastadas con el texto oficial (ITSitio, 2026): un proyecto de ley general del Senado, propuestas de otros grupos parlamentarios, reformas para facultar al Congreso a legislar en IA y una minuta del Código Penal Federal sobre contenido íntimo con IA, aprobada por Diputados y pendiente en el Senado.</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Iniciativa (no obliga).</w:t>
            </w:r>
            <w:r>
              <w:rPr>
                <w:rFonts w:ascii="Arial" w:cs="Arial" w:eastAsia="Arial" w:hAnsi="Arial"/>
                <w:sz w:val="18"/>
                <w:szCs w:val="18"/>
              </w:rPr>
              <w:t xml:space="preserve"> Conviene vigilar que se fusionen y las reformas que darían facultad al Congreso para legislar en IA (recomendación 10).</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Agenda Nacional Mexicana de Inteligencia Artificial (Coalición IA2030Mx, 2020)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Propuesta no vinculante</w:t>
            </w:r>
            <w:r>
              <w:rPr>
                <w:rFonts w:ascii="Arial" w:cs="Arial" w:eastAsia="Arial" w:hAnsi="Arial"/>
                <w:sz w:val="18"/>
                <w:szCs w:val="18"/>
              </w:rPr>
              <w:t xml:space="preserve"> de una coalición multisectorial, no política del Estado, orientada a investigación, educación, gobernanza e inclusión.</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Orienta la formación y la investigación del CIESS en IA (A1, A11); no genera obligaciones.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Estrategia Nacional de Ciberseguridad (Gobierno de la República, 2017)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Política pública</w:t>
            </w:r>
            <w:r>
              <w:rPr>
                <w:rFonts w:ascii="Arial" w:cs="Arial" w:eastAsia="Arial" w:hAnsi="Arial"/>
                <w:sz w:val="18"/>
                <w:szCs w:val="18"/>
              </w:rPr>
              <w:t xml:space="preserve"> de la administración 2012-2018, sin fuerza de ley, con cinco objetivos, ocho ejes transversales y tres principios rectores, entre ellos la perspectiva de derechos humanos y el enfoque de gestión de riesgos. No localicé una estrategia sucesora de igual rango; los instrumentos recientes sobre ciberseguridad que conozco se dirigen a la Administración Pública Federal y no obligan al CIESS.</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la seguridad de A3, A4, A6 y A8.</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Recomendaciones para el tratamiento de datos personales derivado del uso de la inteligencia artificial (INAI, 2022)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Recomendación no vinculante,</w:t>
            </w:r>
            <w:r>
              <w:rPr>
                <w:rFonts w:ascii="Arial" w:cs="Arial" w:eastAsia="Arial" w:hAnsi="Arial"/>
                <w:sz w:val="18"/>
                <w:szCs w:val="18"/>
              </w:rPr>
              <w:t xml:space="preserve"> emitida por el INAI, que se extinguió con la reforma constitucional de simplificación orgánica de 2024. Propone una tabla de recomendaciones por cada principio de la ley y listas de verificación para responsables.</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A13 y A14: su obligatoriedad deriva de la LFPDPPP (arts. 5 y 26, fr. II), no del documento.</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Principios de Chapultepec: declaración de ética y buenas prácticas para la IA (Secretaría de Ciencia, Humanidades, Tecnología e Innovación [SECIHTI] y Agencia de Transformación Digital y Telecomunicaciones [ATDT], 2026)</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Declaración orientadora no vinculante,</w:t>
            </w:r>
            <w:r>
              <w:rPr>
                <w:rFonts w:ascii="Arial" w:cs="Arial" w:eastAsia="Arial" w:hAnsi="Arial"/>
                <w:sz w:val="18"/>
                <w:szCs w:val="18"/>
              </w:rPr>
              <w:t xml:space="preserve"> presentada por la SECIHTI junto con la ATDT el 29 ene. 2026; propone diez principios para diseñar, implementar y evaluar sistemas de IA.</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S1 a S3: responsabilidad humana de las decisiones y explicabilidad.</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Los textos de la LFPDPPP y de la iniciativa de 2025 los verifiqué directamente; el decreto de mayo de 2026 (Basham, 2026) y el estatus de las demás propuestas (ITSitio, 2026), en fuentes especializadas. † Instrumento presentado en las Lecciones.</w:t>
      </w:r>
    </w:p>
    <w:p>
      <w:pPr>
        <w:pStyle w:val="Heading3"/>
        <w:keepNext/>
        <w:spacing w:after="0" w:before="0" w:line="360" w:lineRule="auto"/>
        <w:jc w:val="left"/>
      </w:pPr>
      <w:r>
        <w:rPr>
          <w:rFonts w:ascii="Arial" w:cs="Arial" w:eastAsia="Arial" w:hAnsi="Arial"/>
          <w:b/>
          <w:bCs/>
          <w:i/>
          <w:iCs/>
          <w:color w:val="000000"/>
          <w:sz w:val="24"/>
          <w:szCs w:val="24"/>
        </w:rPr>
        <w:t xml:space="preserve">3.2 Normatividad y políticas internacionales</w:t>
      </w:r>
    </w:p>
    <w:p>
      <w:pPr>
        <w:spacing w:after="0" w:before="0" w:line="360" w:lineRule="auto"/>
        <w:ind w:firstLine="720"/>
        <w:jc w:val="both"/>
      </w:pPr>
      <w:r>
        <w:rPr>
          <w:rFonts w:ascii="Arial" w:cs="Arial" w:eastAsia="Arial" w:hAnsi="Arial"/>
          <w:sz w:val="24"/>
          <w:szCs w:val="24"/>
        </w:rPr>
        <w:t xml:space="preserve">Las personas participantes y los proveedores del CIESS están en decenas de países, de modo que para las interacciones internacionales conviene conocer tanto la reglamentación de cada país como la de los organismos a los que pertenecen. La Tabla 4 reúne los instrumentos que consideré, incluidos los de las Lecciones, con el estatus que pude constatar al 11 de octubre de 2026.</w:t>
      </w:r>
    </w:p>
    <w:p>
      <w:pPr>
        <w:keepNext/>
        <w:spacing w:after="0" w:before="0" w:line="360" w:lineRule="auto"/>
      </w:pPr>
      <w:r>
        <w:rPr>
          <w:rFonts w:ascii="Arial" w:cs="Arial" w:eastAsia="Arial" w:hAnsi="Arial"/>
          <w:b/>
          <w:bCs/>
          <w:sz w:val="24"/>
          <w:szCs w:val="24"/>
        </w:rPr>
        <w:t xml:space="preserve">Tabla 4</w:t>
      </w:r>
    </w:p>
    <w:p>
      <w:pPr>
        <w:keepNext/>
        <w:spacing w:after="0" w:before="0" w:line="360" w:lineRule="auto"/>
      </w:pPr>
      <w:r>
        <w:rPr>
          <w:rFonts w:ascii="Arial" w:cs="Arial" w:eastAsia="Arial" w:hAnsi="Arial"/>
          <w:i/>
          <w:iCs/>
          <w:sz w:val="24"/>
          <w:szCs w:val="24"/>
        </w:rPr>
        <w:t xml:space="preserve">Normatividad y políticas internacionales revisadas y su aplicabilidad al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038"/>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Instrumento</w:t>
            </w:r>
          </w:p>
        </w:tc>
        <w:tc>
          <w:tcPr>
            <w:tcW w:type="dxa" w:w="3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Tipo y estatus a octubre de 2026</w:t>
            </w:r>
          </w:p>
        </w:tc>
        <w:tc>
          <w:tcPr>
            <w:tcW w:type="dxa" w:w="30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Aplicabilidad al CIESS y actividades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Reglamento (UE) 2024/1689, Reglamento de IA de la UE (Parlamento Europeo y Consejo de la Unión Europea [PE y CUE], 2024) †, y Reglamento (UE) 2026/1744, Ómnibus digital sobre IA (PE y CUE, 2026)</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Reglamento vigente de la UE.</w:t>
            </w:r>
            <w:r>
              <w:rPr>
                <w:rFonts w:ascii="Arial" w:cs="Arial" w:eastAsia="Arial" w:hAnsi="Arial"/>
                <w:sz w:val="18"/>
                <w:szCs w:val="18"/>
              </w:rPr>
              <w:t xml:space="preserve"> En vigor desde el 1 ago. 2024: prohibiciones desde el 2 feb. 2025 y modelos de uso general desde el 2 ago. 2025. El Ómnibus, publicado el 24 jul. 2026, aplazó las obligaciones de alto riesgo al 2 dic. 2027 (sistemas del anexo III, que incluye la educación) y al 2 ago. 2028 (productos regulados). La transparencia del art. 50 aplica desde el 2 ago. 2026, con gracia hasta el 2 dic. 2026 para el marcado del contenido sintético.</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Alcanza a proveedores y responsables del despliegue de terceros países cuando los resultados del sistema se usan en la UE (art. 2). Para S2 y A7, si atienden o publican para personas en la UE; el alto riesgo importaría si una IA decidiera becas o admisiones.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Reglamento (UE) 2016/679, Reglamento general de protección de datos (RGPD) (PE y CUE, 2016)</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Reglamento vigente de la UE,</w:t>
            </w:r>
            <w:r>
              <w:rPr>
                <w:rFonts w:ascii="Arial" w:cs="Arial" w:eastAsia="Arial" w:hAnsi="Arial"/>
                <w:sz w:val="18"/>
                <w:szCs w:val="18"/>
              </w:rPr>
              <w:t xml:space="preserve"> aplicable desde el 25 may. 2018. Se aplica a quien ofrece servicios a personas en la UE aunque no esté establecido allí (art. 3, apdo. 2); regula las decisiones automatizadas (art. 22), a las personas encargadas (art. 28) y las transferencias a terceros países (cap. V).</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participantes de la UE en A1, A2, A4 y A12. El aviso del congreso ya lo contempla; falta extenderlo a los demás canales.</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Recomendación sobre la ética de la IA (Organización de las Naciones Unidas para la Educación, la Ciencia y la Cultura [UNESCO], 2022)</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Recomendación no vinculante,</w:t>
            </w:r>
            <w:r>
              <w:rPr>
                <w:rFonts w:ascii="Arial" w:cs="Arial" w:eastAsia="Arial" w:hAnsi="Arial"/>
                <w:sz w:val="18"/>
                <w:szCs w:val="18"/>
              </w:rPr>
              <w:t xml:space="preserve"> adoptada en noviembre de 2021 (edición en español de 2022); México es Estado miembro. Establece principios de proporcionalidad, privacidad, supervisión humana, transparencia y responsabilidad atribuible siempre a personas.</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la política de uso de IA del CIESS (S1 a S3).</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Recomendación del Consejo sobre IA (Organisation for Economic Co-operation and Development [OECD], 2024)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Instrumento no vinculante,</w:t>
            </w:r>
            <w:r>
              <w:rPr>
                <w:rFonts w:ascii="Arial" w:cs="Arial" w:eastAsia="Arial" w:hAnsi="Arial"/>
                <w:sz w:val="18"/>
                <w:szCs w:val="18"/>
              </w:rPr>
              <w:t xml:space="preserve"> adoptado en 2019 y enmendado el 3 may. 2024; México es país adherente. Principios de crecimiento inclusivo, derechos humanos, transparencia, robustez y gestión de riesgos.</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evaluar riesgos y rendición de cuentas (A13 a A15).</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Familia ISO/IEC †: 42001:2023 (Organización Internacional de Normalización [ISO], 2023b), 22989:2022 (ISO, 2022a), 23894:2023 (ISO, 2023a), 42005:2025 (ISO, 2025a), 42006:2025 (ISO, 2025b) e ISO/IEC 27001:2022 (ISO, 2022b)</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Estándares voluntarios.</w:t>
            </w:r>
            <w:r>
              <w:rPr>
                <w:rFonts w:ascii="Arial" w:cs="Arial" w:eastAsia="Arial" w:hAnsi="Arial"/>
                <w:sz w:val="18"/>
                <w:szCs w:val="18"/>
              </w:rPr>
              <w:t xml:space="preserve"> La 42001 especifica un sistema de gestión de IA con ciclo planificar-hacer-verificar-actuar; la 22989 define conceptos y terminología; la 23894 orienta la gestión de riesgos; la 42005 guía la evaluación del impacto de los sistemas de IA; la 42006 fija requisitos para quienes auditan y certifican; la 27001 cubre la seguridad de la información. No obligan salvo por contrato o certificación.</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para inventariar, evaluar y gobernar S1 a S3 y proteger los datos de todas las actividades; la 42006 solo importaría si el CIESS buscara certificarse.</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Lei nº 13.709/2018, Ley General de Protección de Datos de Brasil (LGPD) (Presidência da República, 2018), y Proyecto de Ley (PL) 2338/2023 † (Pacheco, 2023)</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LGPD: ley vigente.</w:t>
            </w:r>
            <w:r>
              <w:rPr>
                <w:rFonts w:ascii="Arial" w:cs="Arial" w:eastAsia="Arial" w:hAnsi="Arial"/>
                <w:sz w:val="18"/>
                <w:szCs w:val="18"/>
              </w:rPr>
              <w:t xml:space="preserve"> Regula el tratamiento de datos de personas en Brasil (art. 3), reconoce derechos (art. 18), la revisión de decisiones automatizadas (art. 20) y regula las transferencias internacionales (arts. 33 a 36). </w:t>
            </w:r>
            <w:r>
              <w:rPr>
                <w:rFonts w:ascii="Arial" w:cs="Arial" w:eastAsia="Arial" w:hAnsi="Arial"/>
                <w:b/>
                <w:bCs/>
                <w:sz w:val="18"/>
                <w:szCs w:val="18"/>
              </w:rPr>
              <w:t xml:space="preserve">PL 2338/2023: proyecto</w:t>
            </w:r>
            <w:r>
              <w:rPr>
                <w:rFonts w:ascii="Arial" w:cs="Arial" w:eastAsia="Arial" w:hAnsi="Arial"/>
                <w:sz w:val="18"/>
                <w:szCs w:val="18"/>
              </w:rPr>
              <w:t xml:space="preserve"> aprobado por el Senado en dic. 2024 y pendiente en la Cámara de Diputados, hasta donde pude verificar. Las Lecciones mencionan además la Estrategia Brasileña de IA, política pública no vinculante.</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LGPD, condicionada:</w:t>
            </w:r>
            <w:r>
              <w:rPr>
                <w:rFonts w:ascii="Arial" w:cs="Arial" w:eastAsia="Arial" w:hAnsi="Arial"/>
                <w:sz w:val="18"/>
                <w:szCs w:val="18"/>
              </w:rPr>
              <w:t xml:space="preserve"> participantes de Brasil (A2, A4), ya contemplada en el aviso del congreso. </w:t>
            </w:r>
            <w:r>
              <w:rPr>
                <w:rFonts w:ascii="Arial" w:cs="Arial" w:eastAsia="Arial" w:hAnsi="Arial"/>
                <w:b/>
                <w:bCs/>
                <w:sz w:val="18"/>
                <w:szCs w:val="18"/>
              </w:rPr>
              <w:t xml:space="preserve">El proyecto no obliga (iniciativa).</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Canadá: </w:t>
            </w:r>
            <w:r>
              <w:rPr>
                <w:rFonts w:ascii="Arial" w:cs="Arial" w:eastAsia="Arial" w:hAnsi="Arial"/>
                <w:i/>
                <w:iCs/>
                <w:sz w:val="18"/>
                <w:szCs w:val="18"/>
              </w:rPr>
              <w:t xml:space="preserve">Personal Information Protection and Electronic Documents Act</w:t>
            </w:r>
            <w:r>
              <w:rPr>
                <w:rFonts w:ascii="Arial" w:cs="Arial" w:eastAsia="Arial" w:hAnsi="Arial"/>
                <w:sz w:val="18"/>
                <w:szCs w:val="18"/>
              </w:rPr>
              <w:t xml:space="preserve"> (PIPEDA) (Government of Canada, 2000) y Bill C-27 † con la Ley de IA y Datos (Parliament of Canada, 2022)</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La ley de datos vigente es la PIPEDA.</w:t>
            </w:r>
            <w:r>
              <w:rPr>
                <w:rFonts w:ascii="Arial" w:cs="Arial" w:eastAsia="Arial" w:hAnsi="Arial"/>
                <w:sz w:val="18"/>
                <w:szCs w:val="18"/>
              </w:rPr>
              <w:t xml:space="preserve"> El C-27 caducó cuando el Parlamento fue suspendido (</w:t>
            </w:r>
            <w:r>
              <w:rPr>
                <w:rFonts w:ascii="Arial" w:cs="Arial" w:eastAsia="Arial" w:hAnsi="Arial"/>
                <w:i/>
                <w:iCs/>
                <w:sz w:val="18"/>
                <w:szCs w:val="18"/>
              </w:rPr>
              <w:t xml:space="preserve">prorogation</w:t>
            </w:r>
            <w:r>
              <w:rPr>
                <w:rFonts w:ascii="Arial" w:cs="Arial" w:eastAsia="Arial" w:hAnsi="Arial"/>
                <w:sz w:val="18"/>
                <w:szCs w:val="18"/>
              </w:rPr>
              <w:t xml:space="preserve">) el 6 ene. 2025 y la ley de IA nunca se aprobó (</w:t>
            </w:r>
            <w:r>
              <w:rPr>
                <w:rFonts w:ascii="Arial" w:cs="Arial" w:eastAsia="Arial" w:hAnsi="Arial"/>
                <w:b/>
                <w:bCs/>
                <w:sz w:val="18"/>
                <w:szCs w:val="18"/>
              </w:rPr>
              <w:t xml:space="preserve">proyecto caducado</w:t>
            </w:r>
            <w:r>
              <w:rPr>
                <w:rFonts w:ascii="Arial" w:cs="Arial" w:eastAsia="Arial" w:hAnsi="Arial"/>
                <w:sz w:val="18"/>
                <w:szCs w:val="18"/>
              </w:rPr>
              <w:t xml:space="preserve">).</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PIPEDA, condicionada:</w:t>
            </w:r>
            <w:r>
              <w:rPr>
                <w:rFonts w:ascii="Arial" w:cs="Arial" w:eastAsia="Arial" w:hAnsi="Arial"/>
                <w:sz w:val="18"/>
                <w:szCs w:val="18"/>
              </w:rPr>
              <w:t xml:space="preserve"> participantes de Canadá (A2, A4). </w:t>
            </w:r>
            <w:r>
              <w:rPr>
                <w:rFonts w:ascii="Arial" w:cs="Arial" w:eastAsia="Arial" w:hAnsi="Arial"/>
                <w:b/>
                <w:bCs/>
                <w:sz w:val="18"/>
                <w:szCs w:val="18"/>
              </w:rPr>
              <w:t xml:space="preserve">El C-27 no aplica;</w:t>
            </w:r>
            <w:r>
              <w:rPr>
                <w:rFonts w:ascii="Arial" w:cs="Arial" w:eastAsia="Arial" w:hAnsi="Arial"/>
                <w:sz w:val="18"/>
                <w:szCs w:val="18"/>
              </w:rPr>
              <w:t xml:space="preserve"> las Lecciones lo presentan como modelo y hoy solo ilustra lo volátil de la regulación de IA.</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Estados Unidos: Orden Ejecutiva (OE) 14110 (The White House, 2023)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Revocada</w:t>
            </w:r>
            <w:r>
              <w:rPr>
                <w:rFonts w:ascii="Arial" w:cs="Arial" w:eastAsia="Arial" w:hAnsi="Arial"/>
                <w:sz w:val="18"/>
                <w:szCs w:val="18"/>
              </w:rPr>
              <w:t xml:space="preserve"> el 20 ene. 2025 por la OE 14148; la política federal parte hoy de la OE 14179, que vincula a las agencias y no a los particulares (Hunton Andrews Kurth, 2025). No hay ley federal general de IA.</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No aplica.</w:t>
            </w:r>
            <w:r>
              <w:rPr>
                <w:rFonts w:ascii="Arial" w:cs="Arial" w:eastAsia="Arial" w:hAnsi="Arial"/>
                <w:sz w:val="18"/>
                <w:szCs w:val="18"/>
              </w:rPr>
              <w:t xml:space="preserve"> Las Lecciones la presentan como modelo.</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Reino Unido (Department for Science, Innovation and Technology [DSIT], 2023), China (Oficina Estatal de Información de Internet de la República Popular China, 2023) e Israel (Ministry of Innovation, Science and Technology, 2023) †</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Reino Unido:</w:t>
            </w:r>
            <w:r>
              <w:rPr>
                <w:rFonts w:ascii="Arial" w:cs="Arial" w:eastAsia="Arial" w:hAnsi="Arial"/>
                <w:sz w:val="18"/>
                <w:szCs w:val="18"/>
              </w:rPr>
              <w:t xml:space="preserve"> política pública pro-innovación sin ley marco, hasta donde pude verificar, que usa a los reguladores sectoriales. </w:t>
            </w:r>
            <w:r>
              <w:rPr>
                <w:rFonts w:ascii="Arial" w:cs="Arial" w:eastAsia="Arial" w:hAnsi="Arial"/>
                <w:b/>
                <w:bCs/>
                <w:sz w:val="18"/>
                <w:szCs w:val="18"/>
              </w:rPr>
              <w:t xml:space="preserve">China:</w:t>
            </w:r>
            <w:r>
              <w:rPr>
                <w:rFonts w:ascii="Arial" w:cs="Arial" w:eastAsia="Arial" w:hAnsi="Arial"/>
                <w:sz w:val="18"/>
                <w:szCs w:val="18"/>
              </w:rPr>
              <w:t xml:space="preserve"> Medidas provisionales para los servicios de IA generativa, norma obligatoria vigente desde el 15 ago. 2023 para servicios ofrecidos al público en China. </w:t>
            </w:r>
            <w:r>
              <w:rPr>
                <w:rFonts w:ascii="Arial" w:cs="Arial" w:eastAsia="Arial" w:hAnsi="Arial"/>
                <w:b/>
                <w:bCs/>
                <w:sz w:val="18"/>
                <w:szCs w:val="18"/>
              </w:rPr>
              <w:t xml:space="preserve">Israel:</w:t>
            </w:r>
            <w:r>
              <w:rPr>
                <w:rFonts w:ascii="Arial" w:cs="Arial" w:eastAsia="Arial" w:hAnsi="Arial"/>
                <w:sz w:val="18"/>
                <w:szCs w:val="18"/>
              </w:rPr>
              <w:t xml:space="preserve"> política de dic. 2023, </w:t>
            </w:r>
            <w:r>
              <w:rPr>
                <w:rFonts w:ascii="Arial" w:cs="Arial" w:eastAsia="Arial" w:hAnsi="Arial"/>
                <w:i/>
                <w:iCs/>
                <w:sz w:val="18"/>
                <w:szCs w:val="18"/>
              </w:rPr>
              <w:t xml:space="preserve">soft law</w:t>
            </w:r>
            <w:r>
              <w:rPr>
                <w:rFonts w:ascii="Arial" w:cs="Arial" w:eastAsia="Arial" w:hAnsi="Arial"/>
                <w:sz w:val="18"/>
                <w:szCs w:val="18"/>
              </w:rPr>
              <w:t xml:space="preserve"> sectorial basada en riesgos.</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analogía o estándar</w:t>
            </w:r>
            <w:r>
              <w:rPr>
                <w:rFonts w:ascii="Arial" w:cs="Arial" w:eastAsia="Arial" w:hAnsi="Arial"/>
                <w:sz w:val="18"/>
                <w:szCs w:val="18"/>
              </w:rPr>
              <w:t xml:space="preserve"> (referencia comparada). Solo obligaría la norma china si el CIESS prestara servicios de IA generativa al público en ese país, lo que no es el caso.</w:t>
            </w:r>
          </w:p>
        </w:tc>
      </w:tr>
      <w:tr>
        <w:trPr>
          <w:cantSplit w:val="false"/>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Argentina: Ley 25.326 (Congreso de la Nación Argentina, 2000). Colombia: Ley Estatutaria 1581 (Congreso de Colombia, 2012)</w:t>
            </w:r>
          </w:p>
        </w:tc>
        <w:tc>
          <w:tcPr>
            <w:tcW w:type="dxa" w:w="3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Leyes vigentes</w:t>
            </w:r>
            <w:r>
              <w:rPr>
                <w:rFonts w:ascii="Arial" w:cs="Arial" w:eastAsia="Arial" w:hAnsi="Arial"/>
                <w:sz w:val="18"/>
                <w:szCs w:val="18"/>
              </w:rPr>
              <w:t xml:space="preserve"> de protección de datos personales; ambas regulan el consentimiento, los derechos de las personas titulares y las transferencias internacionales. Otros países de las Américas tienen leyes propias (por ejemplo, Chile, Perú y Uruguay) que no analicé una por una.</w:t>
            </w:r>
          </w:p>
        </w:tc>
        <w:tc>
          <w:tcPr>
            <w:tcW w:type="dxa" w:w="30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personas participantes e instituciones de esos países (A2, A4, A5, A9, A11). Conviene mantener una tabla de leyes por país de origen.</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El estatus del Ómnibus de la UE proviene del texto publicado en el Diario Oficial de la Unión Europea; el del proyecto brasileño, del seguimiento legislativo público; y el de Reino Unido, China e Israel, de las Lecciones, sin contrastar el texto oficial. Conviene confirmar estos últimos antes de citarlos como definitivos. † Instrumento presentado en las Lecciones.</w:t>
      </w:r>
    </w:p>
    <w:p>
      <w:pPr>
        <w:pStyle w:val="Heading2"/>
        <w:keepNext/>
        <w:spacing w:after="0" w:before="0" w:line="360" w:lineRule="auto"/>
        <w:jc w:val="left"/>
      </w:pPr>
      <w:r>
        <w:rPr>
          <w:rFonts w:ascii="Arial" w:cs="Arial" w:eastAsia="Arial" w:hAnsi="Arial"/>
          <w:b/>
          <w:bCs/>
          <w:color w:val="000000"/>
          <w:sz w:val="24"/>
          <w:szCs w:val="24"/>
        </w:rPr>
        <w:t xml:space="preserve">4. Evaluación de la aplicabilidad</w:t>
      </w:r>
    </w:p>
    <w:p>
      <w:pPr>
        <w:spacing w:after="0" w:before="0" w:line="360" w:lineRule="auto"/>
        <w:ind w:firstLine="720"/>
        <w:jc w:val="both"/>
      </w:pPr>
      <w:r>
        <w:rPr>
          <w:rFonts w:ascii="Arial" w:cs="Arial" w:eastAsia="Arial" w:hAnsi="Arial"/>
          <w:sz w:val="24"/>
          <w:szCs w:val="24"/>
        </w:rPr>
        <w:t xml:space="preserve">La Tabla 5 cruza cada actividad con los instrumentos que le aplican y con la brecha que detecté. Los artículos citados corresponden a la LFPDPPP (2025) salvo que se indique otro instrumento. El RGPD, la LGPD, la PIPEDA y el Reglamento de IA de la UE aplican de forma condicionada, según la Tabla 4. Los instrumentos de referencia transversal (Constitución, Convenio 108, UNESCO, OECD, Principios de Chapultepec e INAI) aplican a S1 a S3 y no se repiten en cada fila.</w:t>
      </w:r>
    </w:p>
    <w:p>
      <w:pPr>
        <w:keepNext/>
        <w:spacing w:after="0" w:before="0" w:line="360" w:lineRule="auto"/>
      </w:pPr>
      <w:r>
        <w:rPr>
          <w:rFonts w:ascii="Arial" w:cs="Arial" w:eastAsia="Arial" w:hAnsi="Arial"/>
          <w:b/>
          <w:bCs/>
          <w:sz w:val="24"/>
          <w:szCs w:val="24"/>
        </w:rPr>
        <w:t xml:space="preserve">Tabla 5</w:t>
      </w:r>
    </w:p>
    <w:p>
      <w:pPr>
        <w:keepNext/>
        <w:spacing w:after="0" w:before="0" w:line="360" w:lineRule="auto"/>
      </w:pPr>
      <w:r>
        <w:rPr>
          <w:rFonts w:ascii="Arial" w:cs="Arial" w:eastAsia="Arial" w:hAnsi="Arial"/>
          <w:i/>
          <w:iCs/>
          <w:sz w:val="24"/>
          <w:szCs w:val="24"/>
        </w:rPr>
        <w:t xml:space="preserve">Instrumentos aplicables y brechas por actividad del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638"/>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Actividad</w:t>
            </w:r>
          </w:p>
        </w:tc>
        <w:tc>
          <w:tcPr>
            <w:tcW w:type="dxa" w:w="3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Instrumentos aplicables y forma de aplicación</w:t>
            </w:r>
          </w:p>
        </w:tc>
        <w:tc>
          <w:tcPr>
            <w:tcW w:type="dxa" w:w="36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Brecha o riesgo detectado</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 Formación</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aviso (arts. 14 a 16), consentimiento expreso y por escrito para datos sensibles (art. 8) y seguridad (art. 18); RGPD y LGPD si hay participantes de la UE o Brasil; IA2030Mx (2020) como referencia de formación en IA; iniciativa de 2025, arts. 51 y 107 (alto riesgo si se automatizara la evaluación).</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Datos sensibles (justificantes médicos, dietas) sin aviso específico en el sitio; no localicé información sobre la grabación de sesiones ni sobre su conservación.</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A2 Inscripción</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aviso, consentimiento, datos sensibles (art. 8), seguridad y transferencias a la institución postulante (arts. 35 y 36); RGPD, LGPD, PIPEDA y, según el país, las leyes de Argentina y Colombia.</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Las identificaciones y los CV llegan por correo y WhatsApp, canales sin aviso de privacidad ni los controles de un formulario (Navarrete Flores, 2026a).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A3 Acreditación</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calidad de los datos (art. 10) y seguridad (art. 18); LFDA (1996), art. 103 (software); CPF (1931), arts. 211 Bis 1 y ss. (protege los sistemas); Estrategia Nacional de Ciberseguridad (2017) como referencia; iniciativa de 2025, arts. 51 y 107, si se automatizara la certificación.</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Las constancias públicas con QR exponen datos personales sin criterios documentados de minimización, plazo de publicación y retiro; el sistema se desarrolló con apoyo de IA (A13).</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A4 Congresos</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datos sensibles (art. 8) y transferencias a hoteles y transporte (arts. 35 y 36); RGPD (art. 3, apdo. 2; art. 28); LGPD; PIPEDA; ISO/IEC 27001; CPF (1931), arts. 211 Bis 1 y ss.; Estrategia Nacional de Ciberseguridad (2017); leyes de Argentina y Colombia según los participantes.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El aviso del sistema de registro del congreso está pendiente de validación jurídica; cita el art. 8 como base del consentimiento general (corresponde al art. 7) y no nombra a la autoridad vigente.</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A5 Becas y gestión de docentes</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principios (art. 5), seguridad (art. 18) y persona o departamento de datos personales (art. 29); leyes de Argentina y Colombia según el país de la persona becaria.</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Bases en hojas de cálculo en la nube con datos de docentes y personas becarias, sin registro de personas encargadas; no localicé una persona o departamento de datos personales del CIESS (art. 29), pues la política de la CISS remite el ejercicio ARCO a su Secretaría General.</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A6 Sitio web</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aviso (arts. 14 a 16); RGPD si hay visitantes de la UE; ISO/IEC 27001; Estrategia Nacional de Ciberseguridad (2017).</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Sin aviso de privacidad propio en el sitio (remite al de la CISS); no localicé declaración de accesibilidad ni aviso de </w:t>
            </w:r>
            <w:r>
              <w:rPr>
                <w:rFonts w:ascii="Arial" w:cs="Arial" w:eastAsia="Arial" w:hAnsi="Arial"/>
                <w:i/>
                <w:iCs/>
                <w:sz w:val="18"/>
                <w:szCs w:val="18"/>
              </w:rPr>
              <w:t xml:space="preserve">cookies</w:t>
            </w:r>
            <w:r>
              <w:rPr>
                <w:rFonts w:ascii="Arial" w:cs="Arial" w:eastAsia="Arial" w:hAnsi="Arial"/>
                <w:sz w:val="18"/>
                <w:szCs w:val="18"/>
              </w:rPr>
              <w:t xml:space="preserve"> propio.</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A7 Producción editorial y multimedia</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arts. 5 y 7: la imagen y la voz de ponentes son datos personales; LFDA (1996): obras de terceros y reforma de 2026 para artistas intérpretes (Basham, 2026); LGAMVLV (2007) y CPF (1931) frente al contenido íntimo; Reglamento (UE) 2024/1689, art. 50, si el contenido llega a la UE.</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encontré criterio escrito sobre IA en textos, imágenes o voz ni sobre la autoría asistida por IA, lo que cobra importancia por el criterio de la SCJN (2025).</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A8 Tableros y reportes</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proporcionalidad (art. 12) y disociación (art. 2, fr. IX); ISO/IEC 27001; CPF (1931), arts. 211 Bis 1 y ss.; Estrategia Nacional de Ciberseguridad (2017) como referencia.</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Concentración de matrículas, pagos y becas en hojas de cálculo, con riesgo de accesos excesivos y copias.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A9 Directorio</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finalidad y consentimiento (arts. 5 y 7); LGPDPPSO (2025) solo como contraste para las instituciones públicas miembro; leyes de Argentina y Colombia según el país.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El directorio publica nombre, cargo, correo y fotografía de representantes (CIESS, s.f.-a); no localicé el aviso ni el consentimiento asociados.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A10 Biblioteca</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LFDA (1996): derechos de autor y limitaciones (art. 148); LFPDPPP (2025) si hay registro de personas usuarias.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Licencias y atribución de las obras de la biblioteca; no pude verificar si hay registro de personas usuarias.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A11 Investigación</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y, según el país, RGPD, LGPD o las leyes de Argentina y Colombia; LFDA (1996) para las obras de personas investigadoras; LGPDPPSO (2025) como contraste; IA2030Mx (2020) como referencia.</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está documentado qué bases de instituciones se reciben ni con qué acuerdo de tratamiento; podrían incluir datos administrativos o de salud.</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A12 Comunicación</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consentimiento para el boletín y para la imagen de participantes (arts. 5 y 7); RGPD; LGAMVLV (2007) y CPF (1931) frente al contenido íntimo.</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 atención por WhatsApp usa una plataforma de terceros sin aviso en el canal; se difunden imágenes de eventos y no localicé el consentimiento asociado.</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A13 Desarrollo con IA (S1)</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el proveedor que procesa por cuenta del CIESS es persona encargada (art. 2, fr. XII, y art. 53), no un tercero (art. 35); LFDA (1996), art. 103 y SCJN (2025); CPF (1931), arts. 211 Bis 1 y ss.; ISO/IEC 42001 y 27001; UNESCO, OECD y Principios de Chapultepec; INAI (2022); iniciativa de 2025 (riesgo probablemente mínimo).</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localicé una política de uso aceptable ni una bitácora institucional de uso de IA; no hay evidencia de una revisión formal de los términos del proveedor sobre retención y uso de datos.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A14 Asistente virtual (S2)</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arts. 14 a 16 y 26; el proveedor del modelo sería persona encargada (art. 2, fr. XII) y habría transferencia si usara los datos para fines propios (arts. 35 y 36); RGPD (arts. 22 y 28); LGPD (art. 20); Reglamento (UE) 2024/1689, art. 50; iniciativa de 2025 (riesgo probablemente limitado; alto si decidiera admisiones o becas); ISO/IEC 42005 para la evaluación de impacto.</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Aún no existe evaluación de impacto, aviso específico ni contrato con el proveedor del modelo; la privacidad quedó como “incógnita” en la matriz PNI (positivo, negativo, incógnita) de la propuesta (Navarrete Flores, 2026b).</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A15 IA integrada (S3)</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y RGPD: los proveedores de las plataformas son personas encargadas (art. 2, fr. XII; RGPD, art. 28); ISO/IEC 42001 (inventario); el art. 50 del Reglamento (UE) 2024/1689 recae en el proveedor de la herramienta.</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Sin inventario de las funciones de IA activadas en videoconferencia, suites en la nube y mensajería, ni configuración institucional documentada.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A16 Cobranza</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datos financieros con consentimiento expreso (art. 7), salvo la excepción del art. 9, fr. IV; seguridad (art. 18).</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Los comprobantes bancarios llegan por correo; no pude verificar cómo se almacenan los datos de pagos con tarjeta.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A17 Logística presencial</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(2025): datos sensibles (art. 8) y transferencias a hoteles y proveedores (arts. 35 y 36); RGPD.</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Las dietas por razones médicas o religiosas se comparten con proveedores sin evidencia de consentimiento expreso y por escrito ni de cláusula de transferencia en el aviso (arts. 8 y 35).</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A18 Administración interna</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LFPDPPP (2025): principios (art. 5), seguridad (art. 18) y persona o departamento de datos personales (art. 29); ISO/IEC 27001.</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consta en fuentes públicas ni forma parte de mi área; por confirmar con las áreas de personal, asuntos jurídicos y administración.</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las Tablas 1 a 4. “No localicé” y “no pude verificar” significan que no consta en las fuentes públicas ni en lo que conozco de mi área.</w:t>
      </w:r>
    </w:p>
    <w:p>
      <w:pPr>
        <w:spacing w:after="0" w:before="0" w:line="360" w:lineRule="auto"/>
        <w:ind w:firstLine="720"/>
        <w:jc w:val="both"/>
      </w:pPr>
      <w:r>
        <w:rPr>
          <w:rFonts w:ascii="Arial" w:cs="Arial" w:eastAsia="Arial" w:hAnsi="Arial"/>
          <w:sz w:val="24"/>
          <w:szCs w:val="24"/>
        </w:rPr>
        <w:t xml:space="preserve">De la evaluación se desprenden cuatro hallazgos transversales, cada uno vinculado con las recomendaciones del apartado 5.</w:t>
      </w:r>
    </w:p>
    <w:p>
      <w:pPr>
        <w:spacing w:after="0" w:before="0" w:line="360" w:lineRule="auto"/>
        <w:ind w:firstLine="720"/>
        <w:jc w:val="both"/>
      </w:pPr>
      <w:r>
        <w:rPr>
          <w:rFonts w:ascii="Arial" w:cs="Arial" w:eastAsia="Arial" w:hAnsi="Arial"/>
          <w:b/>
          <w:bCs/>
          <w:sz w:val="24"/>
          <w:szCs w:val="24"/>
        </w:rPr>
        <w:t xml:space="preserve">1. Avisos de privacidad (recomendaciones 1 y 2).</w:t>
      </w:r>
      <w:r>
        <w:rPr>
          <w:rFonts w:ascii="Arial" w:cs="Arial" w:eastAsia="Arial" w:hAnsi="Arial"/>
          <w:sz w:val="24"/>
          <w:szCs w:val="24"/>
        </w:rPr>
        <w:t xml:space="preserve"> El CIESS trata datos sensibles y datos de personas de numerosos países sin un aviso propio y actualizado a la ley de 2025: el sitio remite al de la CISS y el aviso más completo, el del congreso, está pendiente de validación jurídica y cita el art. 8 como base del consentimiento general, cuando en el texto vigente este está en el art. 7 y el art. 8 se refiere a los datos sensibles.</w:t>
      </w:r>
    </w:p>
    <w:p>
      <w:pPr>
        <w:spacing w:after="0" w:before="0" w:line="360" w:lineRule="auto"/>
        <w:ind w:firstLine="720"/>
        <w:jc w:val="both"/>
      </w:pPr>
      <w:r>
        <w:rPr>
          <w:rFonts w:ascii="Arial" w:cs="Arial" w:eastAsia="Arial" w:hAnsi="Arial"/>
          <w:b/>
          <w:bCs/>
          <w:sz w:val="24"/>
          <w:szCs w:val="24"/>
        </w:rPr>
        <w:t xml:space="preserve">2. Gobernanza de la IA (recomendaciones 4, 6 y 9).</w:t>
      </w:r>
      <w:r>
        <w:rPr>
          <w:rFonts w:ascii="Arial" w:cs="Arial" w:eastAsia="Arial" w:hAnsi="Arial"/>
          <w:sz w:val="24"/>
          <w:szCs w:val="24"/>
        </w:rPr>
        <w:t xml:space="preserve"> No localicé una política de uso de IA ni un inventario de los sistemas que la incorporan (S1 a S3), lo que impide clasificar su riesgo.</w:t>
      </w:r>
    </w:p>
    <w:p>
      <w:pPr>
        <w:spacing w:after="0" w:before="0" w:line="360" w:lineRule="auto"/>
        <w:ind w:firstLine="720"/>
        <w:jc w:val="both"/>
      </w:pPr>
      <w:r>
        <w:rPr>
          <w:rFonts w:ascii="Arial" w:cs="Arial" w:eastAsia="Arial" w:hAnsi="Arial"/>
          <w:b/>
          <w:bCs/>
          <w:sz w:val="24"/>
          <w:szCs w:val="24"/>
        </w:rPr>
        <w:t xml:space="preserve">3. Propiedad intelectual (recomendación 7).</w:t>
      </w:r>
      <w:r>
        <w:rPr>
          <w:rFonts w:ascii="Arial" w:cs="Arial" w:eastAsia="Arial" w:hAnsi="Arial"/>
          <w:sz w:val="24"/>
          <w:szCs w:val="24"/>
        </w:rPr>
        <w:t xml:space="preserve"> Lo producido con IA —código, textos, imágenes, voz— carece de criterios documentados, mientras que el criterio de la SCJN (2025) y la reforma de 2026 muestran que el derecho se orienta hacia la autoría y el consentimiento humanos.</w:t>
      </w:r>
    </w:p>
    <w:p>
      <w:pPr>
        <w:spacing w:after="0" w:before="0" w:line="360" w:lineRule="auto"/>
        <w:ind w:firstLine="720"/>
        <w:jc w:val="both"/>
      </w:pPr>
      <w:r>
        <w:rPr>
          <w:rFonts w:ascii="Arial" w:cs="Arial" w:eastAsia="Arial" w:hAnsi="Arial"/>
          <w:b/>
          <w:bCs/>
          <w:sz w:val="24"/>
          <w:szCs w:val="24"/>
        </w:rPr>
        <w:t xml:space="preserve">4. Buenas prácticas existentes (recomendaciones 3 y 8).</w:t>
      </w:r>
      <w:r>
        <w:rPr>
          <w:rFonts w:ascii="Arial" w:cs="Arial" w:eastAsia="Arial" w:hAnsi="Arial"/>
          <w:sz w:val="24"/>
          <w:szCs w:val="24"/>
        </w:rPr>
        <w:t xml:space="preserve"> Como contrapeso, y como autoevaluación sin verificación externa, los sistemas que desarrollo incorporan pruebas en un entorno de pruebas, datos de prueba, accesos por roles, bitácora de auditoría y consentimiento desde el diseño (Navarrete Flores, 2026a), prácticas que pueden extenderse al resto de las actividades.</w:t>
      </w:r>
    </w:p>
    <w:p>
      <w:pPr>
        <w:pStyle w:val="Heading2"/>
        <w:keepNext/>
        <w:spacing w:after="0" w:before="0" w:line="360" w:lineRule="auto"/>
        <w:jc w:val="left"/>
      </w:pPr>
      <w:r>
        <w:rPr>
          <w:rFonts w:ascii="Arial" w:cs="Arial" w:eastAsia="Arial" w:hAnsi="Arial"/>
          <w:b/>
          <w:bCs/>
          <w:color w:val="000000"/>
          <w:sz w:val="24"/>
          <w:szCs w:val="24"/>
        </w:rPr>
        <w:t xml:space="preserve">5. Recomendaciones personales para prevenir riesgos futuros</w:t>
      </w:r>
    </w:p>
    <w:p>
      <w:pPr>
        <w:spacing w:after="0" w:before="0" w:line="360" w:lineRule="auto"/>
        <w:ind w:firstLine="720"/>
        <w:jc w:val="both"/>
      </w:pPr>
      <w:r>
        <w:rPr>
          <w:rFonts w:ascii="Arial" w:cs="Arial" w:eastAsia="Arial" w:hAnsi="Arial"/>
          <w:sz w:val="24"/>
          <w:szCs w:val="24"/>
        </w:rPr>
        <w:t xml:space="preserve">Propongo diez recomendaciones, ordenadas según el riesgo para las personas titulares y el esfuerzo que requieren, cada una con las actividades que atiende. Las primeras cuatro pueden ejecutarse con recursos internos y en poco tiempo. Las recomendaciones 3, 5 (revisión de los términos de S1) y 8 (hojas de cálculo) puedo ejecutarlas yo en mi área; las demás requieren una decisión institucional.</w:t>
      </w:r>
    </w:p>
    <w:p>
      <w:pPr>
        <w:pStyle w:val="ListParagraph"/>
        <w:numPr>
          <w:ilvl w:val="0"/>
          <w:numId w:val="2"/>
        </w:numPr>
        <w:spacing w:after="0" w:before="0" w:line="360" w:lineRule="auto"/>
        <w:jc w:val="both"/>
      </w:pPr>
      <w:r>
        <w:rPr>
          <w:rFonts w:ascii="Arial" w:cs="Arial" w:eastAsia="Arial" w:hAnsi="Arial"/>
          <w:b/>
          <w:bCs/>
          <w:sz w:val="24"/>
          <w:szCs w:val="24"/>
        </w:rPr>
        <w:t xml:space="preserve">Obtener una opinión jurídica formal sobre el estatus del CIESS.</w:t>
      </w:r>
      <w:r>
        <w:rPr>
          <w:rFonts w:ascii="Arial" w:cs="Arial" w:eastAsia="Arial" w:hAnsi="Arial"/>
          <w:sz w:val="24"/>
          <w:szCs w:val="24"/>
        </w:rPr>
        <w:t xml:space="preserve"> Solicitar a la Secretaría General de la CISS que determine si la LFPDPPP (2025) y las leyes de los países de origen obligan al CIESS, directa o contractualmente, y que documente el estándar que se adoptará mientras tanto. Atiende: A1 a A18.</w:t>
      </w:r>
    </w:p>
    <w:p>
      <w:pPr>
        <w:pStyle w:val="ListParagraph"/>
        <w:numPr>
          <w:ilvl w:val="0"/>
          <w:numId w:val="2"/>
        </w:numPr>
        <w:spacing w:after="0" w:before="0" w:line="360" w:lineRule="auto"/>
        <w:jc w:val="both"/>
      </w:pPr>
      <w:r>
        <w:rPr>
          <w:rFonts w:ascii="Arial" w:cs="Arial" w:eastAsia="Arial" w:hAnsi="Arial"/>
          <w:b/>
          <w:bCs/>
          <w:sz w:val="24"/>
          <w:szCs w:val="24"/>
        </w:rPr>
        <w:t xml:space="preserve">Actualizar y unificar los avisos de privacidad.</w:t>
      </w:r>
      <w:r>
        <w:rPr>
          <w:rFonts w:ascii="Arial" w:cs="Arial" w:eastAsia="Arial" w:hAnsi="Arial"/>
          <w:sz w:val="24"/>
          <w:szCs w:val="24"/>
        </w:rPr>
        <w:t xml:space="preserve"> Redactar un aviso integral con el contenido del art. 15 de la LFPDPPP (2025): responsable, datos sensibles identificados, finalidades, medios para limitar el uso, procedimiento ARCO y cambios al aviso. Incluir las personas encargadas y las transferencias (arts. 35 y 36), el consentimiento expreso y por escrito para los datos sensibles (art. 8), el mecanismo de revocación (art. 7) y los datos de contacto de la persona o departamento de datos personales (art. 29), que debe designarse o confirmarse formalmente; donde corresponda (A14 y A15), mencionar el uso de IA. Añadir un aviso de </w:t>
      </w:r>
      <w:r>
        <w:rPr>
          <w:rFonts w:ascii="Arial" w:cs="Arial" w:eastAsia="Arial" w:hAnsi="Arial"/>
          <w:i/>
          <w:iCs/>
          <w:sz w:val="24"/>
          <w:szCs w:val="24"/>
        </w:rPr>
        <w:t xml:space="preserve">cookies</w:t>
      </w:r>
      <w:r>
        <w:rPr>
          <w:rFonts w:ascii="Arial" w:cs="Arial" w:eastAsia="Arial" w:hAnsi="Arial"/>
          <w:sz w:val="24"/>
          <w:szCs w:val="24"/>
        </w:rPr>
        <w:t xml:space="preserve"> en el sitio (A6) y la política de grabación y conservación de sesiones (A1). Corregir en el aviso del congreso la base del consentimiento (art. 7 para datos generales y art. 8 para los sensibles) y nombrar a la Secretaría Anticorrupción y Buen Gobierno como autoridad. Atiende: A1, A2, A4, A5, A6, A9, A12, A17.</w:t>
      </w:r>
    </w:p>
    <w:p>
      <w:pPr>
        <w:pStyle w:val="ListParagraph"/>
        <w:numPr>
          <w:ilvl w:val="0"/>
          <w:numId w:val="2"/>
        </w:numPr>
        <w:spacing w:after="0" w:before="0" w:line="360" w:lineRule="auto"/>
        <w:jc w:val="both"/>
      </w:pPr>
      <w:r>
        <w:rPr>
          <w:rFonts w:ascii="Arial" w:cs="Arial" w:eastAsia="Arial" w:hAnsi="Arial"/>
          <w:b/>
          <w:bCs/>
          <w:sz w:val="24"/>
          <w:szCs w:val="24"/>
        </w:rPr>
        <w:t xml:space="preserve">Sustituir el correo y WhatsApp por formularios con aviso para recibir documentos.</w:t>
      </w:r>
      <w:r>
        <w:rPr>
          <w:rFonts w:ascii="Arial" w:cs="Arial" w:eastAsia="Arial" w:hAnsi="Arial"/>
          <w:sz w:val="24"/>
          <w:szCs w:val="24"/>
        </w:rPr>
        <w:t xml:space="preserve"> Minimizar lo que se pide, definir plazos de conservación y de bloqueo (LFPDPPP, 2025, arts. 2, fr. III, 10 y 24) y aplicar controles de acceso y cifrado (ISO, 2022b). Atiende: A2, A16.</w:t>
      </w:r>
    </w:p>
    <w:p>
      <w:pPr>
        <w:pStyle w:val="ListParagraph"/>
        <w:numPr>
          <w:ilvl w:val="0"/>
          <w:numId w:val="2"/>
        </w:numPr>
        <w:spacing w:after="0" w:before="0" w:line="360" w:lineRule="auto"/>
        <w:jc w:val="both"/>
      </w:pPr>
      <w:r>
        <w:rPr>
          <w:rFonts w:ascii="Arial" w:cs="Arial" w:eastAsia="Arial" w:hAnsi="Arial"/>
          <w:b/>
          <w:bCs/>
          <w:sz w:val="24"/>
          <w:szCs w:val="24"/>
        </w:rPr>
        <w:t xml:space="preserve">Aprobar una política de uso aceptable de IA.</w:t>
      </w:r>
      <w:r>
        <w:rPr>
          <w:rFonts w:ascii="Arial" w:cs="Arial" w:eastAsia="Arial" w:hAnsi="Arial"/>
          <w:sz w:val="24"/>
          <w:szCs w:val="24"/>
        </w:rPr>
        <w:t xml:space="preserve"> Definir las herramientas autorizadas; prohibir ingresar datos personales, datos sensibles, credenciales o información confidencial; exigir revisión humana y pruebas en un entorno de pruebas; llevar una bitácora de qué se hizo con IA y quién lo revisó; y declarar el uso de IA en las publicaciones. Tomar como base los principios de responsabilidad humana, transparencia y supervisión de la UNESCO (2022), la OECD (2024) y los Principios de Chapultepec (SECIHTI y ATDT, 2026). Atiende: A7, A13, A15.</w:t>
      </w:r>
    </w:p>
    <w:p>
      <w:pPr>
        <w:pStyle w:val="ListParagraph"/>
        <w:numPr>
          <w:ilvl w:val="0"/>
          <w:numId w:val="2"/>
        </w:numPr>
        <w:spacing w:after="0" w:before="0" w:line="360" w:lineRule="auto"/>
        <w:jc w:val="both"/>
      </w:pPr>
      <w:r>
        <w:rPr>
          <w:rFonts w:ascii="Arial" w:cs="Arial" w:eastAsia="Arial" w:hAnsi="Arial"/>
          <w:b/>
          <w:bCs/>
          <w:sz w:val="24"/>
          <w:szCs w:val="24"/>
        </w:rPr>
        <w:t xml:space="preserve">Formalizar contratos y revisión de proveedores.</w:t>
      </w:r>
      <w:r>
        <w:rPr>
          <w:rFonts w:ascii="Arial" w:cs="Arial" w:eastAsia="Arial" w:hAnsi="Arial"/>
          <w:sz w:val="24"/>
          <w:szCs w:val="24"/>
        </w:rPr>
        <w:t xml:space="preserve"> Incluir, en los contratos con plataformas en la nube, correo y herramientas de IA que actúan como personas encargadas (LFPDPPP, 2025, art. 2, fr. XII), cláusulas de confidencialidad, ubicación del tratamiento, retención, prohibición de usar los datos para entrenar modelos y autorización previa de subencargados. Tomar como modelo el art. 28 del RGPD (PE y CUE, 2016). Si el proveedor usara los datos para fines propios, habría transferencia (LFPDPPP, 2025, art. 35). Revisar los términos de uso de los asistentes de IA que empleo en el desarrollo y formalizar acuerdos de tratamiento con las instituciones que remiten bases de datos (A11). Atiende: A4, A5, A11, A13, A14, A15.</w:t>
      </w:r>
    </w:p>
    <w:p>
      <w:pPr>
        <w:pStyle w:val="ListParagraph"/>
        <w:numPr>
          <w:ilvl w:val="0"/>
          <w:numId w:val="2"/>
        </w:numPr>
        <w:spacing w:after="0" w:before="0" w:line="360" w:lineRule="auto"/>
        <w:jc w:val="both"/>
      </w:pPr>
      <w:r>
        <w:rPr>
          <w:rFonts w:ascii="Arial" w:cs="Arial" w:eastAsia="Arial" w:hAnsi="Arial"/>
          <w:b/>
          <w:bCs/>
          <w:sz w:val="24"/>
          <w:szCs w:val="24"/>
        </w:rPr>
        <w:t xml:space="preserve">Realizar una evaluación de impacto antes de desplegar el asistente virtual (S2).</w:t>
      </w:r>
      <w:r>
        <w:rPr>
          <w:rFonts w:ascii="Arial" w:cs="Arial" w:eastAsia="Arial" w:hAnsi="Arial"/>
          <w:sz w:val="24"/>
          <w:szCs w:val="24"/>
        </w:rPr>
        <w:t xml:space="preserve"> Hacerla conforme a ISO/IEC 42005 (ISO, 2025a) e incluir la clasificación de riesgo con el semáforo de la iniciativa (GP MORENA y PVEM, 2025), la base jurídica, los datos, la retención y el proveedor, y las medidas de transparencia y escalamiento. Informar siempre a la persona que interactúa con una IA (GP MORENA y PVEM, 2025, art. 35, fr. IV; PE y CUE, 2024, art. 50), no recabar datos personales innecesarios y no usarlo para decidir admisiones ni becas, porque sería de alto riesgo y activaría el derecho de oposición a los tratamientos automatizados sin intervención humana (LFPDPPP, 2025, art. 26, fr. II) y a no ser objeto de decisiones solo automatizadas (PE y CUE, 2016, art. 22; Presidência da República, 2018, art. 20). Probar sus respuestas por país e idioma. Atiende: A2, A5, A6, A14.</w:t>
      </w:r>
    </w:p>
    <w:p>
      <w:pPr>
        <w:pStyle w:val="ListParagraph"/>
        <w:numPr>
          <w:ilvl w:val="0"/>
          <w:numId w:val="2"/>
        </w:numPr>
        <w:spacing w:after="0" w:before="0" w:line="360" w:lineRule="auto"/>
        <w:jc w:val="both"/>
      </w:pPr>
      <w:r>
        <w:rPr>
          <w:rFonts w:ascii="Arial" w:cs="Arial" w:eastAsia="Arial" w:hAnsi="Arial"/>
          <w:b/>
          <w:bCs/>
          <w:sz w:val="24"/>
          <w:szCs w:val="24"/>
        </w:rPr>
        <w:t xml:space="preserve">Documentar la autoría y los derechos de lo producido con IA.</w:t>
      </w:r>
      <w:r>
        <w:rPr>
          <w:rFonts w:ascii="Arial" w:cs="Arial" w:eastAsia="Arial" w:hAnsi="Arial"/>
          <w:sz w:val="24"/>
          <w:szCs w:val="24"/>
        </w:rPr>
        <w:t xml:space="preserve"> Formalizar por escrito las funciones de desarrollo y la titularidad institucional del software (LFDA, 1996, arts. 83, 84 y 103) y conservar evidencia de la aportación humana en lo creado con IA, porque la SCJN (2025) solo reconoce como autoras a personas físicas. Obtener consentimiento expreso, de preferencia por escrito, para la imagen y la voz de ponentes y de participantes en eventos (LFPDPPP, 2025, arts. 5 y 7) y acuerdo previo y por escrito cuando se contrate o clone la voz o imagen de artistas intérpretes (Basham, 2026). Etiquetar el contenido sintético y revisar las licencias de las obras de la biblioteca digital. Atiende: A3, A7, A10, A12, A13.</w:t>
      </w:r>
    </w:p>
    <w:p>
      <w:pPr>
        <w:pStyle w:val="ListParagraph"/>
        <w:numPr>
          <w:ilvl w:val="0"/>
          <w:numId w:val="2"/>
        </w:numPr>
        <w:spacing w:after="0" w:before="0" w:line="360" w:lineRule="auto"/>
        <w:jc w:val="both"/>
      </w:pPr>
      <w:r>
        <w:rPr>
          <w:rFonts w:ascii="Arial" w:cs="Arial" w:eastAsia="Arial" w:hAnsi="Arial"/>
          <w:b/>
          <w:bCs/>
          <w:sz w:val="24"/>
          <w:szCs w:val="24"/>
        </w:rPr>
        <w:t xml:space="preserve">Elevar la seguridad de la información de forma gradual.</w:t>
      </w:r>
      <w:r>
        <w:rPr>
          <w:rFonts w:ascii="Arial" w:cs="Arial" w:eastAsia="Arial" w:hAnsi="Arial"/>
          <w:sz w:val="24"/>
          <w:szCs w:val="24"/>
        </w:rPr>
        <w:t xml:space="preserve"> Adoptar controles de ISO/IEC 27001 (ISO, 2022b): acceso por roles, respaldo, cifrado, bitácoras y gestión de incidentes, con un protocolo para informar de inmediato a las personas titulares las vulneraciones que afecten de forma significativa sus derechos patrimoniales o morales (LFPDPPP, 2025, art. 19). Extender a los reportes en hojas de cálculo las prácticas que ya aplico en el sistema del congreso y definir cómo se almacenan los datos de pagos (A16). Atiende: A3, A4, A5, A8, A16.</w:t>
      </w:r>
    </w:p>
    <w:p>
      <w:pPr>
        <w:pStyle w:val="ListParagraph"/>
        <w:numPr>
          <w:ilvl w:val="0"/>
          <w:numId w:val="2"/>
        </w:numPr>
        <w:spacing w:after="0" w:before="0" w:line="360" w:lineRule="auto"/>
        <w:jc w:val="both"/>
      </w:pPr>
      <w:r>
        <w:rPr>
          <w:rFonts w:ascii="Arial" w:cs="Arial" w:eastAsia="Arial" w:hAnsi="Arial"/>
          <w:b/>
          <w:bCs/>
          <w:sz w:val="24"/>
          <w:szCs w:val="24"/>
        </w:rPr>
        <w:t xml:space="preserve">Crear un inventario y una gobernanza de la IA.</w:t>
      </w:r>
      <w:r>
        <w:rPr>
          <w:rFonts w:ascii="Arial" w:cs="Arial" w:eastAsia="Arial" w:hAnsi="Arial"/>
          <w:sz w:val="24"/>
          <w:szCs w:val="24"/>
        </w:rPr>
        <w:t xml:space="preserve"> Registrar los sistemas S1 a S3 con su finalidad, datos, proveedor y nivel de riesgo, designar a una persona responsable y revisar el inventario cada año, con la lógica de gestión de riesgos de ISO/IEC 23894 (ISO, 2023a) y de gestión de ISO/IEC 42001 (ISO, 2023b). Capacitar al personal con el microaprendizaje sobre IA responsable que el CIESS ya ofrece a otras instituciones (CIESS, s.f.-c) y extender el inventario a las áreas internas (A18). Atiende: A13 a A15, A18.</w:t>
      </w:r>
    </w:p>
    <w:p>
      <w:pPr>
        <w:pStyle w:val="ListParagraph"/>
        <w:numPr>
          <w:ilvl w:val="0"/>
          <w:numId w:val="2"/>
        </w:numPr>
        <w:spacing w:after="0" w:before="0" w:line="360" w:lineRule="auto"/>
        <w:jc w:val="both"/>
      </w:pPr>
      <w:r>
        <w:rPr>
          <w:rFonts w:ascii="Arial" w:cs="Arial" w:eastAsia="Arial" w:hAnsi="Arial"/>
          <w:b/>
          <w:bCs/>
          <w:sz w:val="24"/>
          <w:szCs w:val="24"/>
        </w:rPr>
        <w:t xml:space="preserve">Vigilar la normatividad de forma periódica.</w:t>
      </w:r>
      <w:r>
        <w:rPr>
          <w:rFonts w:ascii="Arial" w:cs="Arial" w:eastAsia="Arial" w:hAnsi="Arial"/>
          <w:sz w:val="24"/>
          <w:szCs w:val="24"/>
        </w:rPr>
        <w:t xml:space="preserve"> Revisar cada trimestre, y registrar la fecha de verificación de cada revisión: la LFPDPPP (2025) y su reglamentación; la iniciativa de 2025 (GP MORENA y PVEM, 2025) y las que la sigan; el proyecto brasileño (Pacheco, 2023); la LFDA (1996) y las reformas sobre IA; y las leyes de los países de origen. Anotar en esa revisión las fechas del calendario de la UE (PE y CUE, 2026): el 2 de diciembre de 2026, el 2 de diciembre de 2027 y el 2 de agosto de 2028. Hacerlo siempre contra el texto oficial, y no contra resúmenes, como queda pendiente para los instrumentos que aquí cito solo en fuentes secundarias (notas de las Tablas 3 y 4); el índice de leyes federales vigentes de la Cámara de Diputados es el punto de partida. Atiende: A1 a A18.</w:t>
      </w:r>
    </w:p>
    <w:p>
      <w:pPr>
        <w:pStyle w:val="Heading1"/>
        <w:keepNext/>
        <w:spacing w:after="0" w:before="0" w:line="360" w:lineRule="auto"/>
        <w:jc w:val="center"/>
      </w:pPr>
      <w:r>
        <w:rPr>
          <w:rFonts w:ascii="Arial" w:cs="Arial" w:eastAsia="Arial" w:hAnsi="Arial"/>
          <w:b/>
          <w:bCs/>
          <w:color w:val="000000"/>
          <w:sz w:val="24"/>
          <w:szCs w:val="24"/>
        </w:rPr>
        <w:t xml:space="preserve">Conclusión</w:t>
      </w:r>
    </w:p>
    <w:p>
      <w:pPr>
        <w:spacing w:after="0" w:before="0" w:line="360" w:lineRule="auto"/>
        <w:ind w:firstLine="720"/>
        <w:jc w:val="both"/>
      </w:pPr>
      <w:r>
        <w:rPr>
          <w:rFonts w:ascii="Arial" w:cs="Arial" w:eastAsia="Arial" w:hAnsi="Arial"/>
          <w:sz w:val="24"/>
          <w:szCs w:val="24"/>
        </w:rPr>
        <w:t xml:space="preserve">Evalué 18 actividades y tres sistemas de IA frente a normas nacionales e internacionales y encontré cuatro hallazgos transversales: avisos de privacidad desactualizados, ausencia de una política y un inventario de IA, criterios de propiedad intelectual sin documentar y buenas prácticas locales que pueden extenderse. En México no existe una ley marco de IA; lo que hoy obliga, en general, son las leyes transversales de datos personales, derecho de autor y delitos informáticos, y lo específico sobre IA son políticas, declaraciones e iniciativas que todavía no son ley (GP MORENA y PVEM, 2025). En el plano internacional las tendencias coinciden —regulación por riesgos, transparencia y supervisión humana—, pero los efectos son desiguales: la Unión Europea ya tiene un reglamento vigente y con calendario, Brasil tiene un proyecto aprobado por su Senado y pendiente en la Cámara, y Canadá y Estados Unidos muestran que lo que se anuncia puede caducar o revocarse.</w:t>
      </w:r>
    </w:p>
    <w:p>
      <w:pPr>
        <w:spacing w:after="0" w:before="0" w:line="360" w:lineRule="auto"/>
        <w:ind w:firstLine="720"/>
        <w:jc w:val="both"/>
      </w:pPr>
      <w:r>
        <w:rPr>
          <w:rFonts w:ascii="Arial" w:cs="Arial" w:eastAsia="Arial" w:hAnsi="Arial"/>
          <w:sz w:val="24"/>
          <w:szCs w:val="24"/>
        </w:rPr>
        <w:t xml:space="preserve">Para el CIESS, la aplicación directa de las leyes mexicanas es una cuestión por resolver debido a su naturaleza de organismo internacional, pero la prudencia, sus propios reglamentos y la procedencia de sus participantes y proveedores indican que conviene cumplirlas como estándar mínimo. Hoy sus riesgos principales no están en la IA en sí, sino en la protección de datos, la gobernanza de las herramientas que ya usa y la propiedad intelectual de lo que produce con ellas.</w:t>
      </w:r>
    </w:p>
    <w:p>
      <w:pPr>
        <w:spacing w:after="0" w:before="0" w:line="360" w:lineRule="auto"/>
        <w:ind w:firstLine="720"/>
        <w:jc w:val="both"/>
      </w:pPr>
      <w:r>
        <w:rPr>
          <w:rFonts w:ascii="Arial" w:cs="Arial" w:eastAsia="Arial" w:hAnsi="Arial"/>
          <w:sz w:val="24"/>
          <w:szCs w:val="24"/>
        </w:rPr>
        <w:t xml:space="preserve">Las recomendaciones buscan prevenir los riesgos identificados con un esfuerzo moderado y siguen la misma lógica que apliqué en mis desarrollos: personas responsables, datos mínimos y protegidos, rastro verificable y revisión humana. Una institución que forma a otras en el uso responsable de la IA tiene la oportunidad de demostrarlo en su propia operación.</w:t>
      </w:r>
    </w:p>
    <w:p>
      <w:pPr>
        <w:pStyle w:val="Heading1"/>
        <w:keepNext/>
        <w:pageBreakBefore/>
        <w:spacing w:after="0" w:before="0" w:line="360" w:lineRule="auto"/>
        <w:jc w:val="center"/>
      </w:pPr>
      <w:r>
        <w:rPr>
          <w:rFonts w:ascii="Arial" w:cs="Arial" w:eastAsia="Arial" w:hAnsi="Arial"/>
          <w:b/>
          <w:bCs/>
          <w:color w:val="000000"/>
          <w:sz w:val="24"/>
          <w:szCs w:val="24"/>
        </w:rPr>
        <w:t xml:space="preserve">Referencias</w:t>
      </w:r>
    </w:p>
    <w:p>
      <w:pPr>
        <w:spacing w:after="0" w:before="0" w:line="360" w:lineRule="auto"/>
        <w:ind w:left="720" w:hanging="720"/>
        <w:jc w:val="left"/>
      </w:pPr>
      <w:r>
        <w:rPr>
          <w:rFonts w:ascii="Arial" w:cs="Arial" w:eastAsia="Arial" w:hAnsi="Arial"/>
          <w:sz w:val="24"/>
          <w:szCs w:val="24"/>
        </w:rPr>
        <w:t xml:space="preserve">Basham. (2026). </w:t>
      </w:r>
      <w:r>
        <w:rPr>
          <w:rFonts w:ascii="Arial" w:cs="Arial" w:eastAsia="Arial" w:hAnsi="Arial"/>
          <w:i/>
          <w:iCs/>
          <w:sz w:val="24"/>
          <w:szCs w:val="24"/>
        </w:rPr>
        <w:t xml:space="preserve">Nuevos derechos para las personas trabajadoras artistas intérpretes o ejecutantes</w:t>
      </w:r>
      <w:r>
        <w:rPr>
          <w:rFonts w:ascii="Arial" w:cs="Arial" w:eastAsia="Arial" w:hAnsi="Arial"/>
          <w:sz w:val="24"/>
          <w:szCs w:val="24"/>
        </w:rPr>
        <w:t xml:space="preserve">. </w:t>
      </w:r>
      <w:hyperlink w:history="1" r:id="rId4n45gez32jzphinarnghh">
        <w:r>
          <w:rPr>
            <w:rStyle w:val="Hyperlink"/>
            <w:rFonts w:ascii="Arial" w:cs="Arial" w:eastAsia="Arial" w:hAnsi="Arial"/>
            <w:sz w:val="24"/>
            <w:szCs w:val="24"/>
          </w:rPr>
          <w:t xml:space="preserve">https://basham.com.mx/nuevos-derechos-para-las-personas-trabajadoras-artistas-interpretes-o-ejecutantes/</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(5 de febrero de 1917). </w:t>
      </w:r>
      <w:r>
        <w:rPr>
          <w:rFonts w:ascii="Arial" w:cs="Arial" w:eastAsia="Arial" w:hAnsi="Arial"/>
          <w:i/>
          <w:iCs/>
          <w:sz w:val="24"/>
          <w:szCs w:val="24"/>
        </w:rPr>
        <w:t xml:space="preserve">Constitución Política de los Estados Unidos Mexicanos</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bb5l16jlaqyorcedkcwvb">
        <w:r>
          <w:rPr>
            <w:rStyle w:val="Hyperlink"/>
            <w:rFonts w:ascii="Arial" w:cs="Arial" w:eastAsia="Arial" w:hAnsi="Arial"/>
            <w:sz w:val="24"/>
            <w:szCs w:val="24"/>
          </w:rPr>
          <w:t xml:space="preserve">https://www.diputados.gob.mx/LeyesBiblio/pdf/CPEUM.pdf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(14 de agosto de 1931). </w:t>
      </w:r>
      <w:r>
        <w:rPr>
          <w:rFonts w:ascii="Arial" w:cs="Arial" w:eastAsia="Arial" w:hAnsi="Arial"/>
          <w:i/>
          <w:iCs/>
          <w:sz w:val="24"/>
          <w:szCs w:val="24"/>
        </w:rPr>
        <w:t xml:space="preserve">Código Penal Federal</w:t>
      </w:r>
      <w:r>
        <w:rPr>
          <w:rFonts w:ascii="Arial" w:cs="Arial" w:eastAsia="Arial" w:hAnsi="Arial"/>
          <w:sz w:val="24"/>
          <w:szCs w:val="24"/>
        </w:rPr>
        <w:t xml:space="preserve">. Diario Oficial de la Federación. México: Cámara de Diputados del Honorable Congreso de la Unión. Recuperado el 11 de octubre de 2026, de </w:t>
      </w:r>
      <w:hyperlink w:history="1" r:id="rIdpbh-apu3wmxn8vyfl1rqc">
        <w:r>
          <w:rPr>
            <w:rStyle w:val="Hyperlink"/>
            <w:rFonts w:ascii="Arial" w:cs="Arial" w:eastAsia="Arial" w:hAnsi="Arial"/>
            <w:sz w:val="24"/>
            <w:szCs w:val="24"/>
          </w:rPr>
          <w:t xml:space="preserve">https://www.diputados.gob.mx/LeyesBiblio/pdf/CPF.pdf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(24 de diciembre de 1996). </w:t>
      </w:r>
      <w:r>
        <w:rPr>
          <w:rFonts w:ascii="Arial" w:cs="Arial" w:eastAsia="Arial" w:hAnsi="Arial"/>
          <w:i/>
          <w:iCs/>
          <w:sz w:val="24"/>
          <w:szCs w:val="24"/>
        </w:rPr>
        <w:t xml:space="preserve">Ley Federal del Derecho de Autor</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xrufj4hweqfsavje0zuv6">
        <w:r>
          <w:rPr>
            <w:rStyle w:val="Hyperlink"/>
            <w:rFonts w:ascii="Arial" w:cs="Arial" w:eastAsia="Arial" w:hAnsi="Arial"/>
            <w:sz w:val="24"/>
            <w:szCs w:val="24"/>
          </w:rPr>
          <w:t xml:space="preserve">https://www.diputados.gob.mx/LeyesBiblio/pdf/LFDA.pdf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(1 de febrero de 2007). </w:t>
      </w:r>
      <w:r>
        <w:rPr>
          <w:rFonts w:ascii="Arial" w:cs="Arial" w:eastAsia="Arial" w:hAnsi="Arial"/>
          <w:i/>
          <w:iCs/>
          <w:sz w:val="24"/>
          <w:szCs w:val="24"/>
        </w:rPr>
        <w:t xml:space="preserve">Ley General de Acceso de las Mujeres a una Vida Libre de Violencia</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j7grtp81qvohwaziktb9i">
        <w:r>
          <w:rPr>
            <w:rStyle w:val="Hyperlink"/>
            <w:rFonts w:ascii="Arial" w:cs="Arial" w:eastAsia="Arial" w:hAnsi="Arial"/>
            <w:sz w:val="24"/>
            <w:szCs w:val="24"/>
          </w:rPr>
          <w:t xml:space="preserve">https://www.diputados.gob.mx/LeyesBiblio/pdf/LGAMVLV.pdf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(20 de marzo de 2025). </w:t>
      </w:r>
      <w:r>
        <w:rPr>
          <w:rFonts w:ascii="Arial" w:cs="Arial" w:eastAsia="Arial" w:hAnsi="Arial"/>
          <w:i/>
          <w:iCs/>
          <w:sz w:val="24"/>
          <w:szCs w:val="24"/>
        </w:rPr>
        <w:t xml:space="preserve">Ley Federal de Protección de Datos Personales en Posesión de los Particulares</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v_kndhtkbp4gfgnjusd8m">
        <w:r>
          <w:rPr>
            <w:rStyle w:val="Hyperlink"/>
            <w:rFonts w:ascii="Arial" w:cs="Arial" w:eastAsia="Arial" w:hAnsi="Arial"/>
            <w:sz w:val="24"/>
            <w:szCs w:val="24"/>
          </w:rPr>
          <w:t xml:space="preserve">https://www.diputados.gob.mx/LeyesBiblio/pdf/LFPDPPP.pdf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(20 de marzo de 2025). </w:t>
      </w:r>
      <w:r>
        <w:rPr>
          <w:rFonts w:ascii="Arial" w:cs="Arial" w:eastAsia="Arial" w:hAnsi="Arial"/>
          <w:i/>
          <w:iCs/>
          <w:sz w:val="24"/>
          <w:szCs w:val="24"/>
        </w:rPr>
        <w:t xml:space="preserve">Ley General de Protección de Datos Personales en Posesión de Sujetos Obligados</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m0d-hmsh_5bnuctof0wkl">
        <w:r>
          <w:rPr>
            <w:rStyle w:val="Hyperlink"/>
            <w:rFonts w:ascii="Arial" w:cs="Arial" w:eastAsia="Arial" w:hAnsi="Arial"/>
            <w:sz w:val="24"/>
            <w:szCs w:val="24"/>
          </w:rPr>
          <w:t xml:space="preserve">https://www.diputados.gob.mx/LeyesBiblio/pdf/LGPDPPSO.pdf</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(s.f.-a). </w:t>
      </w:r>
      <w:r>
        <w:rPr>
          <w:rFonts w:ascii="Arial" w:cs="Arial" w:eastAsia="Arial" w:hAnsi="Arial"/>
          <w:i/>
          <w:iCs/>
          <w:sz w:val="24"/>
          <w:szCs w:val="24"/>
        </w:rPr>
        <w:t xml:space="preserve">Directorio</w:t>
      </w:r>
      <w:r>
        <w:rPr>
          <w:rFonts w:ascii="Arial" w:cs="Arial" w:eastAsia="Arial" w:hAnsi="Arial"/>
          <w:sz w:val="24"/>
          <w:szCs w:val="24"/>
        </w:rPr>
        <w:t xml:space="preserve">. </w:t>
      </w:r>
      <w:hyperlink w:history="1" r:id="rId83mx4il_jdowyiskl77hk">
        <w:r>
          <w:rPr>
            <w:rStyle w:val="Hyperlink"/>
            <w:rFonts w:ascii="Arial" w:cs="Arial" w:eastAsia="Arial" w:hAnsi="Arial"/>
            <w:sz w:val="24"/>
            <w:szCs w:val="24"/>
          </w:rPr>
          <w:t xml:space="preserve">https://home.ciess.org/directorio/</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(s.f.-b). </w:t>
      </w:r>
      <w:r>
        <w:rPr>
          <w:rFonts w:ascii="Arial" w:cs="Arial" w:eastAsia="Arial" w:hAnsi="Arial"/>
          <w:i/>
          <w:iCs/>
          <w:sz w:val="24"/>
          <w:szCs w:val="24"/>
        </w:rPr>
        <w:t xml:space="preserve">Inscripciones y admisiones</w:t>
      </w:r>
      <w:r>
        <w:rPr>
          <w:rFonts w:ascii="Arial" w:cs="Arial" w:eastAsia="Arial" w:hAnsi="Arial"/>
          <w:sz w:val="24"/>
          <w:szCs w:val="24"/>
        </w:rPr>
        <w:t xml:space="preserve">. </w:t>
      </w:r>
      <w:hyperlink w:history="1" r:id="rIdzeradjwq0kec0o6ij5wcp">
        <w:r>
          <w:rPr>
            <w:rStyle w:val="Hyperlink"/>
            <w:rFonts w:ascii="Arial" w:cs="Arial" w:eastAsia="Arial" w:hAnsi="Arial"/>
            <w:sz w:val="24"/>
            <w:szCs w:val="24"/>
          </w:rPr>
          <w:t xml:space="preserve">https://home.ciess.org/inscripciones-y-admisiones/</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(s.f.-c). </w:t>
      </w:r>
      <w:r>
        <w:rPr>
          <w:rFonts w:ascii="Arial" w:cs="Arial" w:eastAsia="Arial" w:hAnsi="Arial"/>
          <w:i/>
          <w:iCs/>
          <w:sz w:val="24"/>
          <w:szCs w:val="24"/>
        </w:rPr>
        <w:t xml:space="preserve">Microaprendizaje ABC de la inteligencia artificial 2026</w:t>
      </w:r>
      <w:r>
        <w:rPr>
          <w:rFonts w:ascii="Arial" w:cs="Arial" w:eastAsia="Arial" w:hAnsi="Arial"/>
          <w:sz w:val="24"/>
          <w:szCs w:val="24"/>
        </w:rPr>
        <w:t xml:space="preserve">. </w:t>
      </w:r>
      <w:hyperlink w:history="1" r:id="rId3dagnh8-6__mgoarb5jqv">
        <w:r>
          <w:rPr>
            <w:rStyle w:val="Hyperlink"/>
            <w:rFonts w:ascii="Arial" w:cs="Arial" w:eastAsia="Arial" w:hAnsi="Arial"/>
            <w:sz w:val="24"/>
            <w:szCs w:val="24"/>
          </w:rPr>
          <w:t xml:space="preserve">https://home.ciess.org/microaprendizaje-abc-de-la-inteligencia-artificial-2026/</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(s.f.-d). </w:t>
      </w:r>
      <w:r>
        <w:rPr>
          <w:rFonts w:ascii="Arial" w:cs="Arial" w:eastAsia="Arial" w:hAnsi="Arial"/>
          <w:i/>
          <w:iCs/>
          <w:sz w:val="24"/>
          <w:szCs w:val="24"/>
        </w:rPr>
        <w:t xml:space="preserve">Nosotros</w:t>
      </w:r>
      <w:r>
        <w:rPr>
          <w:rFonts w:ascii="Arial" w:cs="Arial" w:eastAsia="Arial" w:hAnsi="Arial"/>
          <w:sz w:val="24"/>
          <w:szCs w:val="24"/>
        </w:rPr>
        <w:t xml:space="preserve">. </w:t>
      </w:r>
      <w:hyperlink w:history="1" r:id="rId0fbkoh9c01snvrohxjuvu">
        <w:r>
          <w:rPr>
            <w:rStyle w:val="Hyperlink"/>
            <w:rFonts w:ascii="Arial" w:cs="Arial" w:eastAsia="Arial" w:hAnsi="Arial"/>
            <w:sz w:val="24"/>
            <w:szCs w:val="24"/>
          </w:rPr>
          <w:t xml:space="preserve">https://home.ciess.org/nosotros/</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(s.f.-e). </w:t>
      </w:r>
      <w:r>
        <w:rPr>
          <w:rFonts w:ascii="Arial" w:cs="Arial" w:eastAsia="Arial" w:hAnsi="Arial"/>
          <w:i/>
          <w:iCs/>
          <w:sz w:val="24"/>
          <w:szCs w:val="24"/>
        </w:rPr>
        <w:t xml:space="preserve">Programa académico 2026</w:t>
      </w:r>
      <w:r>
        <w:rPr>
          <w:rFonts w:ascii="Arial" w:cs="Arial" w:eastAsia="Arial" w:hAnsi="Arial"/>
          <w:sz w:val="24"/>
          <w:szCs w:val="24"/>
        </w:rPr>
        <w:t xml:space="preserve">. </w:t>
      </w:r>
      <w:hyperlink w:history="1" r:id="rIdwarblzrd1mxz7w9rtrzjz">
        <w:r>
          <w:rPr>
            <w:rStyle w:val="Hyperlink"/>
            <w:rFonts w:ascii="Arial" w:cs="Arial" w:eastAsia="Arial" w:hAnsi="Arial"/>
            <w:sz w:val="24"/>
            <w:szCs w:val="24"/>
          </w:rPr>
          <w:t xml:space="preserve">https://home.ciess.org/programa-academico-2026/</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(2025). </w:t>
      </w:r>
      <w:r>
        <w:rPr>
          <w:rFonts w:ascii="Arial" w:cs="Arial" w:eastAsia="Arial" w:hAnsi="Arial"/>
          <w:i/>
          <w:iCs/>
          <w:sz w:val="24"/>
          <w:szCs w:val="24"/>
        </w:rPr>
        <w:t xml:space="preserve">Reglamento Académico del Centro Interamericano de Estudios de Seguridad Social</w:t>
      </w:r>
      <w:r>
        <w:rPr>
          <w:rFonts w:ascii="Arial" w:cs="Arial" w:eastAsia="Arial" w:hAnsi="Arial"/>
          <w:sz w:val="24"/>
          <w:szCs w:val="24"/>
        </w:rPr>
        <w:t xml:space="preserve">. </w:t>
      </w:r>
      <w:hyperlink w:history="1" r:id="rIdcpsgpf_mbmbs11mes-1xi">
        <w:r>
          <w:rPr>
            <w:rStyle w:val="Hyperlink"/>
            <w:rFonts w:ascii="Arial" w:cs="Arial" w:eastAsia="Arial" w:hAnsi="Arial"/>
            <w:sz w:val="24"/>
            <w:szCs w:val="24"/>
          </w:rPr>
          <w:t xml:space="preserve">https://home.ciess.org/wp-content/uploads/2025/09/REGLAMENTO_ACADEMICO_VF_ESP-1.pdf</w:t>
        </w:r>
      </w:hyperlink>
    </w:p>
    <w:p>
      <w:pPr>
        <w:spacing w:after="0" w:before="0" w:line="360" w:lineRule="auto"/>
        <w:ind w:left="720" w:hanging="720"/>
        <w:jc w:val="left"/>
      </w:pPr>
      <w:r>
        <w:rPr>
          <w:rFonts w:ascii="Arial" w:cs="Arial" w:eastAsia="Arial" w:hAnsi="Arial"/>
          <w:sz w:val="24"/>
          <w:szCs w:val="24"/>
        </w:rPr>
        <w:t xml:space="preserve">Coalición IA2030Mx. (2020). </w:t>
      </w:r>
      <w:r>
        <w:rPr>
          <w:rFonts w:ascii="Arial" w:cs="Arial" w:eastAsia="Arial" w:hAnsi="Arial"/>
          <w:i/>
          <w:iCs/>
          <w:sz w:val="24"/>
          <w:szCs w:val="24"/>
        </w:rPr>
        <w:t xml:space="preserve">Agenda Nacional Mexicana de Inteligencia Artificial</w:t>
      </w:r>
      <w:r>
        <w:rPr>
          <w:rFonts w:ascii="Arial" w:cs="Arial" w:eastAsia="Arial" w:hAnsi="Arial"/>
          <w:sz w:val="24"/>
          <w:szCs w:val="24"/>
        </w:rPr>
        <w:t xml:space="preserve">. </w:t>
      </w:r>
      <w:hyperlink w:history="1" r:id="rIdfvgx-d_lk7q9zeukceq9j">
        <w:r>
          <w:rPr>
            <w:rStyle w:val="Hyperlink"/>
            <w:rFonts w:ascii="Arial" w:cs="Arial" w:eastAsia="Arial" w:hAnsi="Arial"/>
            <w:sz w:val="24"/>
            <w:szCs w:val="24"/>
          </w:rPr>
          <w:t xml:space="preserve">https://ia2030.mx/agenda-nacional-mexicana-de-inteligencia-artificial/</w:t>
        </w:r>
      </w:hyperlink>
    </w:p>
    <w:p>
      <w:pPr>
        <w:spacing w:after="0" w:before="0" w:line="360" w:lineRule="auto"/>
        <w:ind w:left="720" w:hanging="720"/>
        <w:jc w:val="left"/>
      </w:pPr>
      <w:r>
        <w:rPr>
          <w:rFonts w:ascii="Arial" w:cs="Arial" w:eastAsia="Arial" w:hAnsi="Arial"/>
          <w:sz w:val="24"/>
          <w:szCs w:val="24"/>
        </w:rPr>
        <w:t xml:space="preserve">Conferencia Interamericana de Seguridad Social. (s.f.). </w:t>
      </w:r>
      <w:r>
        <w:rPr>
          <w:rFonts w:ascii="Arial" w:cs="Arial" w:eastAsia="Arial" w:hAnsi="Arial"/>
          <w:i/>
          <w:iCs/>
          <w:sz w:val="24"/>
          <w:szCs w:val="24"/>
        </w:rPr>
        <w:t xml:space="preserve">Política y aviso de privacidad</w:t>
      </w:r>
      <w:r>
        <w:rPr>
          <w:rFonts w:ascii="Arial" w:cs="Arial" w:eastAsia="Arial" w:hAnsi="Arial"/>
          <w:sz w:val="24"/>
          <w:szCs w:val="24"/>
        </w:rPr>
        <w:t xml:space="preserve">. </w:t>
      </w:r>
      <w:hyperlink w:history="1" r:id="rIdsnwljw7tm9abhi_uaealo">
        <w:r>
          <w:rPr>
            <w:rStyle w:val="Hyperlink"/>
            <w:rFonts w:ascii="Arial" w:cs="Arial" w:eastAsia="Arial" w:hAnsi="Arial"/>
            <w:sz w:val="24"/>
            <w:szCs w:val="24"/>
          </w:rPr>
          <w:t xml:space="preserve">https://ciss-bienestar.org/politica-y-aviso-de-privacidad/</w:t>
        </w:r>
      </w:hyperlink>
    </w:p>
    <w:p>
      <w:pPr>
        <w:spacing w:after="0" w:before="0" w:line="360" w:lineRule="auto"/>
        <w:ind w:left="720" w:hanging="720"/>
        <w:jc w:val="left"/>
      </w:pPr>
      <w:r>
        <w:rPr>
          <w:rFonts w:ascii="Arial" w:cs="Arial" w:eastAsia="Arial" w:hAnsi="Arial"/>
          <w:sz w:val="24"/>
          <w:szCs w:val="24"/>
        </w:rPr>
        <w:t xml:space="preserve">Congreso de Colombia. (18 de octubre de 2012). </w:t>
      </w:r>
      <w:r>
        <w:rPr>
          <w:rFonts w:ascii="Arial" w:cs="Arial" w:eastAsia="Arial" w:hAnsi="Arial"/>
          <w:i/>
          <w:iCs/>
          <w:sz w:val="24"/>
          <w:szCs w:val="24"/>
        </w:rPr>
        <w:t xml:space="preserve">Ley Estatutaria 1581 de 2012: Por la cual se dictan disposiciones generales para la protección de datos personales</w:t>
      </w:r>
      <w:r>
        <w:rPr>
          <w:rFonts w:ascii="Arial" w:cs="Arial" w:eastAsia="Arial" w:hAnsi="Arial"/>
          <w:sz w:val="24"/>
          <w:szCs w:val="24"/>
        </w:rPr>
        <w:t xml:space="preserve">. Diario Oficial 48.587. </w:t>
      </w:r>
      <w:hyperlink w:history="1" r:id="rIdjrnxxuyaezyx3z2op59us">
        <w:r>
          <w:rPr>
            <w:rStyle w:val="Hyperlink"/>
            <w:rFonts w:ascii="Arial" w:cs="Arial" w:eastAsia="Arial" w:hAnsi="Arial"/>
            <w:sz w:val="24"/>
            <w:szCs w:val="24"/>
          </w:rPr>
          <w:t xml:space="preserve">https://www.funcionpublica.gov.co/eva/gestornormativo/norma.php?i=49981</w:t>
        </w:r>
      </w:hyperlink>
    </w:p>
    <w:p>
      <w:pPr>
        <w:spacing w:after="0" w:before="0" w:line="360" w:lineRule="auto"/>
        <w:ind w:left="720" w:hanging="720"/>
        <w:jc w:val="left"/>
      </w:pPr>
      <w:r>
        <w:rPr>
          <w:rFonts w:ascii="Arial" w:cs="Arial" w:eastAsia="Arial" w:hAnsi="Arial"/>
          <w:sz w:val="24"/>
          <w:szCs w:val="24"/>
        </w:rPr>
        <w:t xml:space="preserve">Congreso de la Nación Argentina. (2 de noviembre de 2000). </w:t>
      </w:r>
      <w:r>
        <w:rPr>
          <w:rFonts w:ascii="Arial" w:cs="Arial" w:eastAsia="Arial" w:hAnsi="Arial"/>
          <w:i/>
          <w:iCs/>
          <w:sz w:val="24"/>
          <w:szCs w:val="24"/>
        </w:rPr>
        <w:t xml:space="preserve">Ley 25.326: Protección de los datos personales</w:t>
      </w:r>
      <w:r>
        <w:rPr>
          <w:rFonts w:ascii="Arial" w:cs="Arial" w:eastAsia="Arial" w:hAnsi="Arial"/>
          <w:sz w:val="24"/>
          <w:szCs w:val="24"/>
        </w:rPr>
        <w:t xml:space="preserve">. Boletín Oficial de la República Argentina. </w:t>
      </w:r>
      <w:hyperlink w:history="1" r:id="rIdzy8b7euvoasjnuss1hhrt">
        <w:r>
          <w:rPr>
            <w:rStyle w:val="Hyperlink"/>
            <w:rFonts w:ascii="Arial" w:cs="Arial" w:eastAsia="Arial" w:hAnsi="Arial"/>
            <w:sz w:val="24"/>
            <w:szCs w:val="24"/>
          </w:rPr>
          <w:t xml:space="preserve">https://www.argentina.gob.ar/normativa/nacional/64790/texto</w:t>
        </w:r>
      </w:hyperlink>
    </w:p>
    <w:p>
      <w:pPr>
        <w:spacing w:after="0" w:before="0" w:line="360" w:lineRule="auto"/>
        <w:ind w:left="720" w:hanging="720"/>
        <w:jc w:val="left"/>
      </w:pPr>
      <w:r>
        <w:rPr>
          <w:rFonts w:ascii="Arial" w:cs="Arial" w:eastAsia="Arial" w:hAnsi="Arial"/>
          <w:sz w:val="24"/>
          <w:szCs w:val="24"/>
        </w:rPr>
        <w:t xml:space="preserve">Consejo de Europa. (28 de enero de 1981). </w:t>
      </w:r>
      <w:r>
        <w:rPr>
          <w:rFonts w:ascii="Arial" w:cs="Arial" w:eastAsia="Arial" w:hAnsi="Arial"/>
          <w:i/>
          <w:iCs/>
          <w:sz w:val="24"/>
          <w:szCs w:val="24"/>
        </w:rPr>
        <w:t xml:space="preserve">Convenio para la protección de las personas con respecto al tratamiento automatizado de datos de carácter personal</w:t>
      </w:r>
      <w:r>
        <w:rPr>
          <w:rFonts w:ascii="Arial" w:cs="Arial" w:eastAsia="Arial" w:hAnsi="Arial"/>
          <w:sz w:val="24"/>
          <w:szCs w:val="24"/>
        </w:rPr>
        <w:t xml:space="preserve"> (STE n.º 108). </w:t>
      </w:r>
      <w:hyperlink w:history="1" r:id="rIdtrk-uyvwnv3-kedz8a1lb">
        <w:r>
          <w:rPr>
            <w:rStyle w:val="Hyperlink"/>
            <w:rFonts w:ascii="Arial" w:cs="Arial" w:eastAsia="Arial" w:hAnsi="Arial"/>
            <w:sz w:val="24"/>
            <w:szCs w:val="24"/>
          </w:rPr>
          <w:t xml:space="preserve">https://www.coe.int/en/web/conventions/full-list/-/conventions/treaty/108</w:t>
        </w:r>
      </w:hyperlink>
    </w:p>
    <w:p>
      <w:pPr>
        <w:spacing w:after="0" w:before="0" w:line="360" w:lineRule="auto"/>
        <w:ind w:left="720" w:hanging="720"/>
        <w:jc w:val="left"/>
      </w:pPr>
      <w:r>
        <w:rPr>
          <w:rFonts w:ascii="Arial" w:cs="Arial" w:eastAsia="Arial" w:hAnsi="Arial"/>
          <w:sz w:val="24"/>
          <w:szCs w:val="24"/>
        </w:rPr>
        <w:t xml:space="preserve">Department for Science, Innovation and Technology. (29 de marzo de 2023). </w:t>
      </w:r>
      <w:r>
        <w:rPr>
          <w:rFonts w:ascii="Arial" w:cs="Arial" w:eastAsia="Arial" w:hAnsi="Arial"/>
          <w:i/>
          <w:iCs/>
          <w:sz w:val="24"/>
          <w:szCs w:val="24"/>
        </w:rPr>
        <w:t xml:space="preserve">AI regulation: A pro-innovation approach</w:t>
      </w:r>
      <w:r>
        <w:rPr>
          <w:rFonts w:ascii="Arial" w:cs="Arial" w:eastAsia="Arial" w:hAnsi="Arial"/>
          <w:sz w:val="24"/>
          <w:szCs w:val="24"/>
        </w:rPr>
        <w:t xml:space="preserve">. UK Government. </w:t>
      </w:r>
      <w:hyperlink w:history="1" r:id="rIdtl9tppo6rz5aebmf9kkap">
        <w:r>
          <w:rPr>
            <w:rStyle w:val="Hyperlink"/>
            <w:rFonts w:ascii="Arial" w:cs="Arial" w:eastAsia="Arial" w:hAnsi="Arial"/>
            <w:sz w:val="24"/>
            <w:szCs w:val="24"/>
          </w:rPr>
          <w:t xml:space="preserve">https://www.gov.uk/government/publications/ai-regulation-a-pro-innovation-approach/white-paper</w:t>
        </w:r>
      </w:hyperlink>
    </w:p>
    <w:p>
      <w:pPr>
        <w:spacing w:after="0" w:before="0" w:line="360" w:lineRule="auto"/>
        <w:ind w:left="720" w:hanging="720"/>
        <w:jc w:val="left"/>
      </w:pPr>
      <w:r>
        <w:rPr>
          <w:rFonts w:ascii="Arial" w:cs="Arial" w:eastAsia="Arial" w:hAnsi="Arial"/>
          <w:sz w:val="24"/>
          <w:szCs w:val="24"/>
        </w:rPr>
        <w:t xml:space="preserve">Gobierno de la República. (2017). </w:t>
      </w:r>
      <w:r>
        <w:rPr>
          <w:rFonts w:ascii="Arial" w:cs="Arial" w:eastAsia="Arial" w:hAnsi="Arial"/>
          <w:i/>
          <w:iCs/>
          <w:sz w:val="24"/>
          <w:szCs w:val="24"/>
        </w:rPr>
        <w:t xml:space="preserve">Estrategia Nacional de Ciberseguridad</w:t>
      </w:r>
      <w:r>
        <w:rPr>
          <w:rFonts w:ascii="Arial" w:cs="Arial" w:eastAsia="Arial" w:hAnsi="Arial"/>
          <w:sz w:val="24"/>
          <w:szCs w:val="24"/>
        </w:rPr>
        <w:t xml:space="preserve">. </w:t>
      </w:r>
      <w:hyperlink w:history="1" r:id="rIdki_yfqbixph5_dsl1jlqc">
        <w:r>
          <w:rPr>
            <w:rStyle w:val="Hyperlink"/>
            <w:rFonts w:ascii="Arial" w:cs="Arial" w:eastAsia="Arial" w:hAnsi="Arial"/>
            <w:sz w:val="24"/>
            <w:szCs w:val="24"/>
          </w:rPr>
          <w:t xml:space="preserve">https://www.gob.mx/cms/uploads/attachment/file/271884/Estrategia_Nacional_Ciberseguridad.pdf</w:t>
        </w:r>
      </w:hyperlink>
    </w:p>
    <w:p>
      <w:pPr>
        <w:spacing w:after="0" w:before="0" w:line="360" w:lineRule="auto"/>
        <w:ind w:left="720" w:hanging="720"/>
        <w:jc w:val="left"/>
      </w:pPr>
      <w:r>
        <w:rPr>
          <w:rFonts w:ascii="Arial" w:cs="Arial" w:eastAsia="Arial" w:hAnsi="Arial"/>
          <w:sz w:val="24"/>
          <w:szCs w:val="24"/>
        </w:rPr>
        <w:t xml:space="preserve">Government of Canada. (2000). </w:t>
      </w:r>
      <w:r>
        <w:rPr>
          <w:rFonts w:ascii="Arial" w:cs="Arial" w:eastAsia="Arial" w:hAnsi="Arial"/>
          <w:i/>
          <w:iCs/>
          <w:sz w:val="24"/>
          <w:szCs w:val="24"/>
        </w:rPr>
        <w:t xml:space="preserve">Personal Information Protection and Electronic Documents Act</w:t>
      </w:r>
      <w:r>
        <w:rPr>
          <w:rFonts w:ascii="Arial" w:cs="Arial" w:eastAsia="Arial" w:hAnsi="Arial"/>
          <w:sz w:val="24"/>
          <w:szCs w:val="24"/>
        </w:rPr>
        <w:t xml:space="preserve"> (S.C. 2000, c. 5). </w:t>
      </w:r>
      <w:hyperlink w:history="1" r:id="rIda4dik2gvsfzbhbc12bues">
        <w:r>
          <w:rPr>
            <w:rStyle w:val="Hyperlink"/>
            <w:rFonts w:ascii="Arial" w:cs="Arial" w:eastAsia="Arial" w:hAnsi="Arial"/>
            <w:sz w:val="24"/>
            <w:szCs w:val="24"/>
          </w:rPr>
          <w:t xml:space="preserve">https://laws-lois.justice.gc.ca/eng/acts/p-8.6/</w:t>
        </w:r>
      </w:hyperlink>
    </w:p>
    <w:p>
      <w:pPr>
        <w:spacing w:after="0" w:before="0" w:line="360" w:lineRule="auto"/>
        <w:ind w:left="720" w:hanging="720"/>
        <w:jc w:val="left"/>
      </w:pPr>
      <w:r>
        <w:rPr>
          <w:rFonts w:ascii="Arial" w:cs="Arial" w:eastAsia="Arial" w:hAnsi="Arial"/>
          <w:sz w:val="24"/>
          <w:szCs w:val="24"/>
        </w:rPr>
        <w:t xml:space="preserve">Grupos Parlamentarios de MORENA y del Partido Verde Ecologista de México. (30 de abril de 2025). </w:t>
      </w:r>
      <w:r>
        <w:rPr>
          <w:rFonts w:ascii="Arial" w:cs="Arial" w:eastAsia="Arial" w:hAnsi="Arial"/>
          <w:i/>
          <w:iCs/>
          <w:sz w:val="24"/>
          <w:szCs w:val="24"/>
        </w:rPr>
        <w:t xml:space="preserve">Iniciativa con proyecto de decreto por el que se expide la Ley Federal para el Desarrollo Ético, Soberano e Inclusivo de la Inteligencia Artificial</w:t>
      </w:r>
      <w:r>
        <w:rPr>
          <w:rFonts w:ascii="Arial" w:cs="Arial" w:eastAsia="Arial" w:hAnsi="Arial"/>
          <w:sz w:val="24"/>
          <w:szCs w:val="24"/>
        </w:rPr>
        <w:t xml:space="preserve"> [Iniciativa]. Cámara de Diputados del Honorable Congreso de la Unión. </w:t>
      </w:r>
      <w:hyperlink w:history="1" r:id="rIdl2fends3qijhx1rzxd6lt">
        <w:r>
          <w:rPr>
            <w:rStyle w:val="Hyperlink"/>
            <w:rFonts w:ascii="Arial" w:cs="Arial" w:eastAsia="Arial" w:hAnsi="Arial"/>
            <w:sz w:val="24"/>
            <w:szCs w:val="24"/>
          </w:rPr>
          <w:t xml:space="preserve">https://sil.gobernacion.gob.mx/Archivos/Documentos/2025/04/asun_4896460_20250430_1747757009.pdf</w:t>
        </w:r>
      </w:hyperlink>
    </w:p>
    <w:p>
      <w:pPr>
        <w:spacing w:after="0" w:before="0" w:line="360" w:lineRule="auto"/>
        <w:ind w:left="720" w:hanging="720"/>
        <w:jc w:val="left"/>
      </w:pPr>
      <w:r>
        <w:rPr>
          <w:rFonts w:ascii="Arial" w:cs="Arial" w:eastAsia="Arial" w:hAnsi="Arial"/>
          <w:sz w:val="24"/>
          <w:szCs w:val="24"/>
        </w:rPr>
        <w:t xml:space="preserve">Hunton Andrews Kurth. (2025). </w:t>
      </w:r>
      <w:r>
        <w:rPr>
          <w:rFonts w:ascii="Arial" w:cs="Arial" w:eastAsia="Arial" w:hAnsi="Arial"/>
          <w:i/>
          <w:iCs/>
          <w:sz w:val="24"/>
          <w:szCs w:val="24"/>
        </w:rPr>
        <w:t xml:space="preserve">The impact of AI executive order’s revocation remains uncertain, but new Trump EO points to path forward</w:t>
      </w:r>
      <w:r>
        <w:rPr>
          <w:rFonts w:ascii="Arial" w:cs="Arial" w:eastAsia="Arial" w:hAnsi="Arial"/>
          <w:sz w:val="24"/>
          <w:szCs w:val="24"/>
        </w:rPr>
        <w:t xml:space="preserve">. Privacy &amp; Information Security Law Blog. </w:t>
      </w:r>
      <w:hyperlink w:history="1" r:id="rIdfylvsytyqhvnw4b-uuo2t">
        <w:r>
          <w:rPr>
            <w:rStyle w:val="Hyperlink"/>
            <w:rFonts w:ascii="Arial" w:cs="Arial" w:eastAsia="Arial" w:hAnsi="Arial"/>
            <w:sz w:val="24"/>
            <w:szCs w:val="24"/>
          </w:rPr>
          <w:t xml:space="preserve">https://www.hunton.com/privacy-and-cybersecurity-law-blog/the-impact-of-ai-executive-orders-revocation-remains-uncertain-but-new-trump-eo-points-to-path-forward</w:t>
        </w:r>
      </w:hyperlink>
    </w:p>
    <w:p>
      <w:pPr>
        <w:spacing w:after="0" w:before="0" w:line="360" w:lineRule="auto"/>
        <w:ind w:left="720" w:hanging="720"/>
        <w:jc w:val="left"/>
      </w:pPr>
      <w:r>
        <w:rPr>
          <w:rFonts w:ascii="Arial" w:cs="Arial" w:eastAsia="Arial" w:hAnsi="Arial"/>
          <w:sz w:val="24"/>
          <w:szCs w:val="24"/>
        </w:rPr>
        <w:t xml:space="preserve">Instituto Nacional de Transparencia, Acceso a la Información y Protección de Datos Personales. (2022). </w:t>
      </w:r>
      <w:r>
        <w:rPr>
          <w:rFonts w:ascii="Arial" w:cs="Arial" w:eastAsia="Arial" w:hAnsi="Arial"/>
          <w:i/>
          <w:iCs/>
          <w:sz w:val="24"/>
          <w:szCs w:val="24"/>
        </w:rPr>
        <w:t xml:space="preserve">Recomendaciones para el tratamiento de datos personales derivado del uso de la inteligencia artificial</w:t>
      </w:r>
      <w:r>
        <w:rPr>
          <w:rFonts w:ascii="Arial" w:cs="Arial" w:eastAsia="Arial" w:hAnsi="Arial"/>
          <w:sz w:val="24"/>
          <w:szCs w:val="24"/>
        </w:rPr>
        <w:t xml:space="preserve">. </w:t>
      </w:r>
      <w:hyperlink w:history="1" r:id="rIdthietmuwayjk2kqojq4lq">
        <w:r>
          <w:rPr>
            <w:rStyle w:val="Hyperlink"/>
            <w:rFonts w:ascii="Arial" w:cs="Arial" w:eastAsia="Arial" w:hAnsi="Arial"/>
            <w:sz w:val="24"/>
            <w:szCs w:val="24"/>
          </w:rPr>
          <w:t xml:space="preserve">https://home.inai.org.mx/wp-content/documentos/DocumentosSectorPublico/RecomendacionesPDP-IA.pdf</w:t>
        </w:r>
      </w:hyperlink>
    </w:p>
    <w:p>
      <w:pPr>
        <w:spacing w:after="0" w:before="0" w:line="360" w:lineRule="auto"/>
        <w:ind w:left="720" w:hanging="720"/>
        <w:jc w:val="left"/>
      </w:pPr>
      <w:r>
        <w:rPr>
          <w:rFonts w:ascii="Arial" w:cs="Arial" w:eastAsia="Arial" w:hAnsi="Arial"/>
          <w:sz w:val="24"/>
          <w:szCs w:val="24"/>
        </w:rPr>
        <w:t xml:space="preserve">ITSitio. (2026). </w:t>
      </w:r>
      <w:r>
        <w:rPr>
          <w:rFonts w:ascii="Arial" w:cs="Arial" w:eastAsia="Arial" w:hAnsi="Arial"/>
          <w:i/>
          <w:iCs/>
          <w:sz w:val="24"/>
          <w:szCs w:val="24"/>
        </w:rPr>
        <w:t xml:space="preserve">Regulación de IA en México: todavía no hay una ley general, pero las reglas ya avanzan por sectores</w:t>
      </w:r>
      <w:r>
        <w:rPr>
          <w:rFonts w:ascii="Arial" w:cs="Arial" w:eastAsia="Arial" w:hAnsi="Arial"/>
          <w:sz w:val="24"/>
          <w:szCs w:val="24"/>
        </w:rPr>
        <w:t xml:space="preserve">. </w:t>
      </w:r>
      <w:hyperlink w:history="1" r:id="rIdrpokxhifyo6ikstbi8nj6">
        <w:r>
          <w:rPr>
            <w:rStyle w:val="Hyperlink"/>
            <w:rFonts w:ascii="Arial" w:cs="Arial" w:eastAsia="Arial" w:hAnsi="Arial"/>
            <w:sz w:val="24"/>
            <w:szCs w:val="24"/>
          </w:rPr>
          <w:t xml:space="preserve">https://www.itsitio.com/mx/?p=195729</w:t>
        </w:r>
      </w:hyperlink>
    </w:p>
    <w:p>
      <w:pPr>
        <w:spacing w:after="0" w:before="0" w:line="360" w:lineRule="auto"/>
        <w:ind w:left="720" w:hanging="720"/>
        <w:jc w:val="left"/>
      </w:pPr>
      <w:r>
        <w:rPr>
          <w:rFonts w:ascii="Arial" w:cs="Arial" w:eastAsia="Arial" w:hAnsi="Arial"/>
          <w:sz w:val="24"/>
          <w:szCs w:val="24"/>
        </w:rPr>
        <w:t xml:space="preserve">Lara, J. C. (2024). Inteligencia artificial en América Latina: regulación no significa protección. </w:t>
      </w:r>
      <w:r>
        <w:rPr>
          <w:rFonts w:ascii="Arial" w:cs="Arial" w:eastAsia="Arial" w:hAnsi="Arial"/>
          <w:i/>
          <w:iCs/>
          <w:sz w:val="24"/>
          <w:szCs w:val="24"/>
        </w:rPr>
        <w:t xml:space="preserve">Derechos Digitales</w:t>
      </w:r>
      <w:r>
        <w:rPr>
          <w:rFonts w:ascii="Arial" w:cs="Arial" w:eastAsia="Arial" w:hAnsi="Arial"/>
          <w:sz w:val="24"/>
          <w:szCs w:val="24"/>
        </w:rPr>
        <w:t xml:space="preserve">. </w:t>
      </w:r>
      <w:hyperlink w:history="1" r:id="rId5gtxetcxgko7pqzsri5no">
        <w:r>
          <w:rPr>
            <w:rStyle w:val="Hyperlink"/>
            <w:rFonts w:ascii="Arial" w:cs="Arial" w:eastAsia="Arial" w:hAnsi="Arial"/>
            <w:sz w:val="24"/>
            <w:szCs w:val="24"/>
          </w:rPr>
          <w:t xml:space="preserve">https://www.derechosdigitales.org/23866/inteligencia-artificial-en-america-latina-regulacion-no-significa-proteccion/</w:t>
        </w:r>
      </w:hyperlink>
    </w:p>
    <w:p>
      <w:pPr>
        <w:spacing w:after="0" w:before="0" w:line="360" w:lineRule="auto"/>
        <w:ind w:left="720" w:hanging="720"/>
        <w:jc w:val="left"/>
      </w:pPr>
      <w:r>
        <w:rPr>
          <w:rFonts w:ascii="Arial" w:cs="Arial" w:eastAsia="Arial" w:hAnsi="Arial"/>
          <w:sz w:val="24"/>
          <w:szCs w:val="24"/>
        </w:rPr>
        <w:t xml:space="preserve">Ministry of Innovation, Science and Technology. (2023). </w:t>
      </w:r>
      <w:r>
        <w:rPr>
          <w:rFonts w:ascii="Arial" w:cs="Arial" w:eastAsia="Arial" w:hAnsi="Arial"/>
          <w:i/>
          <w:iCs/>
          <w:sz w:val="24"/>
          <w:szCs w:val="24"/>
        </w:rPr>
        <w:t xml:space="preserve">Israel’s policy on artificial intelligence regulation and ethics</w:t>
      </w:r>
      <w:r>
        <w:rPr>
          <w:rFonts w:ascii="Arial" w:cs="Arial" w:eastAsia="Arial" w:hAnsi="Arial"/>
          <w:sz w:val="24"/>
          <w:szCs w:val="24"/>
        </w:rPr>
        <w:t xml:space="preserve">. </w:t>
      </w:r>
      <w:hyperlink w:history="1" r:id="rIdufhzrjrghwgwhnaworhea">
        <w:r>
          <w:rPr>
            <w:rStyle w:val="Hyperlink"/>
            <w:rFonts w:ascii="Arial" w:cs="Arial" w:eastAsia="Arial" w:hAnsi="Arial"/>
            <w:sz w:val="24"/>
            <w:szCs w:val="24"/>
          </w:rPr>
          <w:t xml:space="preserve">https://www.gov.il/BlobFolder/policy/ai_2023/en/Israels%20AI%20Policy%202023.pdf</w:t>
        </w:r>
      </w:hyperlink>
    </w:p>
    <w:p>
      <w:pPr>
        <w:spacing w:after="0" w:before="0" w:line="360" w:lineRule="auto"/>
        <w:ind w:left="720" w:hanging="720"/>
        <w:jc w:val="left"/>
      </w:pPr>
      <w:r>
        <w:rPr>
          <w:rFonts w:ascii="Arial" w:cs="Arial" w:eastAsia="Arial" w:hAnsi="Arial"/>
          <w:sz w:val="24"/>
          <w:szCs w:val="24"/>
        </w:rPr>
        <w:t xml:space="preserve">Navarrete Flores, A. D. (2026a). </w:t>
      </w:r>
      <w:r>
        <w:rPr>
          <w:rFonts w:ascii="Arial" w:cs="Arial" w:eastAsia="Arial" w:hAnsi="Arial"/>
          <w:i/>
          <w:iCs/>
          <w:sz w:val="24"/>
          <w:szCs w:val="24"/>
        </w:rPr>
        <w:t xml:space="preserve">Entre la eficiencia y la responsabilidad: dilemas éticos de la ciencia de datos y la inteligencia artificial en los procesos académicos del CIESS</w:t>
      </w:r>
      <w:r>
        <w:rPr>
          <w:rFonts w:ascii="Arial" w:cs="Arial" w:eastAsia="Arial" w:hAnsi="Arial"/>
          <w:sz w:val="24"/>
          <w:szCs w:val="24"/>
        </w:rPr>
        <w:t xml:space="preserve"> [Reto 2, módulo Aspectos éticos y normativos de la Ciencia de Datos e Inteligencia Artificial, documento no publicado]. Maestría en Inteligencia Artificial, Universidad Virtual del Estado de Guanajuato.</w:t>
      </w:r>
    </w:p>
    <w:p>
      <w:pPr>
        <w:spacing w:after="0" w:before="0" w:line="360" w:lineRule="auto"/>
        <w:ind w:left="720" w:hanging="720"/>
        <w:jc w:val="left"/>
      </w:pPr>
      <w:r>
        <w:rPr>
          <w:rFonts w:ascii="Arial" w:cs="Arial" w:eastAsia="Arial" w:hAnsi="Arial"/>
          <w:sz w:val="24"/>
          <w:szCs w:val="24"/>
        </w:rPr>
        <w:t xml:space="preserve">Navarrete Flores, A. D. (2026b). </w:t>
      </w:r>
      <w:r>
        <w:rPr>
          <w:rFonts w:ascii="Arial" w:cs="Arial" w:eastAsia="Arial" w:hAnsi="Arial"/>
          <w:i/>
          <w:iCs/>
          <w:sz w:val="24"/>
          <w:szCs w:val="24"/>
        </w:rPr>
        <w:t xml:space="preserve">Reto 3: La inteligencia artificial. Aplicación de la inteligencia artificial en entornos académicos y profesionales</w:t>
      </w:r>
      <w:r>
        <w:rPr>
          <w:rFonts w:ascii="Arial" w:cs="Arial" w:eastAsia="Arial" w:hAnsi="Arial"/>
          <w:sz w:val="24"/>
          <w:szCs w:val="24"/>
        </w:rPr>
        <w:t xml:space="preserve"> [Reto 3, módulo Inteligencia Artificial y Ciencia de Datos, documento no publicado]. Maestría en Inteligencia Artificial, Universidad Virtual del Estado de Guanajuato.</w:t>
      </w:r>
    </w:p>
    <w:p>
      <w:pPr>
        <w:spacing w:after="0" w:before="0" w:line="360" w:lineRule="auto"/>
        <w:ind w:left="720" w:hanging="720"/>
        <w:jc w:val="left"/>
      </w:pPr>
      <w:r>
        <w:rPr>
          <w:rFonts w:ascii="Arial" w:cs="Arial" w:eastAsia="Arial" w:hAnsi="Arial"/>
          <w:sz w:val="24"/>
          <w:szCs w:val="24"/>
        </w:rPr>
        <w:t xml:space="preserve">Oficina Estatal de Información de Internet de la República Popular China. (2023). </w:t>
      </w:r>
      <w:r>
        <w:rPr>
          <w:rFonts w:ascii="Arial" w:cs="Arial" w:eastAsia="Arial" w:hAnsi="Arial"/>
          <w:i/>
          <w:iCs/>
          <w:sz w:val="24"/>
          <w:szCs w:val="24"/>
        </w:rPr>
        <w:t xml:space="preserve">Medidas provisionales para la gestión de servicios de inteligencia artificial generativa</w:t>
      </w:r>
      <w:r>
        <w:rPr>
          <w:rFonts w:ascii="Arial" w:cs="Arial" w:eastAsia="Arial" w:hAnsi="Arial"/>
          <w:sz w:val="24"/>
          <w:szCs w:val="24"/>
        </w:rPr>
        <w:t xml:space="preserve">. </w:t>
      </w:r>
      <w:hyperlink w:history="1" r:id="rId4pvz75we4hrbqzpsvbyjh">
        <w:r>
          <w:rPr>
            <w:rStyle w:val="Hyperlink"/>
            <w:rFonts w:ascii="Arial" w:cs="Arial" w:eastAsia="Arial" w:hAnsi="Arial"/>
            <w:sz w:val="24"/>
            <w:szCs w:val="24"/>
          </w:rPr>
          <w:t xml:space="preserve">https://www.cac.gov.cn/2023-07/13/c_1690898327029107.htm</w:t>
        </w:r>
      </w:hyperlink>
    </w:p>
    <w:p>
      <w:pPr>
        <w:spacing w:after="0" w:before="0" w:line="360" w:lineRule="auto"/>
        <w:ind w:left="720" w:hanging="720"/>
        <w:jc w:val="left"/>
      </w:pPr>
      <w:r>
        <w:rPr>
          <w:rFonts w:ascii="Arial" w:cs="Arial" w:eastAsia="Arial" w:hAnsi="Arial"/>
          <w:sz w:val="24"/>
          <w:szCs w:val="24"/>
        </w:rPr>
        <w:t xml:space="preserve">Organisation for Economic Co-operation and Development. (2024). </w:t>
      </w:r>
      <w:r>
        <w:rPr>
          <w:rFonts w:ascii="Arial" w:cs="Arial" w:eastAsia="Arial" w:hAnsi="Arial"/>
          <w:i/>
          <w:iCs/>
          <w:sz w:val="24"/>
          <w:szCs w:val="24"/>
        </w:rPr>
        <w:t xml:space="preserve">Recommendation of the Council on Artificial Intelligence</w:t>
      </w:r>
      <w:r>
        <w:rPr>
          <w:rFonts w:ascii="Arial" w:cs="Arial" w:eastAsia="Arial" w:hAnsi="Arial"/>
          <w:sz w:val="24"/>
          <w:szCs w:val="24"/>
        </w:rPr>
        <w:t xml:space="preserve"> (OECD/LEGAL/0449). OECD Legal Instruments. </w:t>
      </w:r>
      <w:hyperlink w:history="1" r:id="rIdodbncan4uej78h7s8pbgj">
        <w:r>
          <w:rPr>
            <w:rStyle w:val="Hyperlink"/>
            <w:rFonts w:ascii="Arial" w:cs="Arial" w:eastAsia="Arial" w:hAnsi="Arial"/>
            <w:sz w:val="24"/>
            <w:szCs w:val="24"/>
          </w:rPr>
          <w:t xml:space="preserve">https://legalinstruments.oecd.org/en/instruments/OECD-LEGAL-0449</w:t>
        </w:r>
      </w:hyperlink>
    </w:p>
    <w:p>
      <w:pPr>
        <w:spacing w:after="0" w:before="0" w:line="360" w:lineRule="auto"/>
        <w:ind w:left="720" w:hanging="720"/>
        <w:jc w:val="left"/>
      </w:pPr>
      <w:r>
        <w:rPr>
          <w:rFonts w:ascii="Arial" w:cs="Arial" w:eastAsia="Arial" w:hAnsi="Arial"/>
          <w:sz w:val="24"/>
          <w:szCs w:val="24"/>
        </w:rPr>
        <w:t xml:space="preserve">Organización de las Naciones Unidas para la Educación, la Ciencia y la Cultura. (2022). </w:t>
      </w:r>
      <w:r>
        <w:rPr>
          <w:rFonts w:ascii="Arial" w:cs="Arial" w:eastAsia="Arial" w:hAnsi="Arial"/>
          <w:i/>
          <w:iCs/>
          <w:sz w:val="24"/>
          <w:szCs w:val="24"/>
        </w:rPr>
        <w:t xml:space="preserve">Recomendación sobre la ética de la inteligencia artificial</w:t>
      </w:r>
      <w:r>
        <w:rPr>
          <w:rFonts w:ascii="Arial" w:cs="Arial" w:eastAsia="Arial" w:hAnsi="Arial"/>
          <w:sz w:val="24"/>
          <w:szCs w:val="24"/>
        </w:rPr>
        <w:t xml:space="preserve"> (SHS/BIO/PI/2021/1). </w:t>
      </w:r>
      <w:hyperlink w:history="1" r:id="rIdcltvn4sorxt3jilgv4lty">
        <w:r>
          <w:rPr>
            <w:rStyle w:val="Hyperlink"/>
            <w:rFonts w:ascii="Arial" w:cs="Arial" w:eastAsia="Arial" w:hAnsi="Arial"/>
            <w:sz w:val="24"/>
            <w:szCs w:val="24"/>
          </w:rPr>
          <w:t xml:space="preserve">https://unesdoc.unesco.org/ark:/48223/pf0000381137_spa</w:t>
        </w:r>
      </w:hyperlink>
    </w:p>
    <w:p>
      <w:pPr>
        <w:spacing w:after="0" w:before="0" w:line="360" w:lineRule="auto"/>
        <w:ind w:left="720" w:hanging="720"/>
        <w:jc w:val="left"/>
      </w:pPr>
      <w:r>
        <w:rPr>
          <w:rFonts w:ascii="Arial" w:cs="Arial" w:eastAsia="Arial" w:hAnsi="Arial"/>
          <w:sz w:val="24"/>
          <w:szCs w:val="24"/>
        </w:rPr>
        <w:t xml:space="preserve">Organización Internacional de Normalización. (2022a). </w:t>
      </w:r>
      <w:r>
        <w:rPr>
          <w:rFonts w:ascii="Arial" w:cs="Arial" w:eastAsia="Arial" w:hAnsi="Arial"/>
          <w:i/>
          <w:iCs/>
          <w:sz w:val="24"/>
          <w:szCs w:val="24"/>
        </w:rPr>
        <w:t xml:space="preserve">Conceptos y terminología de la inteligencia artificial</w:t>
      </w:r>
      <w:r>
        <w:rPr>
          <w:rFonts w:ascii="Arial" w:cs="Arial" w:eastAsia="Arial" w:hAnsi="Arial"/>
          <w:sz w:val="24"/>
          <w:szCs w:val="24"/>
        </w:rPr>
        <w:t xml:space="preserve"> (ISO/IEC 22989:2022). </w:t>
      </w:r>
      <w:hyperlink w:history="1" r:id="rIddz9mbyteabhah5uxolvmf">
        <w:r>
          <w:rPr>
            <w:rStyle w:val="Hyperlink"/>
            <w:rFonts w:ascii="Arial" w:cs="Arial" w:eastAsia="Arial" w:hAnsi="Arial"/>
            <w:sz w:val="24"/>
            <w:szCs w:val="24"/>
          </w:rPr>
          <w:t xml:space="preserve">https://www.iso.org/standard/74296.html</w:t>
        </w:r>
      </w:hyperlink>
    </w:p>
    <w:p>
      <w:pPr>
        <w:spacing w:after="0" w:before="0" w:line="360" w:lineRule="auto"/>
        <w:ind w:left="720" w:hanging="720"/>
        <w:jc w:val="left"/>
      </w:pPr>
      <w:r>
        <w:rPr>
          <w:rFonts w:ascii="Arial" w:cs="Arial" w:eastAsia="Arial" w:hAnsi="Arial"/>
          <w:sz w:val="24"/>
          <w:szCs w:val="24"/>
        </w:rPr>
        <w:t xml:space="preserve">Organización Internacional de Normalización. (2022b). </w:t>
      </w:r>
      <w:r>
        <w:rPr>
          <w:rFonts w:ascii="Arial" w:cs="Arial" w:eastAsia="Arial" w:hAnsi="Arial"/>
          <w:i/>
          <w:iCs/>
          <w:sz w:val="24"/>
          <w:szCs w:val="24"/>
        </w:rPr>
        <w:t xml:space="preserve">Seguridad de la información, ciberseguridad y protección de la privacidad: Sistemas de gestión de la seguridad de la información. Requisitos</w:t>
      </w:r>
      <w:r>
        <w:rPr>
          <w:rFonts w:ascii="Arial" w:cs="Arial" w:eastAsia="Arial" w:hAnsi="Arial"/>
          <w:sz w:val="24"/>
          <w:szCs w:val="24"/>
        </w:rPr>
        <w:t xml:space="preserve"> (ISO/IEC 27001:2022). </w:t>
      </w:r>
      <w:hyperlink w:history="1" r:id="rIdt_wfaiz-v2npsyrxkxsof">
        <w:r>
          <w:rPr>
            <w:rStyle w:val="Hyperlink"/>
            <w:rFonts w:ascii="Arial" w:cs="Arial" w:eastAsia="Arial" w:hAnsi="Arial"/>
            <w:sz w:val="24"/>
            <w:szCs w:val="24"/>
          </w:rPr>
          <w:t xml:space="preserve">https://www.iso.org/standard/27001</w:t>
        </w:r>
      </w:hyperlink>
    </w:p>
    <w:p>
      <w:pPr>
        <w:spacing w:after="0" w:before="0" w:line="360" w:lineRule="auto"/>
        <w:ind w:left="720" w:hanging="720"/>
        <w:jc w:val="left"/>
      </w:pPr>
      <w:r>
        <w:rPr>
          <w:rFonts w:ascii="Arial" w:cs="Arial" w:eastAsia="Arial" w:hAnsi="Arial"/>
          <w:sz w:val="24"/>
          <w:szCs w:val="24"/>
        </w:rPr>
        <w:t xml:space="preserve">Organización Internacional de Normalización. (2023a). </w:t>
      </w:r>
      <w:r>
        <w:rPr>
          <w:rFonts w:ascii="Arial" w:cs="Arial" w:eastAsia="Arial" w:hAnsi="Arial"/>
          <w:i/>
          <w:iCs/>
          <w:sz w:val="24"/>
          <w:szCs w:val="24"/>
        </w:rPr>
        <w:t xml:space="preserve">Orientación sobre la gestión del riesgo en inteligencia artificial</w:t>
      </w:r>
      <w:r>
        <w:rPr>
          <w:rFonts w:ascii="Arial" w:cs="Arial" w:eastAsia="Arial" w:hAnsi="Arial"/>
          <w:sz w:val="24"/>
          <w:szCs w:val="24"/>
        </w:rPr>
        <w:t xml:space="preserve"> (ISO/IEC 23894:2023). </w:t>
      </w:r>
      <w:hyperlink w:history="1" r:id="rIdvtc5e2xjgkgz27tte7uf8">
        <w:r>
          <w:rPr>
            <w:rStyle w:val="Hyperlink"/>
            <w:rFonts w:ascii="Arial" w:cs="Arial" w:eastAsia="Arial" w:hAnsi="Arial"/>
            <w:sz w:val="24"/>
            <w:szCs w:val="24"/>
          </w:rPr>
          <w:t xml:space="preserve">https://www.iso.org/standard/77304.html</w:t>
        </w:r>
      </w:hyperlink>
    </w:p>
    <w:p>
      <w:pPr>
        <w:spacing w:after="0" w:before="0" w:line="360" w:lineRule="auto"/>
        <w:ind w:left="720" w:hanging="720"/>
        <w:jc w:val="left"/>
      </w:pPr>
      <w:r>
        <w:rPr>
          <w:rFonts w:ascii="Arial" w:cs="Arial" w:eastAsia="Arial" w:hAnsi="Arial"/>
          <w:sz w:val="24"/>
          <w:szCs w:val="24"/>
        </w:rPr>
        <w:t xml:space="preserve">Organización Internacional de Normalización. (2023b). </w:t>
      </w:r>
      <w:r>
        <w:rPr>
          <w:rFonts w:ascii="Arial" w:cs="Arial" w:eastAsia="Arial" w:hAnsi="Arial"/>
          <w:i/>
          <w:iCs/>
          <w:sz w:val="24"/>
          <w:szCs w:val="24"/>
        </w:rPr>
        <w:t xml:space="preserve">Sistemas de gestión de inteligencia artificial</w:t>
      </w:r>
      <w:r>
        <w:rPr>
          <w:rFonts w:ascii="Arial" w:cs="Arial" w:eastAsia="Arial" w:hAnsi="Arial"/>
          <w:sz w:val="24"/>
          <w:szCs w:val="24"/>
        </w:rPr>
        <w:t xml:space="preserve"> (ISO/IEC 42001:2023). </w:t>
      </w:r>
      <w:hyperlink w:history="1" r:id="rId15oyswzcjn9ct0avwkqhf">
        <w:r>
          <w:rPr>
            <w:rStyle w:val="Hyperlink"/>
            <w:rFonts w:ascii="Arial" w:cs="Arial" w:eastAsia="Arial" w:hAnsi="Arial"/>
            <w:sz w:val="24"/>
            <w:szCs w:val="24"/>
          </w:rPr>
          <w:t xml:space="preserve">https://www.iso.org/standard/81230.html</w:t>
        </w:r>
      </w:hyperlink>
    </w:p>
    <w:p>
      <w:pPr>
        <w:spacing w:after="0" w:before="0" w:line="360" w:lineRule="auto"/>
        <w:ind w:left="720" w:hanging="720"/>
        <w:jc w:val="left"/>
      </w:pPr>
      <w:r>
        <w:rPr>
          <w:rFonts w:ascii="Arial" w:cs="Arial" w:eastAsia="Arial" w:hAnsi="Arial"/>
          <w:sz w:val="24"/>
          <w:szCs w:val="24"/>
        </w:rPr>
        <w:t xml:space="preserve">Organización Internacional de Normalización. (2025a). </w:t>
      </w:r>
      <w:r>
        <w:rPr>
          <w:rFonts w:ascii="Arial" w:cs="Arial" w:eastAsia="Arial" w:hAnsi="Arial"/>
          <w:i/>
          <w:iCs/>
          <w:sz w:val="24"/>
          <w:szCs w:val="24"/>
        </w:rPr>
        <w:t xml:space="preserve">Evaluación del impacto de sistemas de inteligencia artificial</w:t>
      </w:r>
      <w:r>
        <w:rPr>
          <w:rFonts w:ascii="Arial" w:cs="Arial" w:eastAsia="Arial" w:hAnsi="Arial"/>
          <w:sz w:val="24"/>
          <w:szCs w:val="24"/>
        </w:rPr>
        <w:t xml:space="preserve"> (ISO/IEC 42005:2025). </w:t>
      </w:r>
      <w:hyperlink w:history="1" r:id="rIdugh2u9atagkydhepstnf5">
        <w:r>
          <w:rPr>
            <w:rStyle w:val="Hyperlink"/>
            <w:rFonts w:ascii="Arial" w:cs="Arial" w:eastAsia="Arial" w:hAnsi="Arial"/>
            <w:sz w:val="24"/>
            <w:szCs w:val="24"/>
          </w:rPr>
          <w:t xml:space="preserve">https://www.iso.org/standard/42005</w:t>
        </w:r>
      </w:hyperlink>
    </w:p>
    <w:p>
      <w:pPr>
        <w:spacing w:after="0" w:before="0" w:line="360" w:lineRule="auto"/>
        <w:ind w:left="720" w:hanging="720"/>
        <w:jc w:val="left"/>
      </w:pPr>
      <w:r>
        <w:rPr>
          <w:rFonts w:ascii="Arial" w:cs="Arial" w:eastAsia="Arial" w:hAnsi="Arial"/>
          <w:sz w:val="24"/>
          <w:szCs w:val="24"/>
        </w:rPr>
        <w:t xml:space="preserve">Organización Internacional de Normalización. (2025b). </w:t>
      </w:r>
      <w:r>
        <w:rPr>
          <w:rFonts w:ascii="Arial" w:cs="Arial" w:eastAsia="Arial" w:hAnsi="Arial"/>
          <w:i/>
          <w:iCs/>
          <w:sz w:val="24"/>
          <w:szCs w:val="24"/>
        </w:rPr>
        <w:t xml:space="preserve">Requisitos para los organismos que auditan y certifican sistemas de gestión de inteligencia artificial</w:t>
      </w:r>
      <w:r>
        <w:rPr>
          <w:rFonts w:ascii="Arial" w:cs="Arial" w:eastAsia="Arial" w:hAnsi="Arial"/>
          <w:sz w:val="24"/>
          <w:szCs w:val="24"/>
        </w:rPr>
        <w:t xml:space="preserve"> (ISO/IEC 42006:2025). </w:t>
      </w:r>
      <w:hyperlink w:history="1" r:id="rIdhjfgb5cx0cwc1m6hwxv1h">
        <w:r>
          <w:rPr>
            <w:rStyle w:val="Hyperlink"/>
            <w:rFonts w:ascii="Arial" w:cs="Arial" w:eastAsia="Arial" w:hAnsi="Arial"/>
            <w:sz w:val="24"/>
            <w:szCs w:val="24"/>
          </w:rPr>
          <w:t xml:space="preserve">https://www.iso.org/standard/42006</w:t>
        </w:r>
      </w:hyperlink>
    </w:p>
    <w:p>
      <w:pPr>
        <w:spacing w:after="0" w:before="0" w:line="360" w:lineRule="auto"/>
        <w:ind w:left="720" w:hanging="720"/>
        <w:jc w:val="left"/>
      </w:pPr>
      <w:r>
        <w:rPr>
          <w:rFonts w:ascii="Arial" w:cs="Arial" w:eastAsia="Arial" w:hAnsi="Arial"/>
          <w:sz w:val="24"/>
          <w:szCs w:val="24"/>
        </w:rPr>
        <w:t xml:space="preserve">Pacheco, R. (3 de mayo de 2023). </w:t>
      </w:r>
      <w:r>
        <w:rPr>
          <w:rFonts w:ascii="Arial" w:cs="Arial" w:eastAsia="Arial" w:hAnsi="Arial"/>
          <w:i/>
          <w:iCs/>
          <w:sz w:val="24"/>
          <w:szCs w:val="24"/>
        </w:rPr>
        <w:t xml:space="preserve">Projeto de Lei nº 2338, de 2023</w:t>
      </w:r>
      <w:r>
        <w:rPr>
          <w:rFonts w:ascii="Arial" w:cs="Arial" w:eastAsia="Arial" w:hAnsi="Arial"/>
          <w:sz w:val="24"/>
          <w:szCs w:val="24"/>
        </w:rPr>
        <w:t xml:space="preserve"> [Proyecto de ley]. Senado Federal. </w:t>
      </w:r>
      <w:hyperlink w:history="1" r:id="rId5q4kdlvb-dkpmsy4uxymt">
        <w:r>
          <w:rPr>
            <w:rStyle w:val="Hyperlink"/>
            <w:rFonts w:ascii="Arial" w:cs="Arial" w:eastAsia="Arial" w:hAnsi="Arial"/>
            <w:sz w:val="24"/>
            <w:szCs w:val="24"/>
          </w:rPr>
          <w:t xml:space="preserve">https://www.congressonacional.leg.br/web/atividade/materias/-/materia/157233</w:t>
        </w:r>
      </w:hyperlink>
    </w:p>
    <w:p>
      <w:pPr>
        <w:spacing w:after="0" w:before="0" w:line="360" w:lineRule="auto"/>
        <w:ind w:left="720" w:hanging="720"/>
        <w:jc w:val="left"/>
      </w:pPr>
      <w:r>
        <w:rPr>
          <w:rFonts w:ascii="Arial" w:cs="Arial" w:eastAsia="Arial" w:hAnsi="Arial"/>
          <w:sz w:val="24"/>
          <w:szCs w:val="24"/>
        </w:rPr>
        <w:t xml:space="preserve">Parlamento Europeo y Consejo de la Unión Europea. (27 de abril de 2016). </w:t>
      </w:r>
      <w:r>
        <w:rPr>
          <w:rFonts w:ascii="Arial" w:cs="Arial" w:eastAsia="Arial" w:hAnsi="Arial"/>
          <w:i/>
          <w:iCs/>
          <w:sz w:val="24"/>
          <w:szCs w:val="24"/>
        </w:rPr>
        <w:t xml:space="preserve">Reglamento (UE) 2016/679 relativo a la protección de las personas físicas en lo que respecta al tratamiento de datos personales y a la libre circulación de estos datos y por el que se deroga la Directiva 95/46/CE (Reglamento general de protección de datos)</w:t>
      </w:r>
      <w:r>
        <w:rPr>
          <w:rFonts w:ascii="Arial" w:cs="Arial" w:eastAsia="Arial" w:hAnsi="Arial"/>
          <w:sz w:val="24"/>
          <w:szCs w:val="24"/>
        </w:rPr>
        <w:t xml:space="preserve">. Diario Oficial de la Unión Europea, L 119. </w:t>
      </w:r>
      <w:hyperlink w:history="1" r:id="rIdjmqt4ls4mr3kn9kyjiw2p">
        <w:r>
          <w:rPr>
            <w:rStyle w:val="Hyperlink"/>
            <w:rFonts w:ascii="Arial" w:cs="Arial" w:eastAsia="Arial" w:hAnsi="Arial"/>
            <w:sz w:val="24"/>
            <w:szCs w:val="24"/>
          </w:rPr>
          <w:t xml:space="preserve">https://eur-lex.europa.eu/legal-content/ES/TXT/?uri=CELEX:32016R0679</w:t>
        </w:r>
      </w:hyperlink>
    </w:p>
    <w:p>
      <w:pPr>
        <w:spacing w:after="0" w:before="0" w:line="360" w:lineRule="auto"/>
        <w:ind w:left="720" w:hanging="720"/>
        <w:jc w:val="left"/>
      </w:pPr>
      <w:r>
        <w:rPr>
          <w:rFonts w:ascii="Arial" w:cs="Arial" w:eastAsia="Arial" w:hAnsi="Arial"/>
          <w:sz w:val="24"/>
          <w:szCs w:val="24"/>
        </w:rPr>
        <w:t xml:space="preserve">Parlamento Europeo y Consejo de la Unión Europea. (13 de junio de 2024). </w:t>
      </w:r>
      <w:r>
        <w:rPr>
          <w:rFonts w:ascii="Arial" w:cs="Arial" w:eastAsia="Arial" w:hAnsi="Arial"/>
          <w:i/>
          <w:iCs/>
          <w:sz w:val="24"/>
          <w:szCs w:val="24"/>
        </w:rPr>
        <w:t xml:space="preserve">Reglamento (UE) 2024/1689 por el que se establecen normas armonizadas en materia de inteligencia artificial (Reglamento de Inteligencia Artificial)</w:t>
      </w:r>
      <w:r>
        <w:rPr>
          <w:rFonts w:ascii="Arial" w:cs="Arial" w:eastAsia="Arial" w:hAnsi="Arial"/>
          <w:sz w:val="24"/>
          <w:szCs w:val="24"/>
        </w:rPr>
        <w:t xml:space="preserve">. Diario Oficial de la Unión Europea, L 2024/1689. </w:t>
      </w:r>
      <w:hyperlink w:history="1" r:id="rIdlnotakm_-9b2bnjlymwcj">
        <w:r>
          <w:rPr>
            <w:rStyle w:val="Hyperlink"/>
            <w:rFonts w:ascii="Arial" w:cs="Arial" w:eastAsia="Arial" w:hAnsi="Arial"/>
            <w:sz w:val="24"/>
            <w:szCs w:val="24"/>
          </w:rPr>
          <w:t xml:space="preserve">https://eur-lex.europa.eu/legal-content/ES/TXT/PDF/?uri=OJ:L_202401689</w:t>
        </w:r>
      </w:hyperlink>
    </w:p>
    <w:p>
      <w:pPr>
        <w:spacing w:after="0" w:before="0" w:line="360" w:lineRule="auto"/>
        <w:ind w:left="720" w:hanging="720"/>
        <w:jc w:val="left"/>
      </w:pPr>
      <w:r>
        <w:rPr>
          <w:rFonts w:ascii="Arial" w:cs="Arial" w:eastAsia="Arial" w:hAnsi="Arial"/>
          <w:sz w:val="24"/>
          <w:szCs w:val="24"/>
        </w:rPr>
        <w:t xml:space="preserve">Parlamento Europeo y Consejo de la Unión Europea. (8 de julio de 2026). </w:t>
      </w:r>
      <w:r>
        <w:rPr>
          <w:rFonts w:ascii="Arial" w:cs="Arial" w:eastAsia="Arial" w:hAnsi="Arial"/>
          <w:i/>
          <w:iCs/>
          <w:sz w:val="24"/>
          <w:szCs w:val="24"/>
        </w:rPr>
        <w:t xml:space="preserve">Reglamento (UE) 2026/1744 por el que se modifican los Reglamentos (UE) 2024/1689, (UE) 2018/1139 y (UE) 2023/1230 en lo que respecta a la simplificación de la aplicación de las normas armonizadas en materia de inteligencia artificial (Ómnibus digital sobre IA)</w:t>
      </w:r>
      <w:r>
        <w:rPr>
          <w:rFonts w:ascii="Arial" w:cs="Arial" w:eastAsia="Arial" w:hAnsi="Arial"/>
          <w:sz w:val="24"/>
          <w:szCs w:val="24"/>
        </w:rPr>
        <w:t xml:space="preserve">. Diario Oficial de la Unión Europea, L 2026/1744. </w:t>
      </w:r>
      <w:hyperlink w:history="1" r:id="rIdxymesmpnx3xhendbvewvm">
        <w:r>
          <w:rPr>
            <w:rStyle w:val="Hyperlink"/>
            <w:rFonts w:ascii="Arial" w:cs="Arial" w:eastAsia="Arial" w:hAnsi="Arial"/>
            <w:sz w:val="24"/>
            <w:szCs w:val="24"/>
          </w:rPr>
          <w:t xml:space="preserve">https://www.boe.es/doue/2026/1744/L00001-00041.pdf</w:t>
        </w:r>
      </w:hyperlink>
    </w:p>
    <w:p>
      <w:pPr>
        <w:spacing w:after="0" w:before="0" w:line="360" w:lineRule="auto"/>
        <w:ind w:left="720" w:hanging="720"/>
        <w:jc w:val="left"/>
      </w:pPr>
      <w:r>
        <w:rPr>
          <w:rFonts w:ascii="Arial" w:cs="Arial" w:eastAsia="Arial" w:hAnsi="Arial"/>
          <w:sz w:val="24"/>
          <w:szCs w:val="24"/>
        </w:rPr>
        <w:t xml:space="preserve">Parliament of Canada. (16 de junio de 2022). </w:t>
      </w:r>
      <w:r>
        <w:rPr>
          <w:rFonts w:ascii="Arial" w:cs="Arial" w:eastAsia="Arial" w:hAnsi="Arial"/>
          <w:i/>
          <w:iCs/>
          <w:sz w:val="24"/>
          <w:szCs w:val="24"/>
        </w:rPr>
        <w:t xml:space="preserve">Bill C-27: An Act to enact the Consumer Privacy Protection Act, the Personal Information and Data Protection Tribunal Act and the Artificial Intelligence and Data Act and to make consequential and related amendments to other Acts</w:t>
      </w:r>
      <w:r>
        <w:rPr>
          <w:rFonts w:ascii="Arial" w:cs="Arial" w:eastAsia="Arial" w:hAnsi="Arial"/>
          <w:sz w:val="24"/>
          <w:szCs w:val="24"/>
        </w:rPr>
        <w:t xml:space="preserve">. </w:t>
      </w:r>
      <w:hyperlink w:history="1" r:id="rIdmjuwyps_xzwvwx_foh8mc">
        <w:r>
          <w:rPr>
            <w:rStyle w:val="Hyperlink"/>
            <w:rFonts w:ascii="Arial" w:cs="Arial" w:eastAsia="Arial" w:hAnsi="Arial"/>
            <w:sz w:val="24"/>
            <w:szCs w:val="24"/>
          </w:rPr>
          <w:t xml:space="preserve">https://www.parl.ca/legisinfo/en/bill/44-1/c-27</w:t>
        </w:r>
      </w:hyperlink>
    </w:p>
    <w:p>
      <w:pPr>
        <w:spacing w:after="0" w:before="0" w:line="360" w:lineRule="auto"/>
        <w:ind w:left="720" w:hanging="720"/>
        <w:jc w:val="left"/>
      </w:pPr>
      <w:r>
        <w:rPr>
          <w:rFonts w:ascii="Arial" w:cs="Arial" w:eastAsia="Arial" w:hAnsi="Arial"/>
          <w:sz w:val="24"/>
          <w:szCs w:val="24"/>
        </w:rPr>
        <w:t xml:space="preserve">Presidência da República. (15 de agosto de 2018). </w:t>
      </w:r>
      <w:r>
        <w:rPr>
          <w:rFonts w:ascii="Arial" w:cs="Arial" w:eastAsia="Arial" w:hAnsi="Arial"/>
          <w:i/>
          <w:iCs/>
          <w:sz w:val="24"/>
          <w:szCs w:val="24"/>
        </w:rPr>
        <w:t xml:space="preserve">Lei nº 13.709, Lei Geral de Proteção de Dados Pessoais (LGPD)</w:t>
      </w:r>
      <w:r>
        <w:rPr>
          <w:rFonts w:ascii="Arial" w:cs="Arial" w:eastAsia="Arial" w:hAnsi="Arial"/>
          <w:sz w:val="24"/>
          <w:szCs w:val="24"/>
        </w:rPr>
        <w:t xml:space="preserve">. Diário Oficial da União. </w:t>
      </w:r>
      <w:hyperlink w:history="1" r:id="rIdu98w0xoitjlc-u81om-h5">
        <w:r>
          <w:rPr>
            <w:rStyle w:val="Hyperlink"/>
            <w:rFonts w:ascii="Arial" w:cs="Arial" w:eastAsia="Arial" w:hAnsi="Arial"/>
            <w:sz w:val="24"/>
            <w:szCs w:val="24"/>
          </w:rPr>
          <w:t xml:space="preserve">https://www.planalto.gov.br/ccivil_03/_ato2015-2018/2018/lei/l13709.htm</w:t>
        </w:r>
      </w:hyperlink>
    </w:p>
    <w:p>
      <w:pPr>
        <w:spacing w:after="0" w:before="0" w:line="360" w:lineRule="auto"/>
        <w:ind w:left="720" w:hanging="720"/>
        <w:jc w:val="left"/>
      </w:pPr>
      <w:r>
        <w:rPr>
          <w:rFonts w:ascii="Arial" w:cs="Arial" w:eastAsia="Arial" w:hAnsi="Arial"/>
          <w:sz w:val="24"/>
          <w:szCs w:val="24"/>
        </w:rPr>
        <w:t xml:space="preserve">Secretaría de Ciencia, Humanidades, Tecnología e Innovación y Agencia de Transformación Digital y Telecomunicaciones. (29 de enero de 2026). </w:t>
      </w:r>
      <w:r>
        <w:rPr>
          <w:rFonts w:ascii="Arial" w:cs="Arial" w:eastAsia="Arial" w:hAnsi="Arial"/>
          <w:i/>
          <w:iCs/>
          <w:sz w:val="24"/>
          <w:szCs w:val="24"/>
        </w:rPr>
        <w:t xml:space="preserve">Principios de Chapultepec: Declaración de ética y buenas prácticas para el uso y desarrollo de la inteligencia artificial</w:t>
      </w:r>
      <w:r>
        <w:rPr>
          <w:rFonts w:ascii="Arial" w:cs="Arial" w:eastAsia="Arial" w:hAnsi="Arial"/>
          <w:sz w:val="24"/>
          <w:szCs w:val="24"/>
        </w:rPr>
        <w:t xml:space="preserve">. </w:t>
      </w:r>
      <w:hyperlink w:history="1" r:id="rIdudvl3c6jvedot9c4qubuw">
        <w:r>
          <w:rPr>
            <w:rStyle w:val="Hyperlink"/>
            <w:rFonts w:ascii="Arial" w:cs="Arial" w:eastAsia="Arial" w:hAnsi="Arial"/>
            <w:sz w:val="24"/>
            <w:szCs w:val="24"/>
          </w:rPr>
          <w:t xml:space="preserve">https://secihti.mx/wp-content/uploads/2026/02/Principios_Chapultepec.pdf</w:t>
        </w:r>
      </w:hyperlink>
    </w:p>
    <w:p>
      <w:pPr>
        <w:spacing w:after="0" w:before="0" w:line="360" w:lineRule="auto"/>
        <w:ind w:left="720" w:hanging="720"/>
        <w:jc w:val="left"/>
      </w:pPr>
      <w:r>
        <w:rPr>
          <w:rFonts w:ascii="Arial" w:cs="Arial" w:eastAsia="Arial" w:hAnsi="Arial"/>
          <w:sz w:val="24"/>
          <w:szCs w:val="24"/>
        </w:rPr>
        <w:t xml:space="preserve">Suprema Corte de Justicia de la Nación. (2025). </w:t>
      </w:r>
      <w:r>
        <w:rPr>
          <w:rFonts w:ascii="Arial" w:cs="Arial" w:eastAsia="Arial" w:hAnsi="Arial"/>
          <w:i/>
          <w:iCs/>
          <w:sz w:val="24"/>
          <w:szCs w:val="24"/>
        </w:rPr>
        <w:t xml:space="preserve">Amparo directo 6/2025</w:t>
      </w:r>
      <w:r>
        <w:rPr>
          <w:rFonts w:ascii="Arial" w:cs="Arial" w:eastAsia="Arial" w:hAnsi="Arial"/>
          <w:sz w:val="24"/>
          <w:szCs w:val="24"/>
        </w:rPr>
        <w:t xml:space="preserve"> [Sentencia]. Segunda Sala. </w:t>
      </w:r>
      <w:hyperlink w:history="1" r:id="rIdyuwp2sdapik_y3y3cbkc4">
        <w:r>
          <w:rPr>
            <w:rStyle w:val="Hyperlink"/>
            <w:rFonts w:ascii="Arial" w:cs="Arial" w:eastAsia="Arial" w:hAnsi="Arial"/>
            <w:sz w:val="24"/>
            <w:szCs w:val="24"/>
          </w:rPr>
          <w:t xml:space="preserve">https://www2.scjn.gob.mx/juridica/engroses/2/2025/1/2_346361_7265_firmado.pdf</w:t>
        </w:r>
      </w:hyperlink>
    </w:p>
    <w:p>
      <w:pPr>
        <w:spacing w:after="0" w:before="0" w:line="360" w:lineRule="auto"/>
        <w:ind w:left="720" w:hanging="720"/>
        <w:jc w:val="left"/>
      </w:pPr>
      <w:r>
        <w:rPr>
          <w:rFonts w:ascii="Arial" w:cs="Arial" w:eastAsia="Arial" w:hAnsi="Arial"/>
          <w:sz w:val="24"/>
          <w:szCs w:val="24"/>
        </w:rPr>
        <w:t xml:space="preserve">The White House. (30 de octubre de 2023). </w:t>
      </w:r>
      <w:r>
        <w:rPr>
          <w:rFonts w:ascii="Arial" w:cs="Arial" w:eastAsia="Arial" w:hAnsi="Arial"/>
          <w:i/>
          <w:iCs/>
          <w:sz w:val="24"/>
          <w:szCs w:val="24"/>
        </w:rPr>
        <w:t xml:space="preserve">Executive order on the safe, secure, and trustworthy development and use of artificial intelligence</w:t>
      </w:r>
      <w:r>
        <w:rPr>
          <w:rFonts w:ascii="Arial" w:cs="Arial" w:eastAsia="Arial" w:hAnsi="Arial"/>
          <w:sz w:val="24"/>
          <w:szCs w:val="24"/>
        </w:rPr>
        <w:t xml:space="preserve">. </w:t>
      </w:r>
      <w:hyperlink w:history="1" r:id="rIdliexciwi0rftyska73yeg">
        <w:r>
          <w:rPr>
            <w:rStyle w:val="Hyperlink"/>
            <w:rFonts w:ascii="Arial" w:cs="Arial" w:eastAsia="Arial" w:hAnsi="Arial"/>
            <w:sz w:val="24"/>
            <w:szCs w:val="24"/>
          </w:rPr>
          <w:t xml:space="preserve">https://bidenwhitehouse.archives.gov/briefing-room/presidential-actions/2023/10/30/executive-order-on-the-safe-secure-and-trustworthy-development-and-use-of-artificial-intelligence/</w:t>
        </w:r>
      </w:hyperlink>
    </w:p>
    <w:sectPr>
      <w:headerReference w:type="default" r:id="rId7"/>
      <w:headerReference w:type="first" r:id="rId8"/>
      <w:pgSz w:w="12240" w:h="15840"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spacing w:after="0" w:before="0" w:line="360" w:lineRule="auto"/>
      <w:outlineLvl w:val="2"/>
    </w:pPr>
    <w:rPr>
      <w:rFonts w:ascii="Arial" w:cs="Arial" w:eastAsia="Arial" w:hAnsi="Arial"/>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4n45gez32jzphinarnghh" Type="http://schemas.openxmlformats.org/officeDocument/2006/relationships/hyperlink" Target="https://basham.com.mx/nuevos-derechos-para-las-personas-trabajadoras-artistas-interpretes-o-ejecutantes/" TargetMode="External"/><Relationship Id="rIdbb5l16jlaqyorcedkcwvb" Type="http://schemas.openxmlformats.org/officeDocument/2006/relationships/hyperlink" Target="https://www.diputados.gob.mx/LeyesBiblio/pdf/CPEUM.pdf" TargetMode="External"/><Relationship Id="rIdpbh-apu3wmxn8vyfl1rqc" Type="http://schemas.openxmlformats.org/officeDocument/2006/relationships/hyperlink" Target="https://www.diputados.gob.mx/LeyesBiblio/pdf/CPF.pdf" TargetMode="External"/><Relationship Id="rIdxrufj4hweqfsavje0zuv6" Type="http://schemas.openxmlformats.org/officeDocument/2006/relationships/hyperlink" Target="https://www.diputados.gob.mx/LeyesBiblio/pdf/LFDA.pdf" TargetMode="External"/><Relationship Id="rIdj7grtp81qvohwaziktb9i" Type="http://schemas.openxmlformats.org/officeDocument/2006/relationships/hyperlink" Target="https://www.diputados.gob.mx/LeyesBiblio/pdf/LGAMVLV.pdf" TargetMode="External"/><Relationship Id="rIdv_kndhtkbp4gfgnjusd8m" Type="http://schemas.openxmlformats.org/officeDocument/2006/relationships/hyperlink" Target="https://www.diputados.gob.mx/LeyesBiblio/pdf/LFPDPPP.pdf" TargetMode="External"/><Relationship Id="rIdm0d-hmsh_5bnuctof0wkl" Type="http://schemas.openxmlformats.org/officeDocument/2006/relationships/hyperlink" Target="https://www.diputados.gob.mx/LeyesBiblio/pdf/LGPDPPSO.pdf" TargetMode="External"/><Relationship Id="rId83mx4il_jdowyiskl77hk" Type="http://schemas.openxmlformats.org/officeDocument/2006/relationships/hyperlink" Target="https://home.ciess.org/directorio/" TargetMode="External"/><Relationship Id="rIdzeradjwq0kec0o6ij5wcp" Type="http://schemas.openxmlformats.org/officeDocument/2006/relationships/hyperlink" Target="https://home.ciess.org/inscripciones-y-admisiones/" TargetMode="External"/><Relationship Id="rId3dagnh8-6__mgoarb5jqv" Type="http://schemas.openxmlformats.org/officeDocument/2006/relationships/hyperlink" Target="https://home.ciess.org/microaprendizaje-abc-de-la-inteligencia-artificial-2026/" TargetMode="External"/><Relationship Id="rId0fbkoh9c01snvrohxjuvu" Type="http://schemas.openxmlformats.org/officeDocument/2006/relationships/hyperlink" Target="https://home.ciess.org/nosotros/" TargetMode="External"/><Relationship Id="rIdwarblzrd1mxz7w9rtrzjz" Type="http://schemas.openxmlformats.org/officeDocument/2006/relationships/hyperlink" Target="https://home.ciess.org/programa-academico-2026/" TargetMode="External"/><Relationship Id="rIdcpsgpf_mbmbs11mes-1xi" Type="http://schemas.openxmlformats.org/officeDocument/2006/relationships/hyperlink" Target="https://home.ciess.org/wp-content/uploads/2025/09/REGLAMENTO_ACADEMICO_VF_ESP-1.pdf" TargetMode="External"/><Relationship Id="rIdfvgx-d_lk7q9zeukceq9j" Type="http://schemas.openxmlformats.org/officeDocument/2006/relationships/hyperlink" Target="https://ia2030.mx/agenda-nacional-mexicana-de-inteligencia-artificial/" TargetMode="External"/><Relationship Id="rIdsnwljw7tm9abhi_uaealo" Type="http://schemas.openxmlformats.org/officeDocument/2006/relationships/hyperlink" Target="https://ciss-bienestar.org/politica-y-aviso-de-privacidad/" TargetMode="External"/><Relationship Id="rIdjrnxxuyaezyx3z2op59us" Type="http://schemas.openxmlformats.org/officeDocument/2006/relationships/hyperlink" Target="https://www.funcionpublica.gov.co/eva/gestornormativo/norma.php?i=49981" TargetMode="External"/><Relationship Id="rIdzy8b7euvoasjnuss1hhrt" Type="http://schemas.openxmlformats.org/officeDocument/2006/relationships/hyperlink" Target="https://www.argentina.gob.ar/normativa/nacional/64790/texto" TargetMode="External"/><Relationship Id="rIdtrk-uyvwnv3-kedz8a1lb" Type="http://schemas.openxmlformats.org/officeDocument/2006/relationships/hyperlink" Target="https://www.coe.int/en/web/conventions/full-list/-/conventions/treaty/108" TargetMode="External"/><Relationship Id="rIdtl9tppo6rz5aebmf9kkap" Type="http://schemas.openxmlformats.org/officeDocument/2006/relationships/hyperlink" Target="https://www.gov.uk/government/publications/ai-regulation-a-pro-innovation-approach/white-paper" TargetMode="External"/><Relationship Id="rIdki_yfqbixph5_dsl1jlqc" Type="http://schemas.openxmlformats.org/officeDocument/2006/relationships/hyperlink" Target="https://www.gob.mx/cms/uploads/attachment/file/271884/Estrategia_Nacional_Ciberseguridad.pdf" TargetMode="External"/><Relationship Id="rIda4dik2gvsfzbhbc12bues" Type="http://schemas.openxmlformats.org/officeDocument/2006/relationships/hyperlink" Target="https://laws-lois.justice.gc.ca/eng/acts/p-8.6/" TargetMode="External"/><Relationship Id="rIdl2fends3qijhx1rzxd6lt" Type="http://schemas.openxmlformats.org/officeDocument/2006/relationships/hyperlink" Target="https://sil.gobernacion.gob.mx/Archivos/Documentos/2025/04/asun_4896460_20250430_1747757009.pdf" TargetMode="External"/><Relationship Id="rIdfylvsytyqhvnw4b-uuo2t" Type="http://schemas.openxmlformats.org/officeDocument/2006/relationships/hyperlink" Target="https://www.hunton.com/privacy-and-cybersecurity-law-blog/the-impact-of-ai-executive-orders-revocation-remains-uncertain-but-new-trump-eo-points-to-path-forward" TargetMode="External"/><Relationship Id="rIdthietmuwayjk2kqojq4lq" Type="http://schemas.openxmlformats.org/officeDocument/2006/relationships/hyperlink" Target="https://home.inai.org.mx/wp-content/documentos/DocumentosSectorPublico/RecomendacionesPDP-IA.pdf" TargetMode="External"/><Relationship Id="rIdrpokxhifyo6ikstbi8nj6" Type="http://schemas.openxmlformats.org/officeDocument/2006/relationships/hyperlink" Target="https://www.itsitio.com/mx/?p=195729" TargetMode="External"/><Relationship Id="rId5gtxetcxgko7pqzsri5no" Type="http://schemas.openxmlformats.org/officeDocument/2006/relationships/hyperlink" Target="https://www.derechosdigitales.org/23866/inteligencia-artificial-en-america-latina-regulacion-no-significa-proteccion/" TargetMode="External"/><Relationship Id="rIdufhzrjrghwgwhnaworhea" Type="http://schemas.openxmlformats.org/officeDocument/2006/relationships/hyperlink" Target="https://www.gov.il/BlobFolder/policy/ai_2023/en/Israels%20AI%20Policy%202023.pdf" TargetMode="External"/><Relationship Id="rId4pvz75we4hrbqzpsvbyjh" Type="http://schemas.openxmlformats.org/officeDocument/2006/relationships/hyperlink" Target="https://www.cac.gov.cn/2023-07/13/c_1690898327029107.htm" TargetMode="External"/><Relationship Id="rIdodbncan4uej78h7s8pbgj" Type="http://schemas.openxmlformats.org/officeDocument/2006/relationships/hyperlink" Target="https://legalinstruments.oecd.org/en/instruments/OECD-LEGAL-0449" TargetMode="External"/><Relationship Id="rIdcltvn4sorxt3jilgv4lty" Type="http://schemas.openxmlformats.org/officeDocument/2006/relationships/hyperlink" Target="https://unesdoc.unesco.org/ark:/48223/pf0000381137_spa" TargetMode="External"/><Relationship Id="rIddz9mbyteabhah5uxolvmf" Type="http://schemas.openxmlformats.org/officeDocument/2006/relationships/hyperlink" Target="https://www.iso.org/standard/74296.html" TargetMode="External"/><Relationship Id="rIdt_wfaiz-v2npsyrxkxsof" Type="http://schemas.openxmlformats.org/officeDocument/2006/relationships/hyperlink" Target="https://www.iso.org/standard/27001" TargetMode="External"/><Relationship Id="rIdvtc5e2xjgkgz27tte7uf8" Type="http://schemas.openxmlformats.org/officeDocument/2006/relationships/hyperlink" Target="https://www.iso.org/standard/77304.html" TargetMode="External"/><Relationship Id="rId15oyswzcjn9ct0avwkqhf" Type="http://schemas.openxmlformats.org/officeDocument/2006/relationships/hyperlink" Target="https://www.iso.org/standard/81230.html" TargetMode="External"/><Relationship Id="rIdugh2u9atagkydhepstnf5" Type="http://schemas.openxmlformats.org/officeDocument/2006/relationships/hyperlink" Target="https://www.iso.org/standard/42005" TargetMode="External"/><Relationship Id="rIdhjfgb5cx0cwc1m6hwxv1h" Type="http://schemas.openxmlformats.org/officeDocument/2006/relationships/hyperlink" Target="https://www.iso.org/standard/42006" TargetMode="External"/><Relationship Id="rId5q4kdlvb-dkpmsy4uxymt" Type="http://schemas.openxmlformats.org/officeDocument/2006/relationships/hyperlink" Target="https://www.congressonacional.leg.br/web/atividade/materias/-/materia/157233" TargetMode="External"/><Relationship Id="rIdjmqt4ls4mr3kn9kyjiw2p" Type="http://schemas.openxmlformats.org/officeDocument/2006/relationships/hyperlink" Target="https://eur-lex.europa.eu/legal-content/ES/TXT/?uri=CELEX:32016R0679" TargetMode="External"/><Relationship Id="rIdlnotakm_-9b2bnjlymwcj" Type="http://schemas.openxmlformats.org/officeDocument/2006/relationships/hyperlink" Target="https://eur-lex.europa.eu/legal-content/ES/TXT/PDF/?uri=OJ:L_202401689" TargetMode="External"/><Relationship Id="rIdxymesmpnx3xhendbvewvm" Type="http://schemas.openxmlformats.org/officeDocument/2006/relationships/hyperlink" Target="https://www.boe.es/doue/2026/1744/L00001-00041.pdf" TargetMode="External"/><Relationship Id="rIdmjuwyps_xzwvwx_foh8mc" Type="http://schemas.openxmlformats.org/officeDocument/2006/relationships/hyperlink" Target="https://www.parl.ca/legisinfo/en/bill/44-1/c-27" TargetMode="External"/><Relationship Id="rIdu98w0xoitjlc-u81om-h5" Type="http://schemas.openxmlformats.org/officeDocument/2006/relationships/hyperlink" Target="https://www.planalto.gov.br/ccivil_03/_ato2015-2018/2018/lei/l13709.htm" TargetMode="External"/><Relationship Id="rIdudvl3c6jvedot9c4qubuw" Type="http://schemas.openxmlformats.org/officeDocument/2006/relationships/hyperlink" Target="https://secihti.mx/wp-content/uploads/2026/02/Principios_Chapultepec.pdf" TargetMode="External"/><Relationship Id="rIdyuwp2sdapik_y3y3cbkc4" Type="http://schemas.openxmlformats.org/officeDocument/2006/relationships/hyperlink" Target="https://www2.scjn.gob.mx/juridica/engroses/2/2025/1/2_346361_7265_firmado.pdf" TargetMode="External"/><Relationship Id="rIdliexciwi0rftyska73yeg" Type="http://schemas.openxmlformats.org/officeDocument/2006/relationships/hyperlink" Target="https://bidenwhitehouse.archives.gov/briefing-room/presidential-actions/2023/10/30/executive-order-on-the-safe-secure-and-trustworthy-development-and-use-of-artificial-intelligence/" TargetMode="External"/><Relationship Id="rId9" Type="http://schemas.openxmlformats.org/officeDocument/2006/relationships/image" Target="media/5951818202f0ae4061aa00d74cf0fca5c1ca172b.png"/><Relationship Id="rId10" Type="http://schemas.openxmlformats.org/officeDocument/2006/relationships/image" Target="media/759452d37c7609302b9d34d617285dd8479bc98c.jp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aplicable al uso de la ciencia de datos y la inteligencia artificial en el CIESS: evaluación y recomendaciones</dc:title>
  <dc:creator>Arturo David Navarrete Flores</dc:creator>
  <cp:lastModifiedBy>Un-named</cp:lastModifiedBy>
  <cp:revision>1</cp:revision>
  <dcterms:created xsi:type="dcterms:W3CDTF">2026-10-11T06:03:00.748Z</dcterms:created>
  <dcterms:modified xsi:type="dcterms:W3CDTF">2026-10-11T06:03:00.748Z</dcterms:modified>
</cp:coreProperties>
</file>

<file path=docProps/custom.xml><?xml version="1.0" encoding="utf-8"?>
<Properties xmlns="http://schemas.openxmlformats.org/officeDocument/2006/custom-properties" xmlns:vt="http://schemas.openxmlformats.org/officeDocument/2006/docPropsVTypes"/>
</file>