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line="360" w:lineRule="auto"/>
        <w:jc w:val="center"/>
      </w:pPr>
      <w:r>
        <w:rPr>
          <w:rFonts w:ascii="Arial" w:cs="Arial" w:eastAsia="Arial" w:hAnsi="Arial"/>
          <w:b/>
          <w:bCs/>
          <w:sz w:val="24"/>
          <w:szCs w:val="24"/>
        </w:rPr>
        <w:t xml:space="preserve">Universidad Virtual del Estado de Guanajuato</w:t>
      </w:r>
    </w:p>
    <w:p>
      <w:pPr>
        <w:spacing w:after="0" w:before="0" w:line="360" w:lineRule="auto"/>
        <w:jc w:val="center"/>
      </w:pPr>
      <w:r>
        <w:rPr>
          <w:rFonts w:ascii="Arial" w:cs="Arial" w:eastAsia="Arial" w:hAnsi="Arial"/>
          <w:sz w:val="24"/>
          <w:szCs w:val="24"/>
        </w:rPr>
        <w:t xml:space="preserve">Maestría en Inteligencia Artificial</w:t>
      </w:r>
    </w:p>
    <w:p>
      <w:pPr>
        <w:spacing w:after="0" w:before="480" w:line="360" w:lineRule="auto"/>
        <w:jc w:val="center"/>
      </w:pPr>
      <w:r>
        <w:rPr>
          <w:rFonts w:ascii="Arial" w:cs="Arial" w:eastAsia="Arial" w:hAnsi="Arial"/>
          <w:b/>
          <w:bCs/>
          <w:sz w:val="24"/>
          <w:szCs w:val="24"/>
        </w:rPr>
        <w:t xml:space="preserve">Módulo:</w:t>
      </w:r>
      <w:r>
        <w:rPr>
          <w:rFonts w:ascii="Arial" w:cs="Arial" w:eastAsia="Arial" w:hAnsi="Arial"/>
          <w:sz w:val="24"/>
          <w:szCs w:val="24"/>
        </w:rPr>
        <w:t xml:space="preserve"> </w:t>
      </w:r>
      <w:r>
        <w:rPr>
          <w:rFonts w:ascii="Arial" w:cs="Arial" w:eastAsia="Arial" w:hAnsi="Arial"/>
          <w:sz w:val="24"/>
          <w:szCs w:val="24"/>
          <w:shd w:fill="FFFF00" w:color="auto" w:val="clear"/>
        </w:rPr>
        <w:t xml:space="preserve">[Nombre del módulo]</w:t>
      </w:r>
    </w:p>
    <w:p>
      <w:pPr>
        <w:spacing w:after="0" w:before="0" w:line="360" w:lineRule="auto"/>
        <w:jc w:val="center"/>
      </w:pPr>
      <w:r>
        <w:rPr>
          <w:rFonts w:ascii="Arial" w:cs="Arial" w:eastAsia="Arial" w:hAnsi="Arial"/>
          <w:b/>
          <w:bCs/>
          <w:sz w:val="24"/>
          <w:szCs w:val="24"/>
        </w:rPr>
        <w:t xml:space="preserve">Reto 2:</w:t>
      </w:r>
      <w:r>
        <w:rPr>
          <w:rFonts w:ascii="Arial" w:cs="Arial" w:eastAsia="Arial" w:hAnsi="Arial"/>
          <w:sz w:val="24"/>
          <w:szCs w:val="24"/>
        </w:rPr>
        <w:t xml:space="preserve"> Prospectiva de aspectos éticos involucrados en los avances de la ciencia de datos e IA</w:t>
      </w:r>
    </w:p>
    <w:p>
      <w:pPr>
        <w:spacing w:after="0" w:before="600" w:line="360" w:lineRule="auto"/>
        <w:jc w:val="center"/>
      </w:pPr>
      <w:r>
        <w:rPr>
          <w:rFonts w:ascii="Arial" w:cs="Arial" w:eastAsia="Arial" w:hAnsi="Arial"/>
          <w:b/>
          <w:bCs/>
          <w:sz w:val="24"/>
          <w:szCs w:val="24"/>
        </w:rPr>
        <w:t xml:space="preserve">Entre la eficiencia y la responsabilidad: dilemas éticos de la ciencia de datos y la inteligencia artificial en los procesos académicos del CIESS</w:t>
      </w:r>
    </w:p>
    <w:p>
      <w:pPr>
        <w:spacing w:after="0" w:before="720" w:line="360" w:lineRule="auto"/>
        <w:jc w:val="center"/>
      </w:pPr>
      <w:r>
        <w:rPr>
          <w:rFonts w:ascii="Arial" w:cs="Arial" w:eastAsia="Arial" w:hAnsi="Arial"/>
          <w:b/>
          <w:bCs/>
          <w:sz w:val="24"/>
          <w:szCs w:val="24"/>
        </w:rPr>
        <w:t xml:space="preserve">Nombre del alumno:</w:t>
      </w:r>
      <w:r>
        <w:rPr>
          <w:rFonts w:ascii="Arial" w:cs="Arial" w:eastAsia="Arial" w:hAnsi="Arial"/>
          <w:sz w:val="24"/>
          <w:szCs w:val="24"/>
        </w:rPr>
        <w:t xml:space="preserve"> Arturo David Navarrete Flores</w:t>
      </w:r>
    </w:p>
    <w:p>
      <w:pPr>
        <w:spacing w:after="0" w:before="0" w:line="360" w:lineRule="auto"/>
        <w:jc w:val="center"/>
      </w:pPr>
      <w:r>
        <w:rPr>
          <w:rFonts w:ascii="Arial" w:cs="Arial" w:eastAsia="Arial" w:hAnsi="Arial"/>
          <w:b/>
          <w:bCs/>
          <w:sz w:val="24"/>
          <w:szCs w:val="24"/>
        </w:rPr>
        <w:t xml:space="preserve">Número de matrícula:</w:t>
      </w:r>
      <w:r>
        <w:rPr>
          <w:rFonts w:ascii="Arial" w:cs="Arial" w:eastAsia="Arial" w:hAnsi="Arial"/>
          <w:sz w:val="24"/>
          <w:szCs w:val="24"/>
        </w:rPr>
        <w:t xml:space="preserve"> 26014842</w:t>
      </w:r>
    </w:p>
    <w:p>
      <w:pPr>
        <w:spacing w:after="0" w:before="0" w:line="360" w:lineRule="auto"/>
        <w:jc w:val="center"/>
      </w:pPr>
      <w:r>
        <w:rPr>
          <w:rFonts w:ascii="Arial" w:cs="Arial" w:eastAsia="Arial" w:hAnsi="Arial"/>
          <w:b/>
          <w:bCs/>
          <w:sz w:val="24"/>
          <w:szCs w:val="24"/>
        </w:rPr>
        <w:t xml:space="preserve">Nombre del asesor:</w:t>
      </w:r>
      <w:r>
        <w:rPr>
          <w:rFonts w:ascii="Arial" w:cs="Arial" w:eastAsia="Arial" w:hAnsi="Arial"/>
          <w:sz w:val="24"/>
          <w:szCs w:val="24"/>
        </w:rPr>
        <w:t xml:space="preserve"> </w:t>
      </w:r>
      <w:r>
        <w:rPr>
          <w:rFonts w:ascii="Arial" w:cs="Arial" w:eastAsia="Arial" w:hAnsi="Arial"/>
          <w:sz w:val="24"/>
          <w:szCs w:val="24"/>
          <w:shd w:fill="FFFF00" w:color="auto" w:val="clear"/>
        </w:rPr>
        <w:t xml:space="preserve">[Nombre del asesor o asesora]</w:t>
      </w:r>
    </w:p>
    <w:p>
      <w:pPr>
        <w:spacing w:after="0" w:before="0" w:line="360" w:lineRule="auto"/>
        <w:jc w:val="center"/>
      </w:pPr>
      <w:r>
        <w:rPr>
          <w:rFonts w:ascii="Arial" w:cs="Arial" w:eastAsia="Arial" w:hAnsi="Arial"/>
          <w:b/>
          <w:bCs/>
          <w:sz w:val="24"/>
          <w:szCs w:val="24"/>
        </w:rPr>
        <w:t xml:space="preserve">Fecha de entrega:</w:t>
      </w:r>
      <w:r>
        <w:rPr>
          <w:rFonts w:ascii="Arial" w:cs="Arial" w:eastAsia="Arial" w:hAnsi="Arial"/>
          <w:sz w:val="24"/>
          <w:szCs w:val="24"/>
        </w:rPr>
        <w:t xml:space="preserve"> </w:t>
      </w:r>
      <w:r>
        <w:rPr>
          <w:rFonts w:ascii="Arial" w:cs="Arial" w:eastAsia="Arial" w:hAnsi="Arial"/>
          <w:sz w:val="24"/>
          <w:szCs w:val="24"/>
          <w:shd w:fill="FFFF00" w:color="auto" w:val="clear"/>
        </w:rPr>
        <w:t xml:space="preserve">[Fecha de entrega]</w:t>
      </w:r>
    </w:p>
    <w:p>
      <w:pPr>
        <w:spacing w:after="0" w:before="0" w:line="360" w:lineRule="auto"/>
        <w:jc w:val="center"/>
      </w:pPr>
      <w:r>
        <w:rPr>
          <w:rFonts w:ascii="Arial" w:cs="Arial" w:eastAsia="Arial" w:hAnsi="Arial"/>
          <w:b/>
          <w:bCs/>
          <w:sz w:val="24"/>
          <w:szCs w:val="24"/>
        </w:rPr>
        <w:t xml:space="preserve">Declaratoria de originalidad:</w:t>
      </w:r>
      <w:r>
        <w:rPr>
          <w:rFonts w:ascii="Arial" w:cs="Arial" w:eastAsia="Arial" w:hAnsi="Arial"/>
          <w:sz w:val="24"/>
          <w:szCs w:val="24"/>
        </w:rPr>
        <w:t xml:space="preserve"> se anexa en la página siguiente</w:t>
      </w:r>
    </w:p>
    <w:p>
      <w:pPr>
        <w:pStyle w:val="Heading1"/>
        <w:keepNext/>
        <w:pageBreakBefore/>
        <w:spacing w:after="0" w:before="0" w:line="360" w:lineRule="auto"/>
        <w:jc w:val="center"/>
      </w:pPr>
      <w:r>
        <w:rPr>
          <w:rFonts w:ascii="Arial" w:cs="Arial" w:eastAsia="Arial" w:hAnsi="Arial"/>
          <w:b/>
          <w:bCs/>
          <w:color w:val="000000"/>
          <w:sz w:val="24"/>
          <w:szCs w:val="24"/>
        </w:rPr>
        <w:t xml:space="preserve">Declaratoria de originalidad</w:t>
      </w:r>
    </w:p>
    <w:p>
      <w:pPr>
        <w:spacing w:after="0" w:before="0" w:line="360" w:lineRule="auto"/>
        <w:ind w:firstLine="720"/>
        <w:jc w:val="both"/>
      </w:pPr>
      <w:r>
        <w:rPr>
          <w:rFonts w:ascii="Arial" w:cs="Arial" w:eastAsia="Arial" w:hAnsi="Arial"/>
          <w:sz w:val="24"/>
          <w:szCs w:val="24"/>
        </w:rPr>
        <w:t xml:space="preserve">Se anexa el formato de declaratoria de originalidad, firmado y escaneado.</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8838"/>
      </w:tblGrid>
      <w:tr>
        <w:trPr>
          <w:cantSplit/>
          <w:trHeight w:val="10500" w:hRule="exact"/>
        </w:trPr>
        <w:tc>
          <w:tcPr>
            <w:tcW w:type="dxa" w:w="8838"/>
            <w:tcBorders>
              <w:top w:val="dashed" w:color="808080" w:sz="6"/>
              <w:left w:val="dashed" w:color="808080" w:sz="6"/>
              <w:bottom w:val="dashed" w:color="808080" w:sz="6"/>
              <w:right w:val="dashed" w:color="808080" w:sz="6"/>
            </w:tcBorders>
            <w:vAlign w:val="center"/>
          </w:tcPr>
          <w:p>
            <w:pPr>
              <w:spacing w:after="0" w:before="0" w:line="360" w:lineRule="auto"/>
              <w:jc w:val="center"/>
            </w:pPr>
            <w:r>
              <w:rPr>
                <w:rFonts w:ascii="Arial" w:cs="Arial" w:eastAsia="Arial" w:hAnsi="Arial"/>
                <w:sz w:val="24"/>
                <w:szCs w:val="24"/>
                <w:shd w:fill="FFFF00" w:color="auto" w:val="clear"/>
              </w:rPr>
              <w:t xml:space="preserve">[Insertar aquí la declaratoria de originalidad firmada y escaneada]</w:t>
            </w:r>
          </w:p>
        </w:tc>
      </w:tr>
    </w:tbl>
    <w:p>
      <w:pPr>
        <w:pStyle w:val="Heading1"/>
        <w:keepNext/>
        <w:pageBreakBefore/>
        <w:spacing w:after="0" w:before="0" w:line="360" w:lineRule="auto"/>
        <w:jc w:val="center"/>
      </w:pPr>
      <w:r>
        <w:rPr>
          <w:rFonts w:ascii="Arial" w:cs="Arial" w:eastAsia="Arial" w:hAnsi="Arial"/>
          <w:b/>
          <w:bCs/>
          <w:color w:val="000000"/>
          <w:sz w:val="24"/>
          <w:szCs w:val="24"/>
        </w:rPr>
        <w:t xml:space="preserve">Entre la eficiencia y la responsabilidad: dilemas éticos de la ciencia de datos y la inteligencia artificial en los procesos académicos del CIESS</w:t>
      </w:r>
    </w:p>
    <w:p>
      <w:pPr>
        <w:pStyle w:val="Heading1"/>
        <w:keepNext/>
        <w:spacing w:after="0" w:before="0" w:line="360" w:lineRule="auto"/>
        <w:jc w:val="center"/>
      </w:pPr>
      <w:r>
        <w:rPr>
          <w:rFonts w:ascii="Arial" w:cs="Arial" w:eastAsia="Arial" w:hAnsi="Arial"/>
          <w:b/>
          <w:bCs/>
          <w:color w:val="000000"/>
          <w:sz w:val="24"/>
          <w:szCs w:val="24"/>
        </w:rPr>
        <w:t xml:space="preserve">Introducción</w:t>
      </w:r>
    </w:p>
    <w:p>
      <w:pPr>
        <w:spacing w:after="0" w:before="0" w:line="360" w:lineRule="auto"/>
        <w:ind w:firstLine="720"/>
        <w:jc w:val="both"/>
      </w:pPr>
      <w:r>
        <w:rPr>
          <w:rFonts w:ascii="Arial" w:cs="Arial" w:eastAsia="Arial" w:hAnsi="Arial"/>
          <w:sz w:val="24"/>
          <w:szCs w:val="24"/>
        </w:rPr>
        <w:t xml:space="preserve">El Centro Interamericano de Estudios de Seguridad Social (CIESS, s.f.-d) es el órgano de docencia, capacitación e investigación de la Conferencia Interamericana de Seguridad Social (CISS), un organismo internacional, técnico y sin fines de lucro que integra a más de 80 instituciones de 36 países. Laboro en esta institución desde 2014, como diseñador UX/UI y desarrollador de herramientas digitales: sitios web accesibles, bases de datos educativas, reportes y tableros de datos y, más recientemente, un sistema de emisión de constancias, un sistema de registro con panel de análisis de datos para un congreso internacional y un complemento (</w:t>
      </w:r>
      <w:r>
        <w:rPr>
          <w:rFonts w:ascii="Arial" w:cs="Arial" w:eastAsia="Arial" w:hAnsi="Arial"/>
          <w:i/>
          <w:iCs/>
          <w:sz w:val="24"/>
          <w:szCs w:val="24"/>
        </w:rPr>
        <w:t xml:space="preserve">plugin</w:t>
      </w:r>
      <w:r>
        <w:rPr>
          <w:rFonts w:ascii="Arial" w:cs="Arial" w:eastAsia="Arial" w:hAnsi="Arial"/>
          <w:sz w:val="24"/>
          <w:szCs w:val="24"/>
        </w:rPr>
        <w:t xml:space="preserve">) del campus virtual para generar actas de calificaciones. Estas herramientas manejan datos de personas de numerosos países y se construyeron con apoyo de asistentes de inteligencia artificial (IA) generativa.</w:t>
      </w:r>
    </w:p>
    <w:p>
      <w:pPr>
        <w:spacing w:after="0" w:before="0" w:line="360" w:lineRule="auto"/>
        <w:ind w:firstLine="720"/>
        <w:jc w:val="both"/>
      </w:pPr>
      <w:r>
        <w:rPr>
          <w:rFonts w:ascii="Arial" w:cs="Arial" w:eastAsia="Arial" w:hAnsi="Arial"/>
          <w:sz w:val="24"/>
          <w:szCs w:val="24"/>
        </w:rPr>
        <w:t xml:space="preserve">En este contexto identifico cinco dilemas éticos principales en la aplicación de la ciencia de datos y la IA. El primero es el de la responsabilidad: cuando una tarea se automatiza, ¿quién responde por un error que se replica a escala? El segundo es el de la confidencialidad: ¿qué datos personales o institucionales pueden confiarse a plataformas y asistentes externos? El tercero es el de la transparencia: ¿cómo se deja constancia de qué hizo la máquina y qué hizo una persona? El cuarto es el del efecto sobre el trabajo del personal administrativo, que es el más expuesto a estas tecnologías. El quinto, de carácter prospectivo, es el de la equidad: ¿cómo evitar que los sesgos de los datos y de los sistemas desfavorezcan a ciertos países, idiomas o personas?</w:t>
      </w:r>
    </w:p>
    <w:p>
      <w:pPr>
        <w:spacing w:after="0" w:before="0" w:line="360" w:lineRule="auto"/>
        <w:ind w:firstLine="720"/>
        <w:jc w:val="both"/>
      </w:pPr>
      <w:r>
        <w:rPr>
          <w:rFonts w:ascii="Arial" w:cs="Arial" w:eastAsia="Arial" w:hAnsi="Arial"/>
          <w:sz w:val="24"/>
          <w:szCs w:val="24"/>
        </w:rPr>
        <w:t xml:space="preserve">Sostengo que el dilema de fondo no es tecnológico, sino de responsabilidad. La automatización y la IA amplían lo que la institución puede hacer, pero también el alcance de sus errores; por ello deben acompañarse de personas identificables que respondan por sus resultados, de datos protegidos desde el diseño y de un rastro verificable de cada decisión.</w:t>
      </w:r>
    </w:p>
    <w:p>
      <w:pPr>
        <w:pStyle w:val="Heading1"/>
        <w:keepNext/>
        <w:spacing w:after="0" w:before="0" w:line="360" w:lineRule="auto"/>
        <w:jc w:val="center"/>
      </w:pPr>
      <w:r>
        <w:rPr>
          <w:rFonts w:ascii="Arial" w:cs="Arial" w:eastAsia="Arial" w:hAnsi="Arial"/>
          <w:b/>
          <w:bCs/>
          <w:color w:val="000000"/>
          <w:sz w:val="24"/>
          <w:szCs w:val="24"/>
        </w:rPr>
        <w:t xml:space="preserve">Desarrollo</w:t>
      </w:r>
    </w:p>
    <w:p>
      <w:pPr>
        <w:pStyle w:val="Heading2"/>
        <w:keepNext/>
        <w:spacing w:after="0" w:before="0" w:line="360" w:lineRule="auto"/>
        <w:jc w:val="left"/>
      </w:pPr>
      <w:r>
        <w:rPr>
          <w:rFonts w:ascii="Arial" w:cs="Arial" w:eastAsia="Arial" w:hAnsi="Arial"/>
          <w:b/>
          <w:bCs/>
          <w:color w:val="000000"/>
          <w:sz w:val="24"/>
          <w:szCs w:val="24"/>
        </w:rPr>
        <w:t xml:space="preserve">Contexto real: la ciencia de datos y la IA en mi trabajo</w:t>
      </w:r>
    </w:p>
    <w:p>
      <w:pPr>
        <w:spacing w:after="0" w:before="0" w:line="360" w:lineRule="auto"/>
        <w:ind w:firstLine="720"/>
        <w:jc w:val="both"/>
      </w:pPr>
      <w:r>
        <w:rPr>
          <w:rFonts w:ascii="Arial" w:cs="Arial" w:eastAsia="Arial" w:hAnsi="Arial"/>
          <w:sz w:val="24"/>
          <w:szCs w:val="24"/>
        </w:rPr>
        <w:t xml:space="preserve">El CIESS ofrece cursos, diplomados, seminarios, talleres y microaprendizajes con apoyo de su campus virtual. Cada actividad genera datos de inscripción, acreditación y calificaciones, así como documentos con valor curricular para quien los recibe. Mi trabajo consiste en diseñar, desarrollar y mantener las herramientas digitales que sostienen esa operación: el sitio web institucional y sus micrositios, con estrategias de accesibilidad y análisis de usabilidad; la producción editorial y multimedia (informes anuales, boletines, revistas electrónicas, infografías y tableros de datos); las bases de datos educativas para el seguimiento de inscripciones, becas, docentes y sesiones por Zoom; y la generación automática de reportes académicos y financieros en hojas de cálculo con visualización de datos.</w:t>
      </w:r>
    </w:p>
    <w:p>
      <w:pPr>
        <w:spacing w:after="0" w:before="0" w:line="360" w:lineRule="auto"/>
        <w:ind w:firstLine="720"/>
        <w:jc w:val="both"/>
      </w:pPr>
      <w:r>
        <w:rPr>
          <w:rFonts w:ascii="Arial" w:cs="Arial" w:eastAsia="Arial" w:hAnsi="Arial"/>
          <w:sz w:val="24"/>
          <w:szCs w:val="24"/>
        </w:rPr>
        <w:t xml:space="preserve">A ello se suman tres desarrollos recientes. El sistema de constancias sustituyó un procedimiento de siete pasos manuales —entre ellos la composición en software de diseño, la generación del código QR y la publicación por FTP— por un flujo que se dispara desde una casilla de la base de datos académica: el sistema compone el documento, genera el QR, lo publica, verifica que la dirección responda y registra la emisión en un historial. El sistema de registro del congreso incluye un formulario trilingüe, un panel de análisis de datos (tableros, mapas y una proyección de inscripciones mediante regresión lineal simple), el dictamen de ponencias y el consentimiento informado de cada participante. El complemento del campus virtual permite que el personal docente genere las actas de calificaciones sin salir de la plataforma ni descargar y volver a cargar archivos CSV.</w:t>
      </w:r>
    </w:p>
    <w:p>
      <w:pPr>
        <w:spacing w:after="0" w:before="0" w:line="360" w:lineRule="auto"/>
        <w:ind w:firstLine="720"/>
        <w:jc w:val="both"/>
      </w:pPr>
      <w:r>
        <w:rPr>
          <w:rFonts w:ascii="Arial" w:cs="Arial" w:eastAsia="Arial" w:hAnsi="Arial"/>
          <w:sz w:val="24"/>
          <w:szCs w:val="24"/>
        </w:rPr>
        <w:t xml:space="preserve">Conviene precisar que el motor de constancias es automatización basada en reglas y no aprendizaje automático. Aun así, enfrenta los mismos dilemas que un sistema de IA, porque delega en una máquina una tarea con consecuencias para personas reales, y se desarrolló con asistentes de IA generativa. Por otra parte, el CIESS imparte un microaprendizaje dirigido al personal administrativo y técnico de instituciones de seguridad social para usar de forma efectiva y responsable asistentes de IA generativa, con un módulo sobre uso responsable, ética y privacidad (CIESS, s.f.-c). Esto plantea una exigencia de coherencia: una institución que forma a otros en el uso responsable de la IA debe practicarlo en su propia operación, en línea con sus valores de integridad y transparencia (CIESS, s.f.-d).</w:t>
      </w:r>
    </w:p>
    <w:p>
      <w:pPr>
        <w:spacing w:after="0" w:before="0" w:line="360" w:lineRule="auto"/>
        <w:ind w:firstLine="720"/>
        <w:jc w:val="both"/>
      </w:pPr>
      <w:r>
        <w:rPr>
          <w:rFonts w:ascii="Arial" w:cs="Arial" w:eastAsia="Arial" w:hAnsi="Arial"/>
          <w:sz w:val="24"/>
          <w:szCs w:val="24"/>
        </w:rPr>
        <w:t xml:space="preserve">En estos procesos intervienen participantes y docentes de numerosos países, el personal administrativo y de Registro Escolar, el área de diseño y desarrollo en la que laboro, la dirección del CIESS y de la CISS, las instituciones y universidades miembro, y los proveedores tecnológicos de terceros. Cada dilema afecta de manera distinta a estos actores, como se verá a continuación.</w:t>
      </w:r>
    </w:p>
    <w:p>
      <w:pPr>
        <w:pStyle w:val="Heading2"/>
        <w:keepNext/>
        <w:spacing w:after="0" w:before="0" w:line="360" w:lineRule="auto"/>
        <w:jc w:val="left"/>
      </w:pPr>
      <w:r>
        <w:rPr>
          <w:rFonts w:ascii="Arial" w:cs="Arial" w:eastAsia="Arial" w:hAnsi="Arial"/>
          <w:b/>
          <w:bCs/>
          <w:color w:val="000000"/>
          <w:sz w:val="24"/>
          <w:szCs w:val="24"/>
        </w:rPr>
        <w:t xml:space="preserve">Primer dilema: eficiencia frente a responsabilidad</w:t>
      </w:r>
    </w:p>
    <w:p>
      <w:pPr>
        <w:spacing w:after="0" w:before="0" w:line="360" w:lineRule="auto"/>
        <w:ind w:firstLine="720"/>
        <w:jc w:val="both"/>
      </w:pPr>
      <w:r>
        <w:rPr>
          <w:rFonts w:ascii="Arial" w:cs="Arial" w:eastAsia="Arial" w:hAnsi="Arial"/>
          <w:sz w:val="24"/>
          <w:szCs w:val="24"/>
        </w:rPr>
        <w:t xml:space="preserve">Automatizar multiplica la capacidad, pero también multiplica el error. Un descuido al elaborar una constancia a mano afecta a una persona; el mismo descuido en un sistema que emite decenas de documentos con un clic afecta a todas. Lo mismo ocurre con los reportes académicos y financieros que se generan de forma automática y con los tableros que se publican: una fórmula errónea se replica en cada informe. Lo viví a pequeña escala: al probar el sistema de constancias en una copia de la base de datos antes de conectarlo a la real, detecté que las fechas llegaban en un formato distinto al esperado y que el cálculo del periodo habría publicado las constancias en una ruta inexistente. Lo detecté al revisar el resultado, no porque la máquina lo señalara.</w:t>
      </w:r>
    </w:p>
    <w:p>
      <w:pPr>
        <w:spacing w:after="0" w:before="0" w:line="360" w:lineRule="auto"/>
        <w:ind w:firstLine="720"/>
        <w:jc w:val="both"/>
      </w:pPr>
      <w:r>
        <w:rPr>
          <w:rFonts w:ascii="Arial" w:cs="Arial" w:eastAsia="Arial" w:hAnsi="Arial"/>
          <w:b/>
          <w:bCs/>
          <w:sz w:val="24"/>
          <w:szCs w:val="24"/>
        </w:rPr>
        <w:t xml:space="preserve">Actores, beneficios y riesgos.</w:t>
      </w:r>
      <w:r>
        <w:rPr>
          <w:rFonts w:ascii="Arial" w:cs="Arial" w:eastAsia="Arial" w:hAnsi="Arial"/>
          <w:sz w:val="24"/>
          <w:szCs w:val="24"/>
        </w:rPr>
        <w:t xml:space="preserve"> Comparten este dilema quienes activan las emisiones, quienes desarrollan y mantienen el sistema, Registro Escolar, la dirección y las personas que reciben el documento. El beneficio es evidente: menos pasos manuales y respuestas más rápidas. El riesgo es que un error se replique a escala sin una persona claramente responsable.</w:t>
      </w:r>
    </w:p>
    <w:p>
      <w:pPr>
        <w:spacing w:after="0" w:before="0" w:line="360" w:lineRule="auto"/>
        <w:ind w:firstLine="720"/>
        <w:jc w:val="both"/>
      </w:pPr>
      <w:r>
        <w:rPr>
          <w:rFonts w:ascii="Arial" w:cs="Arial" w:eastAsia="Arial" w:hAnsi="Arial"/>
          <w:sz w:val="24"/>
          <w:szCs w:val="24"/>
        </w:rPr>
        <w:t xml:space="preserve">La literatura explica por qué la revisión humana del resultado no debe darse por sentada. Parasuraman y Manzey (2010) describen que quienes supervisan sistemas automatizados tienden a la complacencia y al sesgo de automatización: confían en el sistema y verifican menos su resultado, lo que puede producir errores de omisión y de comisión. Cuando el error ocurre, la responsabilidad suele recaer en quien está más cerca de la máquina. Elish (2019) llama zonas de deformación moral (</w:t>
      </w:r>
      <w:r>
        <w:rPr>
          <w:rFonts w:ascii="Arial" w:cs="Arial" w:eastAsia="Arial" w:hAnsi="Arial"/>
          <w:i/>
          <w:iCs/>
          <w:sz w:val="24"/>
          <w:szCs w:val="24"/>
        </w:rPr>
        <w:t xml:space="preserve">moral crumple zones</w:t>
      </w:r>
      <w:r>
        <w:rPr>
          <w:rFonts w:ascii="Arial" w:cs="Arial" w:eastAsia="Arial" w:hAnsi="Arial"/>
          <w:sz w:val="24"/>
          <w:szCs w:val="24"/>
        </w:rPr>
        <w:t xml:space="preserve">) a esta situación, en la que la persona que opera un sistema automatizado, con control limitado sobre él, absorbe la culpa de sus fallas mientras el sistema queda protegido.</w:t>
      </w:r>
    </w:p>
    <w:p>
      <w:pPr>
        <w:spacing w:after="0" w:before="0" w:line="360" w:lineRule="auto"/>
        <w:ind w:firstLine="720"/>
        <w:jc w:val="both"/>
      </w:pPr>
      <w:r>
        <w:rPr>
          <w:rFonts w:ascii="Arial" w:cs="Arial" w:eastAsia="Arial" w:hAnsi="Arial"/>
          <w:sz w:val="24"/>
          <w:szCs w:val="24"/>
        </w:rPr>
        <w:t xml:space="preserve">La IA no puede asumir esa responsabilidad. Coeckelbergh (2021) recuerda, a partir de Aristóteles, que la responsabilidad moral exige dos condiciones: tener control sobre la acción y saber lo que se hace. Las máquinas pueden actuar y decidir, pero carecen de conciencia, de libre albedrío y de capacidad de formar intenciones, por lo que la salida es responsabilizar a las personas de lo que hace la máquina. Serafim et al. (2024) llegan a una conclusión semejante: la IA solo sigue reglas externas y emula criterios de juicio, sin experiencia moral. Gzyl (2023), por su parte, advierte que los generadores de texto no rinden cuentas por lo que producen. El propio Coeckelbergh añade una dificultad: en los sistemas con IA intervienen muchas personas (programadores, usuarios, empresas) y muchos componentes técnicos (algoritmos, datos, sensores, </w:t>
      </w:r>
      <w:r>
        <w:rPr>
          <w:rFonts w:ascii="Arial" w:cs="Arial" w:eastAsia="Arial" w:hAnsi="Arial"/>
          <w:i/>
          <w:iCs/>
          <w:sz w:val="24"/>
          <w:szCs w:val="24"/>
        </w:rPr>
        <w:t xml:space="preserve">software</w:t>
      </w:r>
      <w:r>
        <w:rPr>
          <w:rFonts w:ascii="Arial" w:cs="Arial" w:eastAsia="Arial" w:hAnsi="Arial"/>
          <w:sz w:val="24"/>
          <w:szCs w:val="24"/>
        </w:rPr>
        <w:t xml:space="preserve">), lo que él llama el problema de las </w:t>
      </w:r>
      <w:r>
        <w:rPr>
          <w:rFonts w:ascii="Arial" w:cs="Arial" w:eastAsia="Arial" w:hAnsi="Arial"/>
          <w:i/>
          <w:iCs/>
          <w:sz w:val="24"/>
          <w:szCs w:val="24"/>
        </w:rPr>
        <w:t xml:space="preserve">muchas manos</w:t>
      </w:r>
      <w:r>
        <w:rPr>
          <w:rFonts w:ascii="Arial" w:cs="Arial" w:eastAsia="Arial" w:hAnsi="Arial"/>
          <w:sz w:val="24"/>
          <w:szCs w:val="24"/>
        </w:rPr>
        <w:t xml:space="preserve"> y las </w:t>
      </w:r>
      <w:r>
        <w:rPr>
          <w:rFonts w:ascii="Arial" w:cs="Arial" w:eastAsia="Arial" w:hAnsi="Arial"/>
          <w:i/>
          <w:iCs/>
          <w:sz w:val="24"/>
          <w:szCs w:val="24"/>
        </w:rPr>
        <w:t xml:space="preserve">muchas cosas</w:t>
      </w:r>
      <w:r>
        <w:rPr>
          <w:rFonts w:ascii="Arial" w:cs="Arial" w:eastAsia="Arial" w:hAnsi="Arial"/>
          <w:sz w:val="24"/>
          <w:szCs w:val="24"/>
        </w:rPr>
        <w:t xml:space="preserve">, y por ello no siempre es claro quién responde cuando algo sale mal.</w:t>
      </w:r>
    </w:p>
    <w:p>
      <w:pPr>
        <w:spacing w:after="0" w:before="0" w:line="360" w:lineRule="auto"/>
        <w:ind w:firstLine="720"/>
        <w:jc w:val="both"/>
      </w:pPr>
      <w:r>
        <w:rPr>
          <w:rFonts w:ascii="Arial" w:cs="Arial" w:eastAsia="Arial" w:hAnsi="Arial"/>
          <w:sz w:val="24"/>
          <w:szCs w:val="24"/>
        </w:rPr>
        <w:t xml:space="preserve">El debate sobre si una IA general llegaría a ser sujeto de derechos y deberes (Aguilar Blanc, 2023) es hoy prospectivo; lo que ya existe es la tentación de atribuir a la herramienta lo que corresponde a quien la diseña, la configura o la usa. En esa línea, la Recomendación de la Organización de las Naciones Unidas para la Educación, la Ciencia y la Cultura (UNESCO, 2022) establece que debe ser siempre posible atribuir la responsabilidad ética y jurídica de los sistemas de IA a personas físicas o a entidades jurídicas existentes, y la Organisation for Economic Co-operation and Development (OECD, 2024) incluye la rendición de cuentas entre sus principios. Degli-Esposti (2023) coincide: el desarrollo ético de la IA es facultad y responsabilidad de todos los actores involucrados, desde quienes la diseñan hasta quienes la usan, y la rendición de cuentas figura entre los siete requisitos de una IA confiable, con mecanismos para identificar responsabilidades y auditar los sistemas.</w:t>
      </w:r>
    </w:p>
    <w:p>
      <w:pPr>
        <w:spacing w:after="0" w:before="0" w:line="360" w:lineRule="auto"/>
        <w:ind w:firstLine="720"/>
        <w:jc w:val="both"/>
      </w:pPr>
      <w:r>
        <w:rPr>
          <w:rFonts w:ascii="Arial" w:cs="Arial" w:eastAsia="Arial" w:hAnsi="Arial"/>
          <w:sz w:val="24"/>
          <w:szCs w:val="24"/>
        </w:rPr>
        <w:t xml:space="preserve">Mi postura es que la eficiencia es legítima, pero no puede lograrse a costa de diluir la responsabilidad. En el sistema de constancias intervienen quien captura los datos académicos, quien desarrolla el sistema —con apoyo de un asistente de IA—, quien activa la emisión y la institución que firma el documento: son las </w:t>
      </w:r>
      <w:r>
        <w:rPr>
          <w:rFonts w:ascii="Arial" w:cs="Arial" w:eastAsia="Arial" w:hAnsi="Arial"/>
          <w:i/>
          <w:iCs/>
          <w:sz w:val="24"/>
          <w:szCs w:val="24"/>
        </w:rPr>
        <w:t xml:space="preserve">muchas manos</w:t>
      </w:r>
      <w:r>
        <w:rPr>
          <w:rFonts w:ascii="Arial" w:cs="Arial" w:eastAsia="Arial" w:hAnsi="Arial"/>
          <w:sz w:val="24"/>
          <w:szCs w:val="24"/>
        </w:rPr>
        <w:t xml:space="preserve"> de las que habla Coeckelbergh (2021). Mi respuesta se tradujo en decisiones de diseño concretas: el folio y los datos oficiales se leen de los registros que mantiene Registro Escolar en lugar de calcularse por el sistema; el sistema valida los datos mínimos y rechaza expresamente lo que no puede hacer bien, como las constancias en inglés, para las cuales no existe plantilla; y cada emisión queda en un historial con versión y marca de tiempo.</w:t>
      </w:r>
    </w:p>
    <w:p>
      <w:pPr>
        <w:pStyle w:val="Heading2"/>
        <w:keepNext/>
        <w:spacing w:after="0" w:before="0" w:line="360" w:lineRule="auto"/>
        <w:jc w:val="left"/>
      </w:pPr>
      <w:r>
        <w:rPr>
          <w:rFonts w:ascii="Arial" w:cs="Arial" w:eastAsia="Arial" w:hAnsi="Arial"/>
          <w:b/>
          <w:bCs/>
          <w:color w:val="000000"/>
          <w:sz w:val="24"/>
          <w:szCs w:val="24"/>
        </w:rPr>
        <w:t xml:space="preserve">Segundo dilema: datos personales y herramientas externas</w:t>
      </w:r>
    </w:p>
    <w:p>
      <w:pPr>
        <w:spacing w:after="0" w:before="0" w:line="360" w:lineRule="auto"/>
        <w:ind w:firstLine="720"/>
        <w:jc w:val="both"/>
      </w:pPr>
      <w:r>
        <w:rPr>
          <w:rFonts w:ascii="Arial" w:cs="Arial" w:eastAsia="Arial" w:hAnsi="Arial"/>
          <w:sz w:val="24"/>
          <w:szCs w:val="24"/>
        </w:rPr>
        <w:t xml:space="preserve">Las actividades del CIESS reúnen datos de participantes de numerosos países: nombres, correos, instituciones, fotografías, calificaciones y, en las inscripciones, documentos de identidad. Las bases de datos educativas que administro concentran además información de becas y docentes, y el directorio de la Red Interamericana de Universidades para la Seguridad Social (RIUSS) contiene nombres, cargos y correos de representantes institucionales. Hoy la documentación de inscripción se recibe por correo electrónico en un único buzón (CIESS, s.f.-b), un canal que no ofrece los controles de un formulario con aviso de privacidad y almacenamiento acotado. Además, el aviso que acompaña a la convocatoria de registro de investigadores limita el uso de los datos a mantener el contacto con la persona y establece que no se difundirán, pero en esa página no menciona los derechos ARCO ni las transferencias (CIESS, s.f.-a).</w:t>
      </w:r>
    </w:p>
    <w:p>
      <w:pPr>
        <w:spacing w:after="0" w:before="0" w:line="360" w:lineRule="auto"/>
        <w:ind w:firstLine="720"/>
        <w:jc w:val="both"/>
      </w:pPr>
      <w:r>
        <w:rPr>
          <w:rFonts w:ascii="Arial" w:cs="Arial" w:eastAsia="Arial" w:hAnsi="Arial"/>
          <w:b/>
          <w:bCs/>
          <w:sz w:val="24"/>
          <w:szCs w:val="24"/>
        </w:rPr>
        <w:t xml:space="preserve">Actores, beneficios y riesgos.</w:t>
      </w:r>
      <w:r>
        <w:rPr>
          <w:rFonts w:ascii="Arial" w:cs="Arial" w:eastAsia="Arial" w:hAnsi="Arial"/>
          <w:sz w:val="24"/>
          <w:szCs w:val="24"/>
        </w:rPr>
        <w:t xml:space="preserve"> Participantes, docentes y representantes institucionales ceden sus datos; el personal administrativo y mi área los tratan; los proveedores tecnológicos y de IA los alojan o procesan, y las autoridades de protección de datos vigilan su uso. La ventaja es contar con procesos ágiles y con analítica útil para planear; el riesgo, la exposición o el uso indebido de esos datos.</w:t>
      </w:r>
    </w:p>
    <w:p>
      <w:pPr>
        <w:spacing w:after="0" w:before="0" w:line="360" w:lineRule="auto"/>
        <w:ind w:firstLine="720"/>
        <w:jc w:val="both"/>
      </w:pPr>
      <w:r>
        <w:rPr>
          <w:rFonts w:ascii="Arial" w:cs="Arial" w:eastAsia="Arial" w:hAnsi="Arial"/>
          <w:sz w:val="24"/>
          <w:szCs w:val="24"/>
        </w:rPr>
        <w:t xml:space="preserve">Los sistemas que desarrollo dependen también de servicios de terceros (hojas de cálculo y almacenamiento en la nube, correo transaccional, alojamiento) y, durante su desarrollo, de asistentes de IA generativa. El dilema está entre la comodidad de usar la herramienta más capaz y el deber de proteger lo que las personas confiaron a la institución. El primer riesgo es la exposición: Carlini et al. (2021) demostraron que es posible extraer fragmentos textuales de los datos de entrenamiento de un modelo de lenguaje, incluidos nombres, teléfonos y correos electrónicos, por lo que conviene suponer que lo que se entrega a una herramienta externa podría salir de la institución si el proveedor lo usa para entrenar sus modelos. El segundo es el normativo: la Ley Federal de Protección de Datos Personales en Posesión de los Particulares, que en 2025 sustituyó a la de 2010, exige informar al titular mediante un aviso de privacidad y tratar sus datos de forma legítima (Cámara de Diputados del Honorable Congreso de la Unión [CDHCU], 2025). Aunque el CIESS, como organismo internacional, podría regirse por un régimen propio, la tomo como referencia mínima, junto con el principio de privacidad y protección de datos de la UNESCO (2022). Degli-Esposti (2023) recuerda, asimismo, que el buen gobierno de los datos implica preservar la relación de confianza entre quienes ceden los datos y quienes los procesan.</w:t>
      </w:r>
    </w:p>
    <w:p>
      <w:pPr>
        <w:spacing w:after="0" w:before="0" w:line="360" w:lineRule="auto"/>
        <w:ind w:firstLine="720"/>
        <w:jc w:val="both"/>
      </w:pPr>
      <w:r>
        <w:rPr>
          <w:rFonts w:ascii="Arial" w:cs="Arial" w:eastAsia="Arial" w:hAnsi="Arial"/>
          <w:sz w:val="24"/>
          <w:szCs w:val="24"/>
        </w:rPr>
        <w:t xml:space="preserve">Mis criterios para este dilema son cuatro. Primero, minimizar: no entregar datos personales reales ni credenciales a herramientas externas, usar registros de demostración para desarrollar y probar, como lo permite el sistema de registro del congreso, y publicar en tableros y reportes solo información agregada. Segundo, evitar copias intermedias: el complemento del campus obtiene las calificaciones directamente de Moodle con los permisos de cada docente, de modo que dejan de circular archivos CSV con datos de estudiantes. Tercero, incorporar el consentimiento y el aviso de privacidad desde el diseño y limitar quién ve qué: el registro del congreso contempla la ley mexicana y las normativas de Brasil y de la Unión Europea, y su panel de análisis de datos restringe el acceso por roles y deja un registro de auditoría. Cuarto, revisar el aviso de privacidad institucional para que mencione expresamente el tratamiento mediante plataformas de terceros y los derechos de las personas.</w:t>
      </w:r>
    </w:p>
    <w:p>
      <w:pPr>
        <w:pStyle w:val="Heading2"/>
        <w:keepNext/>
        <w:spacing w:after="0" w:before="0" w:line="360" w:lineRule="auto"/>
        <w:jc w:val="left"/>
      </w:pPr>
      <w:r>
        <w:rPr>
          <w:rFonts w:ascii="Arial" w:cs="Arial" w:eastAsia="Arial" w:hAnsi="Arial"/>
          <w:b/>
          <w:bCs/>
          <w:color w:val="000000"/>
          <w:sz w:val="24"/>
          <w:szCs w:val="24"/>
        </w:rPr>
        <w:t xml:space="preserve">Tercer dilema: transparencia y trazabilidad</w:t>
      </w:r>
    </w:p>
    <w:p>
      <w:pPr>
        <w:spacing w:after="0" w:before="0" w:line="360" w:lineRule="auto"/>
        <w:ind w:firstLine="720"/>
        <w:jc w:val="both"/>
      </w:pPr>
      <w:r>
        <w:rPr>
          <w:rFonts w:ascii="Arial" w:cs="Arial" w:eastAsia="Arial" w:hAnsi="Arial"/>
          <w:sz w:val="24"/>
          <w:szCs w:val="24"/>
        </w:rPr>
        <w:t xml:space="preserve">Una constancia o un acta tienen valor porque se confía en su autenticidad. De ahí que cada constancia lleve un código QR que apunta al archivo publicado, que el sistema compruebe que la dirección responda antes de darla por emitida y que la versión anterior se archive cuando se corrija un dato. Esa trazabilidad se acerca a lo que Floridi et al. (2018) llaman explicabilidad: no solo entender cómo funciona un sistema, sino saber quién responde por él. Coeckelbergh (2021) precisa que explicar no implica necesariamente revelar el código, sino poder explicar las decisiones ante quien resulta afectado. Eso busca el historial de emisiones: decir por qué se emitió un documento, quién lo activó, con qué datos y cuándo. La UNESCO (2022) y la OECD (2024) también exigen transparencia y explicabilidad, y el CIESS reconoce la integridad y la transparencia entre sus valores (CIESS, s.f.-d).</w:t>
      </w:r>
    </w:p>
    <w:p>
      <w:pPr>
        <w:spacing w:after="0" w:before="0" w:line="360" w:lineRule="auto"/>
        <w:ind w:firstLine="720"/>
        <w:jc w:val="both"/>
      </w:pPr>
      <w:r>
        <w:rPr>
          <w:rFonts w:ascii="Arial" w:cs="Arial" w:eastAsia="Arial" w:hAnsi="Arial"/>
          <w:b/>
          <w:bCs/>
          <w:sz w:val="24"/>
          <w:szCs w:val="24"/>
        </w:rPr>
        <w:t xml:space="preserve">Actores, beneficios y riesgos.</w:t>
      </w:r>
      <w:r>
        <w:rPr>
          <w:rFonts w:ascii="Arial" w:cs="Arial" w:eastAsia="Arial" w:hAnsi="Arial"/>
          <w:sz w:val="24"/>
          <w:szCs w:val="24"/>
        </w:rPr>
        <w:t xml:space="preserve"> Los participantes y las instituciones que verifican un documento esperan poder confiar en él, y quienes lo producen —el equipo de desarrollo y el editorial— deben poder explicarlo. El beneficio es la confianza y la trazabilidad; el riesgo, ocultar el uso de IA o no poder explicar una decisión.</w:t>
      </w:r>
    </w:p>
    <w:p>
      <w:pPr>
        <w:spacing w:after="0" w:before="0" w:line="360" w:lineRule="auto"/>
        <w:ind w:firstLine="720"/>
        <w:jc w:val="both"/>
      </w:pPr>
      <w:r>
        <w:rPr>
          <w:rFonts w:ascii="Arial" w:cs="Arial" w:eastAsia="Arial" w:hAnsi="Arial"/>
          <w:sz w:val="24"/>
          <w:szCs w:val="24"/>
        </w:rPr>
        <w:t xml:space="preserve">La transparencia tiene también una dimensión personal: declarar cuándo se usó IA. Degli-Esposti (2023) recoge como requisito de una IA confiable que “los usuarios y operadores deben ser conscientes de que están interactuando con un sistema de IA y deben conocer las capacidades y limitaciones del mismo” (p. 42), lo que aplica tanto a un asistente virtual de atención como a mis propios sistemas. Los sistemas descritos se construyeron con asistentes de IA generativa, y considero que debe quedar documentado qué generó la herramienta, qué revisó y probó una persona y con qué criterios, como se citan las fuentes en un trabajo académico. Lo mismo vale para la producción editorial y multimedia —informes anuales, boletines, revistas electrónicas, infografías—: si se usa IA para redactar, ilustrar o narrar, el lector merece saberlo. Ocultar el uso de IA no es un problema técnico, sino de honestidad, y erosiona la confianza en documentos que valen precisamente por esa confianza.</w:t>
      </w:r>
    </w:p>
    <w:p>
      <w:pPr>
        <w:pStyle w:val="Heading2"/>
        <w:keepNext/>
        <w:spacing w:after="0" w:before="0" w:line="360" w:lineRule="auto"/>
        <w:jc w:val="left"/>
      </w:pPr>
      <w:r>
        <w:rPr>
          <w:rFonts w:ascii="Arial" w:cs="Arial" w:eastAsia="Arial" w:hAnsi="Arial"/>
          <w:b/>
          <w:bCs/>
          <w:color w:val="000000"/>
          <w:sz w:val="24"/>
          <w:szCs w:val="24"/>
        </w:rPr>
        <w:t xml:space="preserve">Cuarto dilema: las personas y el trabajo</w:t>
      </w:r>
    </w:p>
    <w:p>
      <w:pPr>
        <w:spacing w:after="0" w:before="0" w:line="360" w:lineRule="auto"/>
        <w:ind w:firstLine="720"/>
        <w:jc w:val="both"/>
      </w:pPr>
      <w:r>
        <w:rPr>
          <w:rFonts w:ascii="Arial" w:cs="Arial" w:eastAsia="Arial" w:hAnsi="Arial"/>
          <w:sz w:val="24"/>
          <w:szCs w:val="24"/>
        </w:rPr>
        <w:t xml:space="preserve">Pasar de siete pasos manuales a uno libera tiempo del personal, pero también cambia su papel. Según la Organización Internacional del Trabajo, las ocupaciones administrativas son las más expuestas a la IA generativa; sin embargo, el efecto dominante sería aumentar las tareas más que eliminar empleos, y el principal riesgo está en la calidad del trabajo, en particular en su intensidad y su autonomía (Gmyrek et al., 2023). Si el tiempo ganado solo se traduce en más carga, la automatización empeora el trabajo en lugar de mejorarlo. Sin un cronometraje formal del procedimiento anterior, hablo de pasos y no de horas ahorradas.</w:t>
      </w:r>
    </w:p>
    <w:p>
      <w:pPr>
        <w:spacing w:after="0" w:before="0" w:line="360" w:lineRule="auto"/>
        <w:ind w:firstLine="720"/>
        <w:jc w:val="both"/>
      </w:pPr>
      <w:r>
        <w:rPr>
          <w:rFonts w:ascii="Arial" w:cs="Arial" w:eastAsia="Arial" w:hAnsi="Arial"/>
          <w:b/>
          <w:bCs/>
          <w:sz w:val="24"/>
          <w:szCs w:val="24"/>
        </w:rPr>
        <w:t xml:space="preserve">Actores, beneficios y riesgos.</w:t>
      </w:r>
      <w:r>
        <w:rPr>
          <w:rFonts w:ascii="Arial" w:cs="Arial" w:eastAsia="Arial" w:hAnsi="Arial"/>
          <w:sz w:val="24"/>
          <w:szCs w:val="24"/>
        </w:rPr>
        <w:t xml:space="preserve"> Son actores el personal administrativo y técnico, la dirección y las áreas de capacitación. El beneficio es disponer de tiempo para tareas de mayor valor; los riesgos, una mayor carga de trabajo y la pérdida gradual de capacidades humanas (</w:t>
      </w:r>
      <w:r>
        <w:rPr>
          <w:rFonts w:ascii="Arial" w:cs="Arial" w:eastAsia="Arial" w:hAnsi="Arial"/>
          <w:i/>
          <w:iCs/>
          <w:sz w:val="24"/>
          <w:szCs w:val="24"/>
        </w:rPr>
        <w:t xml:space="preserve">deskilling</w:t>
      </w:r>
      <w:r>
        <w:rPr>
          <w:rFonts w:ascii="Arial" w:cs="Arial" w:eastAsia="Arial" w:hAnsi="Arial"/>
          <w:sz w:val="24"/>
          <w:szCs w:val="24"/>
        </w:rPr>
        <w:t xml:space="preserve">). Degli-Esposti (2023) incluye esta pérdida entre los problemas que debe atender la ética de la IA y recuerda que el primer requisito de una IA confiable es que no sustituya a las personas, sino que les permita tomar decisiones informadas.</w:t>
      </w:r>
    </w:p>
    <w:p>
      <w:pPr>
        <w:spacing w:after="0" w:before="0" w:line="360" w:lineRule="auto"/>
        <w:ind w:firstLine="720"/>
        <w:jc w:val="both"/>
      </w:pPr>
      <w:r>
        <w:rPr>
          <w:rFonts w:ascii="Arial" w:cs="Arial" w:eastAsia="Arial" w:hAnsi="Arial"/>
          <w:sz w:val="24"/>
          <w:szCs w:val="24"/>
        </w:rPr>
        <w:t xml:space="preserve">El dilema, entonces, no es si automatizar, sino qué hacer con el tiempo ganado: reasignarlo a tareas de mayor valor, como la atención personalizada a los participantes, la revisión de calidad y el diseño de nuevas actividades, y capacitar al personal para supervisar las herramientas y no solo para usarlas. El CIESS ya cuenta con esa capacidad formativa (CIESS, s.f.-c) y puede aplicarla hacia dentro.</w:t>
      </w:r>
    </w:p>
    <w:p>
      <w:pPr>
        <w:pStyle w:val="Heading2"/>
        <w:keepNext/>
        <w:spacing w:after="0" w:before="0" w:line="360" w:lineRule="auto"/>
        <w:jc w:val="left"/>
      </w:pPr>
      <w:r>
        <w:rPr>
          <w:rFonts w:ascii="Arial" w:cs="Arial" w:eastAsia="Arial" w:hAnsi="Arial"/>
          <w:b/>
          <w:bCs/>
          <w:color w:val="000000"/>
          <w:sz w:val="24"/>
          <w:szCs w:val="24"/>
        </w:rPr>
        <w:t xml:space="preserve">Quinto dilema: equidad y sesgo, una mirada prospectiva</w:t>
      </w:r>
    </w:p>
    <w:p>
      <w:pPr>
        <w:spacing w:after="0" w:before="0" w:line="360" w:lineRule="auto"/>
        <w:ind w:firstLine="720"/>
        <w:jc w:val="both"/>
      </w:pPr>
      <w:r>
        <w:rPr>
          <w:rFonts w:ascii="Arial" w:cs="Arial" w:eastAsia="Arial" w:hAnsi="Arial"/>
          <w:sz w:val="24"/>
          <w:szCs w:val="24"/>
        </w:rPr>
        <w:t xml:space="preserve">Este dilema aún no se materializa en el CIESS, pero conviene anticiparlo, porque los usos de los datos y de la IA que se están explorando pueden afectar el acceso de las personas a los servicios de la institución. Lo ilustran mi propuesta de un asistente virtual para el sitio institucional, que atendería consultas en español, portugués e inglés, y los tableros que ya distinguen la participación por país y por actividad. Si algún día modelos de este tipo se usaran para priorizar solicitudes de becas, recomendar actividades o responder consultas, aparecería el problema del sesgo.</w:t>
      </w:r>
    </w:p>
    <w:p>
      <w:pPr>
        <w:spacing w:after="0" w:before="0" w:line="360" w:lineRule="auto"/>
        <w:ind w:firstLine="720"/>
        <w:jc w:val="both"/>
      </w:pPr>
      <w:r>
        <w:rPr>
          <w:rFonts w:ascii="Arial" w:cs="Arial" w:eastAsia="Arial" w:hAnsi="Arial"/>
          <w:sz w:val="24"/>
          <w:szCs w:val="24"/>
        </w:rPr>
        <w:t xml:space="preserve">Coeckelbergh (2021) señala que el sesgo es un problema ético y social propio de la ciencia de datos basada en IA: cuando un sistema toma o recomienda decisiones, estas pueden resultar injustas o poco equitativas para ciertos individuos o grupos, y a menudo no es intencionado, pues quienes desarrollan, usan o dirigen estos sistemas no prevén sus efectos discriminatorios. Degli-Esposti (2023) añade que el sesgo no depende solo de datos deficientes, sino también de los valores incorporados en los algoritmos, y que una IA confiable no debe reproducir prejuicios sociales que marginen a grupos vulnerables, sino ser accesible para todas las personas.</w:t>
      </w:r>
    </w:p>
    <w:p>
      <w:pPr>
        <w:spacing w:after="0" w:before="0" w:line="360" w:lineRule="auto"/>
        <w:ind w:firstLine="720"/>
        <w:jc w:val="both"/>
      </w:pPr>
      <w:r>
        <w:rPr>
          <w:rFonts w:ascii="Arial" w:cs="Arial" w:eastAsia="Arial" w:hAnsi="Arial"/>
          <w:b/>
          <w:bCs/>
          <w:sz w:val="24"/>
          <w:szCs w:val="24"/>
        </w:rPr>
        <w:t xml:space="preserve">Actores, beneficios y riesgos.</w:t>
      </w:r>
      <w:r>
        <w:rPr>
          <w:rFonts w:ascii="Arial" w:cs="Arial" w:eastAsia="Arial" w:hAnsi="Arial"/>
          <w:sz w:val="24"/>
          <w:szCs w:val="24"/>
        </w:rPr>
        <w:t xml:space="preserve"> Los actores son los aspirantes y participantes de distintos países, las personas con diferentes idiomas o discapacidades, los comités académicos y quienes desarrollamos los sistemas. El beneficio sería ampliar la atención y apoyar las decisiones con más información; el riesgo, desfavorecer a ciertos países, idiomas o perfiles, lo que contradiría la sensibilidad a la diversidad que el CIESS reconoce entre sus valores (CIESS, s.f.-d).</w:t>
      </w:r>
    </w:p>
    <w:p>
      <w:pPr>
        <w:spacing w:after="0" w:before="0" w:line="360" w:lineRule="auto"/>
        <w:ind w:firstLine="720"/>
        <w:jc w:val="both"/>
      </w:pPr>
      <w:r>
        <w:rPr>
          <w:rFonts w:ascii="Arial" w:cs="Arial" w:eastAsia="Arial" w:hAnsi="Arial"/>
          <w:sz w:val="24"/>
          <w:szCs w:val="24"/>
        </w:rPr>
        <w:t xml:space="preserve">Mi postura es que ningún sistema debería decidir por sí solo quién accede a una beca o a un programa. Antes de usar analítica o IA en procesos que afecten el acceso a servicios, propongo revisar sus resultados por país, idioma y condición de accesibilidad, mantener la decisión final en personas y comités, y diseñar con criterios de accesibilidad, como ya lo hago en el sitio institucional.</w:t>
      </w:r>
    </w:p>
    <w:p>
      <w:pPr>
        <w:pStyle w:val="Heading2"/>
        <w:keepNext/>
        <w:spacing w:after="0" w:before="0" w:line="360" w:lineRule="auto"/>
        <w:jc w:val="left"/>
      </w:pPr>
      <w:r>
        <w:rPr>
          <w:rFonts w:ascii="Arial" w:cs="Arial" w:eastAsia="Arial" w:hAnsi="Arial"/>
          <w:b/>
          <w:bCs/>
          <w:color w:val="000000"/>
          <w:sz w:val="24"/>
          <w:szCs w:val="24"/>
        </w:rPr>
        <w:t xml:space="preserve">Propuesta de mitigación: seis compromisos para un uso responsable</w:t>
      </w:r>
    </w:p>
    <w:p>
      <w:pPr>
        <w:spacing w:after="0" w:before="0" w:line="360" w:lineRule="auto"/>
        <w:ind w:firstLine="720"/>
        <w:jc w:val="both"/>
      </w:pPr>
      <w:r>
        <w:rPr>
          <w:rFonts w:ascii="Arial" w:cs="Arial" w:eastAsia="Arial" w:hAnsi="Arial"/>
          <w:sz w:val="24"/>
          <w:szCs w:val="24"/>
        </w:rPr>
        <w:t xml:space="preserve">Propongo seis compromisos para el uso de la IA y la automatización en los procesos académicos del CIESS:</w:t>
      </w:r>
    </w:p>
    <w:p>
      <w:pPr>
        <w:pStyle w:val="ListParagraph"/>
        <w:numPr>
          <w:ilvl w:val="0"/>
          <w:numId w:val="2"/>
        </w:numPr>
        <w:spacing w:after="0" w:before="0" w:line="360" w:lineRule="auto"/>
        <w:jc w:val="both"/>
      </w:pPr>
      <w:r>
        <w:rPr>
          <w:rFonts w:ascii="Arial" w:cs="Arial" w:eastAsia="Arial" w:hAnsi="Arial"/>
          <w:b/>
          <w:bCs/>
          <w:sz w:val="24"/>
          <w:szCs w:val="24"/>
        </w:rPr>
        <w:t xml:space="preserve">Un responsable nominal por cada proceso automatizado.</w:t>
      </w:r>
      <w:r>
        <w:rPr>
          <w:rFonts w:ascii="Arial" w:cs="Arial" w:eastAsia="Arial" w:hAnsi="Arial"/>
          <w:sz w:val="24"/>
          <w:szCs w:val="24"/>
        </w:rPr>
        <w:t xml:space="preserve"> Siempre habrá una persona identificable que responda por el resultado (Coeckelbergh, 2021; UNESCO, 2022).</w:t>
      </w:r>
    </w:p>
    <w:p>
      <w:pPr>
        <w:pStyle w:val="ListParagraph"/>
        <w:numPr>
          <w:ilvl w:val="0"/>
          <w:numId w:val="2"/>
        </w:numPr>
        <w:spacing w:after="0" w:before="0" w:line="360" w:lineRule="auto"/>
        <w:jc w:val="both"/>
      </w:pPr>
      <w:r>
        <w:rPr>
          <w:rFonts w:ascii="Arial" w:cs="Arial" w:eastAsia="Arial" w:hAnsi="Arial"/>
          <w:b/>
          <w:bCs/>
          <w:sz w:val="24"/>
          <w:szCs w:val="24"/>
        </w:rPr>
        <w:t xml:space="preserve">Una persona en el circuito.</w:t>
      </w:r>
      <w:r>
        <w:rPr>
          <w:rFonts w:ascii="Arial" w:cs="Arial" w:eastAsia="Arial" w:hAnsi="Arial"/>
          <w:sz w:val="24"/>
          <w:szCs w:val="24"/>
        </w:rPr>
        <w:t xml:space="preserve"> Probar en una copia antes de pasar a producción y verificar una muestra antes de cada emisión masiva, de modo que la persona conserve la capacidad de cuestionar lo que produce el sistema y se contrarreste la complacencia (Degli-Esposti, 2023; Parasuraman &amp; Manzey, 2010).</w:t>
      </w:r>
    </w:p>
    <w:p>
      <w:pPr>
        <w:pStyle w:val="ListParagraph"/>
        <w:numPr>
          <w:ilvl w:val="0"/>
          <w:numId w:val="2"/>
        </w:numPr>
        <w:spacing w:after="0" w:before="0" w:line="360" w:lineRule="auto"/>
        <w:jc w:val="both"/>
      </w:pPr>
      <w:r>
        <w:rPr>
          <w:rFonts w:ascii="Arial" w:cs="Arial" w:eastAsia="Arial" w:hAnsi="Arial"/>
          <w:b/>
          <w:bCs/>
          <w:sz w:val="24"/>
          <w:szCs w:val="24"/>
        </w:rPr>
        <w:t xml:space="preserve">Datos mínimos y protegidos.</w:t>
      </w:r>
      <w:r>
        <w:rPr>
          <w:rFonts w:ascii="Arial" w:cs="Arial" w:eastAsia="Arial" w:hAnsi="Arial"/>
          <w:sz w:val="24"/>
          <w:szCs w:val="24"/>
        </w:rPr>
        <w:t xml:space="preserve"> No entregar datos personales reales a herramientas externas, evitar copias intermedias, publicar solo información agregada y mantener un aviso de privacidad actualizado.</w:t>
      </w:r>
    </w:p>
    <w:p>
      <w:pPr>
        <w:pStyle w:val="ListParagraph"/>
        <w:numPr>
          <w:ilvl w:val="0"/>
          <w:numId w:val="2"/>
        </w:numPr>
        <w:spacing w:after="0" w:before="0" w:line="360" w:lineRule="auto"/>
        <w:jc w:val="both"/>
      </w:pPr>
      <w:r>
        <w:rPr>
          <w:rFonts w:ascii="Arial" w:cs="Arial" w:eastAsia="Arial" w:hAnsi="Arial"/>
          <w:b/>
          <w:bCs/>
          <w:sz w:val="24"/>
          <w:szCs w:val="24"/>
        </w:rPr>
        <w:t xml:space="preserve">Rastro verificable.</w:t>
      </w:r>
      <w:r>
        <w:rPr>
          <w:rFonts w:ascii="Arial" w:cs="Arial" w:eastAsia="Arial" w:hAnsi="Arial"/>
          <w:sz w:val="24"/>
          <w:szCs w:val="24"/>
        </w:rPr>
        <w:t xml:space="preserve"> Conservar el historial de emisiones y versiones, y una bitácora de dónde se usó IA en el desarrollo, además de auditar periódicamente los resultados (Degli-Esposti, 2023).</w:t>
      </w:r>
    </w:p>
    <w:p>
      <w:pPr>
        <w:pStyle w:val="ListParagraph"/>
        <w:numPr>
          <w:ilvl w:val="0"/>
          <w:numId w:val="2"/>
        </w:numPr>
        <w:spacing w:after="0" w:before="0" w:line="360" w:lineRule="auto"/>
        <w:jc w:val="both"/>
      </w:pPr>
      <w:r>
        <w:rPr>
          <w:rFonts w:ascii="Arial" w:cs="Arial" w:eastAsia="Arial" w:hAnsi="Arial"/>
          <w:b/>
          <w:bCs/>
          <w:sz w:val="24"/>
          <w:szCs w:val="24"/>
        </w:rPr>
        <w:t xml:space="preserve">Equidad verificable.</w:t>
      </w:r>
      <w:r>
        <w:rPr>
          <w:rFonts w:ascii="Arial" w:cs="Arial" w:eastAsia="Arial" w:hAnsi="Arial"/>
          <w:sz w:val="24"/>
          <w:szCs w:val="24"/>
        </w:rPr>
        <w:t xml:space="preserve"> Revisar por país, idioma y accesibilidad los resultados de cualquier sistema que afecte el acceso a servicios, y dejar la decisión final a personas (Coeckelbergh, 2021; Degli-Esposti, 2023).</w:t>
      </w:r>
    </w:p>
    <w:p>
      <w:pPr>
        <w:pStyle w:val="ListParagraph"/>
        <w:numPr>
          <w:ilvl w:val="0"/>
          <w:numId w:val="2"/>
        </w:numPr>
        <w:spacing w:after="0" w:before="0" w:line="360" w:lineRule="auto"/>
        <w:jc w:val="both"/>
      </w:pPr>
      <w:r>
        <w:rPr>
          <w:rFonts w:ascii="Arial" w:cs="Arial" w:eastAsia="Arial" w:hAnsi="Arial"/>
          <w:b/>
          <w:bCs/>
          <w:sz w:val="24"/>
          <w:szCs w:val="24"/>
        </w:rPr>
        <w:t xml:space="preserve">Formación y transparencia.</w:t>
      </w:r>
      <w:r>
        <w:rPr>
          <w:rFonts w:ascii="Arial" w:cs="Arial" w:eastAsia="Arial" w:hAnsi="Arial"/>
          <w:sz w:val="24"/>
          <w:szCs w:val="24"/>
        </w:rPr>
        <w:t xml:space="preserve"> Capacitar al personal para supervisar las herramientas y declarar abiertamente cuándo se usó IA.</w:t>
      </w:r>
    </w:p>
    <w:p>
      <w:pPr>
        <w:pStyle w:val="Heading2"/>
        <w:keepNext/>
        <w:spacing w:after="0" w:before="0" w:line="360" w:lineRule="auto"/>
        <w:jc w:val="left"/>
      </w:pPr>
      <w:r>
        <w:rPr>
          <w:rFonts w:ascii="Arial" w:cs="Arial" w:eastAsia="Arial" w:hAnsi="Arial"/>
          <w:b/>
          <w:bCs/>
          <w:color w:val="000000"/>
          <w:sz w:val="24"/>
          <w:szCs w:val="24"/>
        </w:rPr>
        <w:t xml:space="preserve">Postura personal y reflexión final</w:t>
      </w:r>
    </w:p>
    <w:p>
      <w:pPr>
        <w:spacing w:after="0" w:before="0" w:line="360" w:lineRule="auto"/>
        <w:ind w:firstLine="720"/>
        <w:jc w:val="both"/>
      </w:pPr>
      <w:r>
        <w:rPr>
          <w:rFonts w:ascii="Arial" w:cs="Arial" w:eastAsia="Arial" w:hAnsi="Arial"/>
          <w:sz w:val="24"/>
          <w:szCs w:val="24"/>
        </w:rPr>
        <w:t xml:space="preserve">La IA y la ciencia de datos ofrecen al CIESS una oportunidad real de atender a más personas con mayor calidad, pero no modifican una verdad básica: la herramienta no es un agente moral, y quien la diseña, la configura y la usa conserva la responsabilidad de sus resultados (Coeckelbergh, 2021; Serafim et al., 2024). Quienes diseñamos, desarrollamos y usamos estos sistemas estamos, como señala Degli-Esposti (2023), en la primera línea de la ética de la IA. Mi experiencia desarrollando estos sistemas me enseñó que los riesgos más serios surgen al confiar en la tecnología sin verificarla, al compartir datos sin medir las consecuencias, al no dejar rastro de lo que se hizo y al olvidar a quienes podrían quedar fuera. Por eso la ética no frena la innovación: es lo que permite que documentos como las constancias y las actas sigan valiendo, y que los futuros asistentes y análisis de datos sirvan a todas las personas por igual. Una institución que enseña a otras a usar la IA con responsabilidad debe ser la primera en practicarlo.</w:t>
      </w:r>
    </w:p>
    <w:p>
      <w:pPr>
        <w:pStyle w:val="Heading1"/>
        <w:keepNext/>
        <w:pageBreakBefore/>
        <w:spacing w:after="0" w:before="0" w:line="360" w:lineRule="auto"/>
        <w:jc w:val="center"/>
      </w:pPr>
      <w:r>
        <w:rPr>
          <w:rFonts w:ascii="Arial" w:cs="Arial" w:eastAsia="Arial" w:hAnsi="Arial"/>
          <w:b/>
          <w:bCs/>
          <w:color w:val="000000"/>
          <w:sz w:val="24"/>
          <w:szCs w:val="24"/>
        </w:rPr>
        <w:t xml:space="preserve">Evidencias de Participación en el Foro</w:t>
      </w:r>
    </w:p>
    <w:p>
      <w:pPr>
        <w:spacing w:after="0" w:before="0" w:line="360" w:lineRule="auto"/>
        <w:ind w:firstLine="720"/>
        <w:jc w:val="both"/>
      </w:pPr>
      <w:r>
        <w:rPr>
          <w:rFonts w:ascii="Arial" w:cs="Arial" w:eastAsia="Arial" w:hAnsi="Arial"/>
          <w:sz w:val="24"/>
          <w:szCs w:val="24"/>
        </w:rPr>
        <w:t xml:space="preserve">En esta sección se presentan las capturas de pantalla de mi aportación principal y de las retroalimentaciones que realicé a tres compañeras y compañeros en el Foro </w:t>
      </w:r>
      <w:r>
        <w:rPr>
          <w:rFonts w:ascii="Arial" w:cs="Arial" w:eastAsia="Arial" w:hAnsi="Arial"/>
          <w:i/>
          <w:iCs/>
          <w:sz w:val="24"/>
          <w:szCs w:val="24"/>
        </w:rPr>
        <w:t xml:space="preserve">Hablemos de IA</w:t>
      </w:r>
      <w:r>
        <w:rPr>
          <w:rFonts w:ascii="Arial" w:cs="Arial" w:eastAsia="Arial" w:hAnsi="Arial"/>
          <w:sz w:val="24"/>
          <w:szCs w:val="24"/>
        </w:rPr>
        <w:t xml:space="preserve">. Las imágenes tienen el mismo tamaño y permiten apreciar las preguntas detonadoras y los comentarios.</w:t>
      </w:r>
    </w:p>
    <w:p>
      <w:pPr>
        <w:keepNext/>
        <w:spacing w:after="0" w:before="0" w:line="360" w:lineRule="auto"/>
      </w:pPr>
      <w:r>
        <w:rPr>
          <w:rFonts w:ascii="Arial" w:cs="Arial" w:eastAsia="Arial" w:hAnsi="Arial"/>
          <w:b/>
          <w:bCs/>
          <w:sz w:val="24"/>
          <w:szCs w:val="24"/>
        </w:rPr>
        <w:t xml:space="preserve">Figura 1</w:t>
      </w:r>
    </w:p>
    <w:p>
      <w:pPr>
        <w:keepNext/>
        <w:spacing w:after="0" w:before="0" w:line="360" w:lineRule="auto"/>
      </w:pPr>
      <w:r>
        <w:rPr>
          <w:rFonts w:ascii="Arial" w:cs="Arial" w:eastAsia="Arial" w:hAnsi="Arial"/>
          <w:i/>
          <w:iCs/>
          <w:sz w:val="24"/>
          <w:szCs w:val="24"/>
        </w:rPr>
        <w:t xml:space="preserve">Aportación principal en el Foro Hablemos de IA</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8838"/>
      </w:tblGrid>
      <w:tr>
        <w:trPr>
          <w:cantSplit/>
          <w:trHeight w:val="8800" w:hRule="exact"/>
        </w:trPr>
        <w:tc>
          <w:tcPr>
            <w:tcW w:type="dxa" w:w="8838"/>
            <w:tcBorders>
              <w:top w:val="dashed" w:color="808080" w:sz="6"/>
              <w:left w:val="dashed" w:color="808080" w:sz="6"/>
              <w:bottom w:val="dashed" w:color="808080" w:sz="6"/>
              <w:right w:val="dashed" w:color="808080" w:sz="6"/>
            </w:tcBorders>
            <w:vAlign w:val="center"/>
          </w:tcPr>
          <w:p>
            <w:pPr>
              <w:spacing w:after="0" w:before="0" w:line="360" w:lineRule="auto"/>
              <w:jc w:val="center"/>
            </w:pPr>
            <w:r>
              <w:rPr>
                <w:rFonts w:ascii="Arial" w:cs="Arial" w:eastAsia="Arial" w:hAnsi="Arial"/>
                <w:sz w:val="24"/>
                <w:szCs w:val="24"/>
                <w:shd w:fill="FFFF00" w:color="auto" w:val="clear"/>
              </w:rPr>
              <w:t xml:space="preserve">[Insertar aquí la captura de pantalla]</w:t>
            </w:r>
          </w:p>
        </w:tc>
      </w:tr>
    </w:tbl>
    <w:p>
      <w:pPr>
        <w:spacing w:after="0" w:before="0" w:line="360" w:lineRule="auto"/>
      </w:pPr>
    </w:p>
    <w:p>
      <w:pPr>
        <w:keepNext/>
        <w:pageBreakBefore/>
        <w:spacing w:after="0" w:before="0" w:line="360" w:lineRule="auto"/>
      </w:pPr>
      <w:r>
        <w:rPr>
          <w:rFonts w:ascii="Arial" w:cs="Arial" w:eastAsia="Arial" w:hAnsi="Arial"/>
          <w:b/>
          <w:bCs/>
          <w:sz w:val="24"/>
          <w:szCs w:val="24"/>
        </w:rPr>
        <w:t xml:space="preserve">Figura 2</w:t>
      </w:r>
    </w:p>
    <w:p>
      <w:pPr>
        <w:keepNext/>
        <w:spacing w:after="0" w:before="0" w:line="360" w:lineRule="auto"/>
      </w:pPr>
      <w:r>
        <w:rPr>
          <w:rFonts w:ascii="Arial" w:cs="Arial" w:eastAsia="Arial" w:hAnsi="Arial"/>
          <w:i/>
          <w:iCs/>
          <w:sz w:val="24"/>
          <w:szCs w:val="24"/>
        </w:rPr>
        <w:t xml:space="preserve">Retroalimentación a </w:t>
      </w:r>
      <w:r>
        <w:rPr>
          <w:rFonts w:ascii="Arial" w:cs="Arial" w:eastAsia="Arial" w:hAnsi="Arial"/>
          <w:i/>
          <w:iCs/>
          <w:sz w:val="24"/>
          <w:szCs w:val="24"/>
          <w:shd w:fill="FFFF00" w:color="auto" w:val="clear"/>
        </w:rPr>
        <w:t xml:space="preserve">Dylan Tepatzi Xahuentitla</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8838"/>
      </w:tblGrid>
      <w:tr>
        <w:trPr>
          <w:cantSplit/>
          <w:trHeight w:val="8800" w:hRule="exact"/>
        </w:trPr>
        <w:tc>
          <w:tcPr>
            <w:tcW w:type="dxa" w:w="8838"/>
            <w:tcBorders>
              <w:top w:val="dashed" w:color="808080" w:sz="6"/>
              <w:left w:val="dashed" w:color="808080" w:sz="6"/>
              <w:bottom w:val="dashed" w:color="808080" w:sz="6"/>
              <w:right w:val="dashed" w:color="808080" w:sz="6"/>
            </w:tcBorders>
            <w:vAlign w:val="center"/>
          </w:tcPr>
          <w:p>
            <w:pPr>
              <w:spacing w:after="0" w:before="0" w:line="360" w:lineRule="auto"/>
              <w:jc w:val="center"/>
            </w:pPr>
            <w:r>
              <w:rPr>
                <w:rFonts w:ascii="Arial" w:cs="Arial" w:eastAsia="Arial" w:hAnsi="Arial"/>
                <w:sz w:val="24"/>
                <w:szCs w:val="24"/>
                <w:shd w:fill="FFFF00" w:color="auto" w:val="clear"/>
              </w:rPr>
              <w:t xml:space="preserve">[Insertar aquí la captura de pantalla]</w:t>
            </w:r>
          </w:p>
        </w:tc>
      </w:tr>
    </w:tbl>
    <w:p>
      <w:pPr>
        <w:spacing w:after="0" w:before="0" w:line="360" w:lineRule="auto"/>
      </w:pPr>
    </w:p>
    <w:p>
      <w:pPr>
        <w:keepNext/>
        <w:pageBreakBefore/>
        <w:spacing w:after="0" w:before="0" w:line="360" w:lineRule="auto"/>
      </w:pPr>
      <w:r>
        <w:rPr>
          <w:rFonts w:ascii="Arial" w:cs="Arial" w:eastAsia="Arial" w:hAnsi="Arial"/>
          <w:b/>
          <w:bCs/>
          <w:sz w:val="24"/>
          <w:szCs w:val="24"/>
        </w:rPr>
        <w:t xml:space="preserve">Figura 3</w:t>
      </w:r>
    </w:p>
    <w:p>
      <w:pPr>
        <w:keepNext/>
        <w:spacing w:after="0" w:before="0" w:line="360" w:lineRule="auto"/>
      </w:pPr>
      <w:r>
        <w:rPr>
          <w:rFonts w:ascii="Arial" w:cs="Arial" w:eastAsia="Arial" w:hAnsi="Arial"/>
          <w:i/>
          <w:iCs/>
          <w:sz w:val="24"/>
          <w:szCs w:val="24"/>
        </w:rPr>
        <w:t xml:space="preserve">Retroalimentación a </w:t>
      </w:r>
      <w:r>
        <w:rPr>
          <w:rFonts w:ascii="Arial" w:cs="Arial" w:eastAsia="Arial" w:hAnsi="Arial"/>
          <w:i/>
          <w:iCs/>
          <w:sz w:val="24"/>
          <w:szCs w:val="24"/>
          <w:shd w:fill="FFFF00" w:color="auto" w:val="clear"/>
        </w:rPr>
        <w:t xml:space="preserve">Uriel Antonio Torres Rojas</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8838"/>
      </w:tblGrid>
      <w:tr>
        <w:trPr>
          <w:cantSplit/>
          <w:trHeight w:val="8800" w:hRule="exact"/>
        </w:trPr>
        <w:tc>
          <w:tcPr>
            <w:tcW w:type="dxa" w:w="8838"/>
            <w:tcBorders>
              <w:top w:val="dashed" w:color="808080" w:sz="6"/>
              <w:left w:val="dashed" w:color="808080" w:sz="6"/>
              <w:bottom w:val="dashed" w:color="808080" w:sz="6"/>
              <w:right w:val="dashed" w:color="808080" w:sz="6"/>
            </w:tcBorders>
            <w:vAlign w:val="center"/>
          </w:tcPr>
          <w:p>
            <w:pPr>
              <w:spacing w:after="0" w:before="0" w:line="360" w:lineRule="auto"/>
              <w:jc w:val="center"/>
            </w:pPr>
            <w:r>
              <w:rPr>
                <w:rFonts w:ascii="Arial" w:cs="Arial" w:eastAsia="Arial" w:hAnsi="Arial"/>
                <w:sz w:val="24"/>
                <w:szCs w:val="24"/>
                <w:shd w:fill="FFFF00" w:color="auto" w:val="clear"/>
              </w:rPr>
              <w:t xml:space="preserve">[Insertar aquí la captura de pantalla]</w:t>
            </w:r>
          </w:p>
        </w:tc>
      </w:tr>
    </w:tbl>
    <w:p>
      <w:pPr>
        <w:spacing w:after="0" w:before="0" w:line="360" w:lineRule="auto"/>
      </w:pPr>
    </w:p>
    <w:p>
      <w:pPr>
        <w:keepNext/>
        <w:pageBreakBefore/>
        <w:spacing w:after="0" w:before="0" w:line="360" w:lineRule="auto"/>
      </w:pPr>
      <w:r>
        <w:rPr>
          <w:rFonts w:ascii="Arial" w:cs="Arial" w:eastAsia="Arial" w:hAnsi="Arial"/>
          <w:b/>
          <w:bCs/>
          <w:sz w:val="24"/>
          <w:szCs w:val="24"/>
        </w:rPr>
        <w:t xml:space="preserve">Figura 4</w:t>
      </w:r>
    </w:p>
    <w:p>
      <w:pPr>
        <w:keepNext/>
        <w:spacing w:after="0" w:before="0" w:line="360" w:lineRule="auto"/>
      </w:pPr>
      <w:r>
        <w:rPr>
          <w:rFonts w:ascii="Arial" w:cs="Arial" w:eastAsia="Arial" w:hAnsi="Arial"/>
          <w:i/>
          <w:iCs/>
          <w:sz w:val="24"/>
          <w:szCs w:val="24"/>
        </w:rPr>
        <w:t xml:space="preserve">Retroalimentación a </w:t>
      </w:r>
      <w:r>
        <w:rPr>
          <w:rFonts w:ascii="Arial" w:cs="Arial" w:eastAsia="Arial" w:hAnsi="Arial"/>
          <w:i/>
          <w:iCs/>
          <w:sz w:val="24"/>
          <w:szCs w:val="24"/>
          <w:shd w:fill="FFFF00" w:color="auto" w:val="clear"/>
        </w:rPr>
        <w:t xml:space="preserve">Jorge Semiel Hernández Santos</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8838"/>
      </w:tblGrid>
      <w:tr>
        <w:trPr>
          <w:cantSplit/>
          <w:trHeight w:val="8800" w:hRule="exact"/>
        </w:trPr>
        <w:tc>
          <w:tcPr>
            <w:tcW w:type="dxa" w:w="8838"/>
            <w:tcBorders>
              <w:top w:val="dashed" w:color="808080" w:sz="6"/>
              <w:left w:val="dashed" w:color="808080" w:sz="6"/>
              <w:bottom w:val="dashed" w:color="808080" w:sz="6"/>
              <w:right w:val="dashed" w:color="808080" w:sz="6"/>
            </w:tcBorders>
            <w:vAlign w:val="center"/>
          </w:tcPr>
          <w:p>
            <w:pPr>
              <w:spacing w:after="0" w:before="0" w:line="360" w:lineRule="auto"/>
              <w:jc w:val="center"/>
            </w:pPr>
            <w:r>
              <w:rPr>
                <w:rFonts w:ascii="Arial" w:cs="Arial" w:eastAsia="Arial" w:hAnsi="Arial"/>
                <w:sz w:val="24"/>
                <w:szCs w:val="24"/>
                <w:shd w:fill="FFFF00" w:color="auto" w:val="clear"/>
              </w:rPr>
              <w:t xml:space="preserve">[Insertar aquí la captura de pantalla]</w:t>
            </w:r>
          </w:p>
        </w:tc>
      </w:tr>
    </w:tbl>
    <w:p>
      <w:pPr>
        <w:spacing w:after="0" w:before="0" w:line="360" w:lineRule="auto"/>
      </w:pPr>
    </w:p>
    <w:p>
      <w:pPr>
        <w:pStyle w:val="Heading1"/>
        <w:keepNext/>
        <w:pageBreakBefore/>
        <w:spacing w:after="0" w:before="0" w:line="360" w:lineRule="auto"/>
        <w:jc w:val="center"/>
      </w:pPr>
      <w:r>
        <w:rPr>
          <w:rFonts w:ascii="Arial" w:cs="Arial" w:eastAsia="Arial" w:hAnsi="Arial"/>
          <w:b/>
          <w:bCs/>
          <w:color w:val="000000"/>
          <w:sz w:val="24"/>
          <w:szCs w:val="24"/>
        </w:rPr>
        <w:t xml:space="preserve">Referencias</w:t>
      </w:r>
    </w:p>
    <w:p>
      <w:pPr>
        <w:spacing w:after="0" w:before="0" w:line="360" w:lineRule="auto"/>
        <w:ind w:left="720" w:hanging="720"/>
        <w:jc w:val="left"/>
      </w:pPr>
      <w:r>
        <w:rPr>
          <w:rFonts w:ascii="Arial" w:cs="Arial" w:eastAsia="Arial" w:hAnsi="Arial"/>
          <w:sz w:val="24"/>
          <w:szCs w:val="24"/>
        </w:rPr>
        <w:t xml:space="preserve">Aguilar Blanc, C. (2023). “El despertar de las máquinas”: reflexiones acerca de los derechos y el estatus moral de la inteligencia artificial. </w:t>
      </w:r>
      <w:r>
        <w:rPr>
          <w:rFonts w:ascii="Arial" w:cs="Arial" w:eastAsia="Arial" w:hAnsi="Arial"/>
          <w:i/>
          <w:iCs/>
          <w:sz w:val="24"/>
          <w:szCs w:val="24"/>
        </w:rPr>
        <w:t xml:space="preserve">Revista Internacional de Pensamiento Político, 18</w:t>
      </w:r>
      <w:r>
        <w:rPr>
          <w:rFonts w:ascii="Arial" w:cs="Arial" w:eastAsia="Arial" w:hAnsi="Arial"/>
          <w:sz w:val="24"/>
          <w:szCs w:val="24"/>
        </w:rPr>
        <w:t xml:space="preserve">, 215-244.</w:t>
      </w:r>
    </w:p>
    <w:p>
      <w:pPr>
        <w:spacing w:after="0" w:before="0" w:line="360" w:lineRule="auto"/>
        <w:ind w:left="720" w:hanging="720"/>
        <w:jc w:val="left"/>
      </w:pPr>
      <w:r>
        <w:rPr>
          <w:rFonts w:ascii="Arial" w:cs="Arial" w:eastAsia="Arial" w:hAnsi="Arial"/>
          <w:sz w:val="24"/>
          <w:szCs w:val="24"/>
        </w:rPr>
        <w:t xml:space="preserve">Cámara de Diputados del Honorable Congreso de la Unión. (20 de marzo de 2025). </w:t>
      </w:r>
      <w:r>
        <w:rPr>
          <w:rFonts w:ascii="Arial" w:cs="Arial" w:eastAsia="Arial" w:hAnsi="Arial"/>
          <w:i/>
          <w:iCs/>
          <w:sz w:val="24"/>
          <w:szCs w:val="24"/>
        </w:rPr>
        <w:t xml:space="preserve">Ley Federal de Protección de Datos Personales en Posesión de los Particulares</w:t>
      </w:r>
      <w:r>
        <w:rPr>
          <w:rFonts w:ascii="Arial" w:cs="Arial" w:eastAsia="Arial" w:hAnsi="Arial"/>
          <w:sz w:val="24"/>
          <w:szCs w:val="24"/>
        </w:rPr>
        <w:t xml:space="preserve">. Diario Oficial de la Federación. </w:t>
      </w:r>
      <w:hyperlink w:history="1" r:id="rIdi2hhmuqp7v1s8isruoezl">
        <w:r>
          <w:rPr>
            <w:rStyle w:val="Hyperlink"/>
            <w:rFonts w:ascii="Arial" w:cs="Arial" w:eastAsia="Arial" w:hAnsi="Arial"/>
            <w:sz w:val="24"/>
            <w:szCs w:val="24"/>
          </w:rPr>
          <w:t xml:space="preserve">https://www.diputados.gob.mx/LeyesBiblio/pdf/LFPDPPP.pdf</w:t>
        </w:r>
      </w:hyperlink>
    </w:p>
    <w:p>
      <w:pPr>
        <w:spacing w:after="0" w:before="0" w:line="360" w:lineRule="auto"/>
        <w:ind w:left="720" w:hanging="720"/>
        <w:jc w:val="left"/>
      </w:pPr>
      <w:r>
        <w:rPr>
          <w:rFonts w:ascii="Arial" w:cs="Arial" w:eastAsia="Arial" w:hAnsi="Arial"/>
          <w:sz w:val="24"/>
          <w:szCs w:val="24"/>
        </w:rPr>
        <w:t xml:space="preserve">Carlini, N., Tramèr, F., Wallace, E., Jagielski, M., Herbert-Voss, A., Lee, K., Roberts, A., Brown, T., Song, D., Erlingsson, Ú., Oprea, A., &amp; Raffel, C. (2021). Extracting training data from large language models. In </w:t>
      </w:r>
      <w:r>
        <w:rPr>
          <w:rFonts w:ascii="Arial" w:cs="Arial" w:eastAsia="Arial" w:hAnsi="Arial"/>
          <w:i/>
          <w:iCs/>
          <w:sz w:val="24"/>
          <w:szCs w:val="24"/>
        </w:rPr>
        <w:t xml:space="preserve">30th USENIX Security Symposium (USENIX Security 21)</w:t>
      </w:r>
      <w:r>
        <w:rPr>
          <w:rFonts w:ascii="Arial" w:cs="Arial" w:eastAsia="Arial" w:hAnsi="Arial"/>
          <w:sz w:val="24"/>
          <w:szCs w:val="24"/>
        </w:rPr>
        <w:t xml:space="preserve"> (pp. 2633-2650). USENIX Association. </w:t>
      </w:r>
      <w:hyperlink w:history="1" r:id="rIdshubrz8le0u6p1hzm0rfq">
        <w:r>
          <w:rPr>
            <w:rStyle w:val="Hyperlink"/>
            <w:rFonts w:ascii="Arial" w:cs="Arial" w:eastAsia="Arial" w:hAnsi="Arial"/>
            <w:sz w:val="24"/>
            <w:szCs w:val="24"/>
          </w:rPr>
          <w:t xml:space="preserve">https://www.usenix.org/conference/usenixsecurity21/presentation/carlini-extracting</w:t>
        </w:r>
      </w:hyperlink>
    </w:p>
    <w:p>
      <w:pPr>
        <w:spacing w:after="0" w:before="0" w:line="360" w:lineRule="auto"/>
        <w:ind w:left="720" w:hanging="720"/>
        <w:jc w:val="left"/>
      </w:pPr>
      <w:r>
        <w:rPr>
          <w:rFonts w:ascii="Arial" w:cs="Arial" w:eastAsia="Arial" w:hAnsi="Arial"/>
          <w:sz w:val="24"/>
          <w:szCs w:val="24"/>
        </w:rPr>
        <w:t xml:space="preserve">Centro Interamericano de Estudios de Seguridad Social. (s.f.-a). </w:t>
      </w:r>
      <w:r>
        <w:rPr>
          <w:rFonts w:ascii="Arial" w:cs="Arial" w:eastAsia="Arial" w:hAnsi="Arial"/>
          <w:i/>
          <w:iCs/>
          <w:sz w:val="24"/>
          <w:szCs w:val="24"/>
        </w:rPr>
        <w:t xml:space="preserve">Convocatoria: Registro de investigadores / especialistas de seguridad social</w:t>
      </w:r>
      <w:r>
        <w:rPr>
          <w:rFonts w:ascii="Arial" w:cs="Arial" w:eastAsia="Arial" w:hAnsi="Arial"/>
          <w:sz w:val="24"/>
          <w:szCs w:val="24"/>
        </w:rPr>
        <w:t xml:space="preserve">. </w:t>
      </w:r>
      <w:hyperlink w:history="1" r:id="rIdjdpkqyxhpza3jn_inyuio">
        <w:r>
          <w:rPr>
            <w:rStyle w:val="Hyperlink"/>
            <w:rFonts w:ascii="Arial" w:cs="Arial" w:eastAsia="Arial" w:hAnsi="Arial"/>
            <w:sz w:val="24"/>
            <w:szCs w:val="24"/>
          </w:rPr>
          <w:t xml:space="preserve">https://home.ciess.org/convocatoria-registro-de-investigadores-especialistas-de-seguridad-social/</w:t>
        </w:r>
      </w:hyperlink>
    </w:p>
    <w:p>
      <w:pPr>
        <w:spacing w:after="0" w:before="0" w:line="360" w:lineRule="auto"/>
        <w:ind w:left="720" w:hanging="720"/>
        <w:jc w:val="left"/>
      </w:pPr>
      <w:r>
        <w:rPr>
          <w:rFonts w:ascii="Arial" w:cs="Arial" w:eastAsia="Arial" w:hAnsi="Arial"/>
          <w:sz w:val="24"/>
          <w:szCs w:val="24"/>
        </w:rPr>
        <w:t xml:space="preserve">Centro Interamericano de Estudios de Seguridad Social. (s.f.-b). </w:t>
      </w:r>
      <w:r>
        <w:rPr>
          <w:rFonts w:ascii="Arial" w:cs="Arial" w:eastAsia="Arial" w:hAnsi="Arial"/>
          <w:i/>
          <w:iCs/>
          <w:sz w:val="24"/>
          <w:szCs w:val="24"/>
        </w:rPr>
        <w:t xml:space="preserve">Inscripciones y admisiones</w:t>
      </w:r>
      <w:r>
        <w:rPr>
          <w:rFonts w:ascii="Arial" w:cs="Arial" w:eastAsia="Arial" w:hAnsi="Arial"/>
          <w:sz w:val="24"/>
          <w:szCs w:val="24"/>
        </w:rPr>
        <w:t xml:space="preserve">. </w:t>
      </w:r>
      <w:hyperlink w:history="1" r:id="rIdpf50-zsjzbujd414krpzy">
        <w:r>
          <w:rPr>
            <w:rStyle w:val="Hyperlink"/>
            <w:rFonts w:ascii="Arial" w:cs="Arial" w:eastAsia="Arial" w:hAnsi="Arial"/>
            <w:sz w:val="24"/>
            <w:szCs w:val="24"/>
          </w:rPr>
          <w:t xml:space="preserve">https://home.ciess.org/inscripciones-y-admisiones/</w:t>
        </w:r>
      </w:hyperlink>
    </w:p>
    <w:p>
      <w:pPr>
        <w:spacing w:after="0" w:before="0" w:line="360" w:lineRule="auto"/>
        <w:ind w:left="720" w:hanging="720"/>
        <w:jc w:val="left"/>
      </w:pPr>
      <w:r>
        <w:rPr>
          <w:rFonts w:ascii="Arial" w:cs="Arial" w:eastAsia="Arial" w:hAnsi="Arial"/>
          <w:sz w:val="24"/>
          <w:szCs w:val="24"/>
        </w:rPr>
        <w:t xml:space="preserve">Centro Interamericano de Estudios de Seguridad Social. (s.f.-c). </w:t>
      </w:r>
      <w:r>
        <w:rPr>
          <w:rFonts w:ascii="Arial" w:cs="Arial" w:eastAsia="Arial" w:hAnsi="Arial"/>
          <w:i/>
          <w:iCs/>
          <w:sz w:val="24"/>
          <w:szCs w:val="24"/>
        </w:rPr>
        <w:t xml:space="preserve">Microaprendizaje ABC de la inteligencia artificial 2026</w:t>
      </w:r>
      <w:r>
        <w:rPr>
          <w:rFonts w:ascii="Arial" w:cs="Arial" w:eastAsia="Arial" w:hAnsi="Arial"/>
          <w:sz w:val="24"/>
          <w:szCs w:val="24"/>
        </w:rPr>
        <w:t xml:space="preserve">. </w:t>
      </w:r>
      <w:hyperlink w:history="1" r:id="rIdeqylaygrs2hhe0uo29m5d">
        <w:r>
          <w:rPr>
            <w:rStyle w:val="Hyperlink"/>
            <w:rFonts w:ascii="Arial" w:cs="Arial" w:eastAsia="Arial" w:hAnsi="Arial"/>
            <w:sz w:val="24"/>
            <w:szCs w:val="24"/>
          </w:rPr>
          <w:t xml:space="preserve">https://home.ciess.org/microaprendizaje-abc-de-la-inteligencia-artificial-2026/</w:t>
        </w:r>
      </w:hyperlink>
    </w:p>
    <w:p>
      <w:pPr>
        <w:spacing w:after="0" w:before="0" w:line="360" w:lineRule="auto"/>
        <w:ind w:left="720" w:hanging="720"/>
        <w:jc w:val="left"/>
      </w:pPr>
      <w:r>
        <w:rPr>
          <w:rFonts w:ascii="Arial" w:cs="Arial" w:eastAsia="Arial" w:hAnsi="Arial"/>
          <w:sz w:val="24"/>
          <w:szCs w:val="24"/>
        </w:rPr>
        <w:t xml:space="preserve">Centro Interamericano de Estudios de Seguridad Social. (s.f.-d). </w:t>
      </w:r>
      <w:r>
        <w:rPr>
          <w:rFonts w:ascii="Arial" w:cs="Arial" w:eastAsia="Arial" w:hAnsi="Arial"/>
          <w:i/>
          <w:iCs/>
          <w:sz w:val="24"/>
          <w:szCs w:val="24"/>
        </w:rPr>
        <w:t xml:space="preserve">Nosotros</w:t>
      </w:r>
      <w:r>
        <w:rPr>
          <w:rFonts w:ascii="Arial" w:cs="Arial" w:eastAsia="Arial" w:hAnsi="Arial"/>
          <w:sz w:val="24"/>
          <w:szCs w:val="24"/>
        </w:rPr>
        <w:t xml:space="preserve">. </w:t>
      </w:r>
      <w:hyperlink w:history="1" r:id="rIdsq3_zjnoo_eb6clczp0t-">
        <w:r>
          <w:rPr>
            <w:rStyle w:val="Hyperlink"/>
            <w:rFonts w:ascii="Arial" w:cs="Arial" w:eastAsia="Arial" w:hAnsi="Arial"/>
            <w:sz w:val="24"/>
            <w:szCs w:val="24"/>
          </w:rPr>
          <w:t xml:space="preserve">https://home.ciess.org/nosotros/</w:t>
        </w:r>
      </w:hyperlink>
    </w:p>
    <w:p>
      <w:pPr>
        <w:spacing w:after="0" w:before="0" w:line="360" w:lineRule="auto"/>
        <w:ind w:left="720" w:hanging="720"/>
        <w:jc w:val="left"/>
      </w:pPr>
      <w:r>
        <w:rPr>
          <w:rFonts w:ascii="Arial" w:cs="Arial" w:eastAsia="Arial" w:hAnsi="Arial"/>
          <w:sz w:val="24"/>
          <w:szCs w:val="24"/>
        </w:rPr>
        <w:t xml:space="preserve">Coeckelbergh, M. (2021). </w:t>
      </w:r>
      <w:r>
        <w:rPr>
          <w:rFonts w:ascii="Arial" w:cs="Arial" w:eastAsia="Arial" w:hAnsi="Arial"/>
          <w:i/>
          <w:iCs/>
          <w:sz w:val="24"/>
          <w:szCs w:val="24"/>
        </w:rPr>
        <w:t xml:space="preserve">Ética de la inteligencia artificial</w:t>
      </w:r>
      <w:r>
        <w:rPr>
          <w:rFonts w:ascii="Arial" w:cs="Arial" w:eastAsia="Arial" w:hAnsi="Arial"/>
          <w:sz w:val="24"/>
          <w:szCs w:val="24"/>
        </w:rPr>
        <w:t xml:space="preserve">. Ediciones Cátedra. Recuperado de la base de datos elibrocatedra.</w:t>
      </w:r>
    </w:p>
    <w:p>
      <w:pPr>
        <w:spacing w:after="0" w:before="0" w:line="360" w:lineRule="auto"/>
        <w:ind w:left="720" w:hanging="720"/>
        <w:jc w:val="left"/>
      </w:pPr>
      <w:r>
        <w:rPr>
          <w:rFonts w:ascii="Arial" w:cs="Arial" w:eastAsia="Arial" w:hAnsi="Arial"/>
          <w:sz w:val="24"/>
          <w:szCs w:val="24"/>
        </w:rPr>
        <w:t xml:space="preserve">Degli-Esposti, S. (2023). </w:t>
      </w:r>
      <w:r>
        <w:rPr>
          <w:rFonts w:ascii="Arial" w:cs="Arial" w:eastAsia="Arial" w:hAnsi="Arial"/>
          <w:i/>
          <w:iCs/>
          <w:sz w:val="24"/>
          <w:szCs w:val="24"/>
        </w:rPr>
        <w:t xml:space="preserve">La ética de la inteligencia artificial</w:t>
      </w:r>
      <w:r>
        <w:rPr>
          <w:rFonts w:ascii="Arial" w:cs="Arial" w:eastAsia="Arial" w:hAnsi="Arial"/>
          <w:sz w:val="24"/>
          <w:szCs w:val="24"/>
        </w:rPr>
        <w:t xml:space="preserve">. Editorial CSIC Consejo Superior de Investigaciones Científicas. Recuperado de la base de datos elibrocatedra.</w:t>
      </w:r>
    </w:p>
    <w:p>
      <w:pPr>
        <w:spacing w:after="0" w:before="0" w:line="360" w:lineRule="auto"/>
        <w:ind w:left="720" w:hanging="720"/>
        <w:jc w:val="left"/>
      </w:pPr>
      <w:r>
        <w:rPr>
          <w:rFonts w:ascii="Arial" w:cs="Arial" w:eastAsia="Arial" w:hAnsi="Arial"/>
          <w:sz w:val="24"/>
          <w:szCs w:val="24"/>
        </w:rPr>
        <w:t xml:space="preserve">Elish, M. C. (2019). Moral crumple zones: Cautionary tales in human-robot interaction. </w:t>
      </w:r>
      <w:r>
        <w:rPr>
          <w:rFonts w:ascii="Arial" w:cs="Arial" w:eastAsia="Arial" w:hAnsi="Arial"/>
          <w:i/>
          <w:iCs/>
          <w:sz w:val="24"/>
          <w:szCs w:val="24"/>
        </w:rPr>
        <w:t xml:space="preserve">Engaging Science, Technology, and Society, 5</w:t>
      </w:r>
      <w:r>
        <w:rPr>
          <w:rFonts w:ascii="Arial" w:cs="Arial" w:eastAsia="Arial" w:hAnsi="Arial"/>
          <w:sz w:val="24"/>
          <w:szCs w:val="24"/>
        </w:rPr>
        <w:t xml:space="preserve">, 40-60. </w:t>
      </w:r>
      <w:hyperlink w:history="1" r:id="rIdv-rpnwxpifpi0ji675zji">
        <w:r>
          <w:rPr>
            <w:rStyle w:val="Hyperlink"/>
            <w:rFonts w:ascii="Arial" w:cs="Arial" w:eastAsia="Arial" w:hAnsi="Arial"/>
            <w:sz w:val="24"/>
            <w:szCs w:val="24"/>
          </w:rPr>
          <w:t xml:space="preserve">https://doi.org/10.17351/ests2019.260</w:t>
        </w:r>
      </w:hyperlink>
    </w:p>
    <w:p>
      <w:pPr>
        <w:spacing w:after="0" w:before="0" w:line="360" w:lineRule="auto"/>
        <w:ind w:left="720" w:hanging="720"/>
        <w:jc w:val="left"/>
      </w:pPr>
      <w:r>
        <w:rPr>
          <w:rFonts w:ascii="Arial" w:cs="Arial" w:eastAsia="Arial" w:hAnsi="Arial"/>
          <w:sz w:val="24"/>
          <w:szCs w:val="24"/>
        </w:rPr>
        <w:t xml:space="preserve">Floridi, L., Cowls, J., Beltrametti, M., Chatila, R., Chazerand, P., Dignum, V., Luetge, C., Madelin, R., Pagallo, U., Rossi, F., Schafer, B., Valcke, P., &amp; Vayena, E. (2018). AI4People—An ethical framework for a good AI society: Opportunities, risks, principles, and recommendations. </w:t>
      </w:r>
      <w:r>
        <w:rPr>
          <w:rFonts w:ascii="Arial" w:cs="Arial" w:eastAsia="Arial" w:hAnsi="Arial"/>
          <w:i/>
          <w:iCs/>
          <w:sz w:val="24"/>
          <w:szCs w:val="24"/>
        </w:rPr>
        <w:t xml:space="preserve">Minds and Machines, 28</w:t>
      </w:r>
      <w:r>
        <w:rPr>
          <w:rFonts w:ascii="Arial" w:cs="Arial" w:eastAsia="Arial" w:hAnsi="Arial"/>
          <w:sz w:val="24"/>
          <w:szCs w:val="24"/>
        </w:rPr>
        <w:t xml:space="preserve">(4), 689-707. </w:t>
      </w:r>
      <w:hyperlink w:history="1" r:id="rIdtbwtx57ihutr0-j2pgozg">
        <w:r>
          <w:rPr>
            <w:rStyle w:val="Hyperlink"/>
            <w:rFonts w:ascii="Arial" w:cs="Arial" w:eastAsia="Arial" w:hAnsi="Arial"/>
            <w:sz w:val="24"/>
            <w:szCs w:val="24"/>
          </w:rPr>
          <w:t xml:space="preserve">https://doi.org/10.1007/s11023-018-9482-5</w:t>
        </w:r>
      </w:hyperlink>
    </w:p>
    <w:p>
      <w:pPr>
        <w:spacing w:after="0" w:before="0" w:line="360" w:lineRule="auto"/>
        <w:ind w:left="720" w:hanging="720"/>
        <w:jc w:val="left"/>
      </w:pPr>
      <w:r>
        <w:rPr>
          <w:rFonts w:ascii="Arial" w:cs="Arial" w:eastAsia="Arial" w:hAnsi="Arial"/>
          <w:sz w:val="24"/>
          <w:szCs w:val="24"/>
        </w:rPr>
        <w:t xml:space="preserve">Gmyrek, P., Berg, J., &amp; Bescond, D. (2023). </w:t>
      </w:r>
      <w:r>
        <w:rPr>
          <w:rFonts w:ascii="Arial" w:cs="Arial" w:eastAsia="Arial" w:hAnsi="Arial"/>
          <w:i/>
          <w:iCs/>
          <w:sz w:val="24"/>
          <w:szCs w:val="24"/>
        </w:rPr>
        <w:t xml:space="preserve">Generative AI and jobs: A global analysis of potential effects on job quantity and quality</w:t>
      </w:r>
      <w:r>
        <w:rPr>
          <w:rFonts w:ascii="Arial" w:cs="Arial" w:eastAsia="Arial" w:hAnsi="Arial"/>
          <w:sz w:val="24"/>
          <w:szCs w:val="24"/>
        </w:rPr>
        <w:t xml:space="preserve"> (ILO Working Paper 96). International Labour Organization. </w:t>
      </w:r>
      <w:hyperlink w:history="1" r:id="rIdadmhbqofnkn8yqlu63r5p">
        <w:r>
          <w:rPr>
            <w:rStyle w:val="Hyperlink"/>
            <w:rFonts w:ascii="Arial" w:cs="Arial" w:eastAsia="Arial" w:hAnsi="Arial"/>
            <w:sz w:val="24"/>
            <w:szCs w:val="24"/>
          </w:rPr>
          <w:t xml:space="preserve">https://www.ilo.org/publications/generative-ai-and-jobs-global-analysis-potential-effects-job-quantity-and</w:t>
        </w:r>
      </w:hyperlink>
    </w:p>
    <w:p>
      <w:pPr>
        <w:spacing w:after="0" w:before="0" w:line="360" w:lineRule="auto"/>
        <w:ind w:left="720" w:hanging="720"/>
        <w:jc w:val="left"/>
      </w:pPr>
      <w:r>
        <w:rPr>
          <w:rFonts w:ascii="Arial" w:cs="Arial" w:eastAsia="Arial" w:hAnsi="Arial"/>
          <w:sz w:val="24"/>
          <w:szCs w:val="24"/>
        </w:rPr>
        <w:t xml:space="preserve">Gzyl, H. (2023). No confíes en la inteligencia artificial: usa la tuya. </w:t>
      </w:r>
      <w:r>
        <w:rPr>
          <w:rFonts w:ascii="Arial" w:cs="Arial" w:eastAsia="Arial" w:hAnsi="Arial"/>
          <w:i/>
          <w:iCs/>
          <w:sz w:val="24"/>
          <w:szCs w:val="24"/>
        </w:rPr>
        <w:t xml:space="preserve">DEBATES IESA, 28</w:t>
      </w:r>
      <w:r>
        <w:rPr>
          <w:rFonts w:ascii="Arial" w:cs="Arial" w:eastAsia="Arial" w:hAnsi="Arial"/>
          <w:sz w:val="24"/>
          <w:szCs w:val="24"/>
        </w:rPr>
        <w:t xml:space="preserve">(2), 10-12.</w:t>
      </w:r>
    </w:p>
    <w:p>
      <w:pPr>
        <w:spacing w:after="0" w:before="0" w:line="360" w:lineRule="auto"/>
        <w:ind w:left="720" w:hanging="720"/>
        <w:jc w:val="left"/>
      </w:pPr>
      <w:r>
        <w:rPr>
          <w:rFonts w:ascii="Arial" w:cs="Arial" w:eastAsia="Arial" w:hAnsi="Arial"/>
          <w:sz w:val="24"/>
          <w:szCs w:val="24"/>
        </w:rPr>
        <w:t xml:space="preserve">Organisation for Economic Co-operation and Development. (2024). </w:t>
      </w:r>
      <w:r>
        <w:rPr>
          <w:rFonts w:ascii="Arial" w:cs="Arial" w:eastAsia="Arial" w:hAnsi="Arial"/>
          <w:i/>
          <w:iCs/>
          <w:sz w:val="24"/>
          <w:szCs w:val="24"/>
        </w:rPr>
        <w:t xml:space="preserve">Recommendation of the Council on Artificial Intelligence</w:t>
      </w:r>
      <w:r>
        <w:rPr>
          <w:rFonts w:ascii="Arial" w:cs="Arial" w:eastAsia="Arial" w:hAnsi="Arial"/>
          <w:sz w:val="24"/>
          <w:szCs w:val="24"/>
        </w:rPr>
        <w:t xml:space="preserve"> (OECD/LEGAL/0449). OECD Legal Instruments. </w:t>
      </w:r>
      <w:hyperlink w:history="1" r:id="rIdzwswvlqpwvvblmho3arlq">
        <w:r>
          <w:rPr>
            <w:rStyle w:val="Hyperlink"/>
            <w:rFonts w:ascii="Arial" w:cs="Arial" w:eastAsia="Arial" w:hAnsi="Arial"/>
            <w:sz w:val="24"/>
            <w:szCs w:val="24"/>
          </w:rPr>
          <w:t xml:space="preserve">https://legalinstruments.oecd.org/en/instruments/OECD-LEGAL-0449</w:t>
        </w:r>
      </w:hyperlink>
    </w:p>
    <w:p>
      <w:pPr>
        <w:spacing w:after="0" w:before="0" w:line="360" w:lineRule="auto"/>
        <w:ind w:left="720" w:hanging="720"/>
        <w:jc w:val="left"/>
      </w:pPr>
      <w:r>
        <w:rPr>
          <w:rFonts w:ascii="Arial" w:cs="Arial" w:eastAsia="Arial" w:hAnsi="Arial"/>
          <w:sz w:val="24"/>
          <w:szCs w:val="24"/>
        </w:rPr>
        <w:t xml:space="preserve">Organización de las Naciones Unidas para la Educación, la Ciencia y la Cultura. (2022). </w:t>
      </w:r>
      <w:r>
        <w:rPr>
          <w:rFonts w:ascii="Arial" w:cs="Arial" w:eastAsia="Arial" w:hAnsi="Arial"/>
          <w:i/>
          <w:iCs/>
          <w:sz w:val="24"/>
          <w:szCs w:val="24"/>
        </w:rPr>
        <w:t xml:space="preserve">Recomendación sobre la ética de la inteligencia artificial</w:t>
      </w:r>
      <w:r>
        <w:rPr>
          <w:rFonts w:ascii="Arial" w:cs="Arial" w:eastAsia="Arial" w:hAnsi="Arial"/>
          <w:sz w:val="24"/>
          <w:szCs w:val="24"/>
        </w:rPr>
        <w:t xml:space="preserve"> (SHS/BIO/PI/2021/1). </w:t>
      </w:r>
      <w:hyperlink w:history="1" r:id="rIdlhgtiu5jpvs-ljgztvgjy">
        <w:r>
          <w:rPr>
            <w:rStyle w:val="Hyperlink"/>
            <w:rFonts w:ascii="Arial" w:cs="Arial" w:eastAsia="Arial" w:hAnsi="Arial"/>
            <w:sz w:val="24"/>
            <w:szCs w:val="24"/>
          </w:rPr>
          <w:t xml:space="preserve">https://unesdoc.unesco.org/ark:/48223/pf0000381137_spa</w:t>
        </w:r>
      </w:hyperlink>
    </w:p>
    <w:p>
      <w:pPr>
        <w:spacing w:after="0" w:before="0" w:line="360" w:lineRule="auto"/>
        <w:ind w:left="720" w:hanging="720"/>
        <w:jc w:val="left"/>
      </w:pPr>
      <w:r>
        <w:rPr>
          <w:rFonts w:ascii="Arial" w:cs="Arial" w:eastAsia="Arial" w:hAnsi="Arial"/>
          <w:sz w:val="24"/>
          <w:szCs w:val="24"/>
        </w:rPr>
        <w:t xml:space="preserve">Parasuraman, R., &amp; Manzey, D. H. (2010). Complacency and bias in human use of automation: An attentional integration. </w:t>
      </w:r>
      <w:r>
        <w:rPr>
          <w:rFonts w:ascii="Arial" w:cs="Arial" w:eastAsia="Arial" w:hAnsi="Arial"/>
          <w:i/>
          <w:iCs/>
          <w:sz w:val="24"/>
          <w:szCs w:val="24"/>
        </w:rPr>
        <w:t xml:space="preserve">Human Factors, 52</w:t>
      </w:r>
      <w:r>
        <w:rPr>
          <w:rFonts w:ascii="Arial" w:cs="Arial" w:eastAsia="Arial" w:hAnsi="Arial"/>
          <w:sz w:val="24"/>
          <w:szCs w:val="24"/>
        </w:rPr>
        <w:t xml:space="preserve">(3), 381-410. </w:t>
      </w:r>
      <w:hyperlink w:history="1" r:id="rIdtfguwwk1xh5ywqhol6md3">
        <w:r>
          <w:rPr>
            <w:rStyle w:val="Hyperlink"/>
            <w:rFonts w:ascii="Arial" w:cs="Arial" w:eastAsia="Arial" w:hAnsi="Arial"/>
            <w:sz w:val="24"/>
            <w:szCs w:val="24"/>
          </w:rPr>
          <w:t xml:space="preserve">https://doi.org/10.1177/0018720810376055</w:t>
        </w:r>
      </w:hyperlink>
    </w:p>
    <w:p>
      <w:pPr>
        <w:spacing w:after="0" w:before="0" w:line="360" w:lineRule="auto"/>
        <w:ind w:left="720" w:hanging="720"/>
        <w:jc w:val="left"/>
      </w:pPr>
      <w:r>
        <w:rPr>
          <w:rFonts w:ascii="Arial" w:cs="Arial" w:eastAsia="Arial" w:hAnsi="Arial"/>
          <w:sz w:val="24"/>
          <w:szCs w:val="24"/>
        </w:rPr>
        <w:t xml:space="preserve">Serafim, M. C., Ames, M. C., Bertoncini, A. L. y Pansera, D. (2024). Inteligencia artificial (de)generativa: Sobre la imposibilidad de que un sistema de IA tenga una experiencia moral. </w:t>
      </w:r>
      <w:r>
        <w:rPr>
          <w:rFonts w:ascii="Arial" w:cs="Arial" w:eastAsia="Arial" w:hAnsi="Arial"/>
          <w:i/>
          <w:iCs/>
          <w:sz w:val="24"/>
          <w:szCs w:val="24"/>
        </w:rPr>
        <w:t xml:space="preserve">Scripta Theologica, 56</w:t>
      </w:r>
      <w:r>
        <w:rPr>
          <w:rFonts w:ascii="Arial" w:cs="Arial" w:eastAsia="Arial" w:hAnsi="Arial"/>
          <w:sz w:val="24"/>
          <w:szCs w:val="24"/>
        </w:rPr>
        <w:t xml:space="preserve">, 467-502.</w:t>
      </w:r>
    </w:p>
    <w:sectPr>
      <w:headerReference w:type="default" r:id="rId7"/>
      <w:headerReference w:type="first" r:id="rId8"/>
      <w:pgSz w:w="12240" w:h="15840" w:orient="portrait"/>
      <w:pgMar w:top="1417" w:right="1701" w:bottom="1417"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after="0" w:before="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line="360" w:lineRule="auto"/>
      <w:jc w:val="center"/>
      <w:outlineLvl w:val="0"/>
    </w:pPr>
    <w:rPr>
      <w:rFonts w:ascii="Arial" w:cs="Arial" w:eastAsia="Arial" w:hAnsi="Arial"/>
      <w:b/>
      <w:bCs/>
      <w:color w:val="000000"/>
      <w:sz w:val="24"/>
      <w:szCs w:val="24"/>
    </w:rPr>
  </w:style>
  <w:style w:type="paragraph" w:styleId="Heading2">
    <w:name w:val="Heading 2"/>
    <w:basedOn w:val="Normal"/>
    <w:next w:val="Normal"/>
    <w:qFormat/>
    <w:pPr>
      <w:spacing w:after="0" w:before="0" w:line="360" w:lineRule="auto"/>
      <w:outlineLvl w:val="1"/>
    </w:pPr>
    <w:rPr>
      <w:rFonts w:ascii="Arial" w:cs="Arial" w:eastAsia="Arial" w:hAnsi="Arial"/>
      <w:b/>
      <w:bCs/>
      <w:color w:val="000000"/>
      <w:sz w:val="24"/>
      <w:szCs w:val="24"/>
    </w:rPr>
  </w:style>
  <w:style w:type="character" w:styleId="Hyperlink">
    <w:name w:val="Hyperlink"/>
    <w:basedOn w:val="DefaultParagraphFont"/>
    <w:uiPriority w:val="99"/>
    <w:unhideWhenUsed/>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i2hhmuqp7v1s8isruoezl" Type="http://schemas.openxmlformats.org/officeDocument/2006/relationships/hyperlink" Target="https://www.diputados.gob.mx/LeyesBiblio/pdf/LFPDPPP.pdf" TargetMode="External"/><Relationship Id="rIdshubrz8le0u6p1hzm0rfq" Type="http://schemas.openxmlformats.org/officeDocument/2006/relationships/hyperlink" Target="https://www.usenix.org/conference/usenixsecurity21/presentation/carlini-extracting" TargetMode="External"/><Relationship Id="rIdjdpkqyxhpza3jn_inyuio" Type="http://schemas.openxmlformats.org/officeDocument/2006/relationships/hyperlink" Target="https://home.ciess.org/convocatoria-registro-de-investigadores-especialistas-de-seguridad-social/" TargetMode="External"/><Relationship Id="rIdpf50-zsjzbujd414krpzy" Type="http://schemas.openxmlformats.org/officeDocument/2006/relationships/hyperlink" Target="https://home.ciess.org/inscripciones-y-admisiones/" TargetMode="External"/><Relationship Id="rIdeqylaygrs2hhe0uo29m5d" Type="http://schemas.openxmlformats.org/officeDocument/2006/relationships/hyperlink" Target="https://home.ciess.org/microaprendizaje-abc-de-la-inteligencia-artificial-2026/" TargetMode="External"/><Relationship Id="rIdsq3_zjnoo_eb6clczp0t-" Type="http://schemas.openxmlformats.org/officeDocument/2006/relationships/hyperlink" Target="https://home.ciess.org/nosotros/" TargetMode="External"/><Relationship Id="rIdv-rpnwxpifpi0ji675zji" Type="http://schemas.openxmlformats.org/officeDocument/2006/relationships/hyperlink" Target="https://doi.org/10.17351/ests2019.260" TargetMode="External"/><Relationship Id="rIdtbwtx57ihutr0-j2pgozg" Type="http://schemas.openxmlformats.org/officeDocument/2006/relationships/hyperlink" Target="https://doi.org/10.1007/s11023-018-9482-5" TargetMode="External"/><Relationship Id="rIdadmhbqofnkn8yqlu63r5p" Type="http://schemas.openxmlformats.org/officeDocument/2006/relationships/hyperlink" Target="https://www.ilo.org/publications/generative-ai-and-jobs-global-analysis-potential-effects-job-quantity-and" TargetMode="External"/><Relationship Id="rIdzwswvlqpwvvblmho3arlq" Type="http://schemas.openxmlformats.org/officeDocument/2006/relationships/hyperlink" Target="https://legalinstruments.oecd.org/en/instruments/OECD-LEGAL-0449" TargetMode="External"/><Relationship Id="rIdlhgtiu5jpvs-ljgztvgjy" Type="http://schemas.openxmlformats.org/officeDocument/2006/relationships/hyperlink" Target="https://unesdoc.unesco.org/ark:/48223/pf0000381137_spa" TargetMode="External"/><Relationship Id="rIdtfguwwk1xh5ywqhol6md3" Type="http://schemas.openxmlformats.org/officeDocument/2006/relationships/hyperlink" Target="https://doi.org/10.1177/0018720810376055"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 la eficiencia y la responsabilidad: dilemas éticos de la ciencia de datos y la inteligencia artificial en los procesos académicos del CIESS</dc:title>
  <dc:creator>Arturo David Navarrete Flores</dc:creator>
  <cp:lastModifiedBy>Un-named</cp:lastModifiedBy>
  <cp:revision>1</cp:revision>
  <dcterms:created xsi:type="dcterms:W3CDTF">2026-10-10T05:47:21.742Z</dcterms:created>
  <dcterms:modified xsi:type="dcterms:W3CDTF">2026-10-10T05:47:21.748Z</dcterms:modified>
</cp:coreProperties>
</file>

<file path=docProps/custom.xml><?xml version="1.0" encoding="utf-8"?>
<Properties xmlns="http://schemas.openxmlformats.org/officeDocument/2006/custom-properties" xmlns:vt="http://schemas.openxmlformats.org/officeDocument/2006/docPropsVTypes"/>
</file>