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240" w:line="276" w:lineRule="auto"/>
        <w:jc w:val="center"/>
      </w:pPr>
      <w:r>
        <w:drawing>
          <wp:inline distT="0" distB="0" distL="0" distR="0">
            <wp:extent cx="1714500" cy="819150"/>
            <wp:effectExtent t="0" r="0" b="0" l="0"/>
            <wp:docPr id="1" name="logo" descr="Logotipo de la Universidad Virtual del Estado de Guanajuato" title="UV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714500" cy="819150"/>
                    </a:xfrm>
                    <a:prstGeom prst="rect">
                      <a:avLst/>
                    </a:prstGeom>
                  </pic:spPr>
                </pic:pic>
              </a:graphicData>
            </a:graphic>
          </wp:inline>
        </w:drawing>
      </w:r>
    </w:p>
    <w:p>
      <w:pPr>
        <w:spacing w:after="0" w:before="0" w:line="276" w:lineRule="auto"/>
        <w:jc w:val="center"/>
      </w:pPr>
      <w:r>
        <w:rPr>
          <w:rFonts w:ascii="Arial" w:cs="Arial" w:eastAsia="Arial" w:hAnsi="Arial"/>
          <w:b/>
          <w:bCs/>
          <w:color w:val="1F4E79"/>
          <w:sz w:val="32"/>
          <w:szCs w:val="32"/>
        </w:rPr>
        <w:t xml:space="preserve">Nombre de la Universidad: </w:t>
      </w:r>
      <w:r>
        <w:rPr>
          <w:rFonts w:ascii="Arial" w:cs="Arial" w:eastAsia="Arial" w:hAnsi="Arial"/>
          <w:b/>
          <w:bCs/>
          <w:color w:val="1F4E79"/>
          <w:sz w:val="32"/>
          <w:szCs w:val="32"/>
        </w:rPr>
        <w:t xml:space="preserve">Universidad Virtual del Estado de Guanajuato</w:t>
      </w:r>
    </w:p>
    <w:p>
      <w:pPr>
        <w:spacing w:after="0" w:before="120" w:line="276" w:lineRule="auto"/>
        <w:jc w:val="center"/>
      </w:pPr>
      <w:r>
        <w:rPr>
          <w:rFonts w:ascii="Arial" w:cs="Arial" w:eastAsia="Arial" w:hAnsi="Arial"/>
          <w:b/>
          <w:bCs/>
          <w:color w:val="1F4E79"/>
          <w:sz w:val="32"/>
          <w:szCs w:val="32"/>
        </w:rPr>
        <w:t xml:space="preserve">Maestría en Inteligencia Artificial</w:t>
      </w:r>
    </w:p>
    <w:p>
      <w:pPr>
        <w:spacing w:after="0" w:before="360" w:line="276" w:lineRule="auto"/>
        <w:jc w:val="center"/>
      </w:pPr>
      <w:r>
        <w:rPr>
          <w:rFonts w:ascii="Arial" w:cs="Arial" w:eastAsia="Arial" w:hAnsi="Arial"/>
          <w:b/>
          <w:bCs/>
          <w:color w:val="1F4E79"/>
          <w:sz w:val="32"/>
          <w:szCs w:val="32"/>
        </w:rPr>
        <w:t xml:space="preserve">Nombre del Módulo: </w:t>
      </w:r>
      <w:r>
        <w:rPr>
          <w:rFonts w:ascii="Arial" w:cs="Arial" w:eastAsia="Arial" w:hAnsi="Arial"/>
          <w:b/>
          <w:bCs/>
          <w:color w:val="1F4E79"/>
          <w:sz w:val="32"/>
          <w:szCs w:val="32"/>
        </w:rPr>
        <w:t xml:space="preserve">Aspectos éticos y normativos de la Ciencia de Datos e Inteligencia Artificial</w:t>
      </w:r>
    </w:p>
    <w:p>
      <w:pPr>
        <w:spacing w:after="0" w:before="360" w:line="276" w:lineRule="auto"/>
        <w:jc w:val="center"/>
      </w:pPr>
      <w:r>
        <w:rPr>
          <w:rFonts w:ascii="Arial" w:cs="Arial" w:eastAsia="Arial" w:hAnsi="Arial"/>
          <w:b/>
          <w:bCs/>
          <w:color w:val="1F4E79"/>
          <w:sz w:val="32"/>
          <w:szCs w:val="32"/>
        </w:rPr>
        <w:t xml:space="preserve">Nombre del Reto: </w:t>
      </w:r>
      <w:r>
        <w:rPr>
          <w:rFonts w:ascii="Arial" w:cs="Arial" w:eastAsia="Arial" w:hAnsi="Arial"/>
          <w:b/>
          <w:bCs/>
          <w:color w:val="1F4E79"/>
          <w:sz w:val="32"/>
          <w:szCs w:val="32"/>
        </w:rPr>
        <w:t xml:space="preserve">Reto 5. Propiedad intelectual en la era digital</w:t>
      </w:r>
    </w:p>
    <w:p>
      <w:pPr>
        <w:spacing w:after="0" w:before="360" w:line="276" w:lineRule="auto"/>
        <w:jc w:val="center"/>
      </w:pPr>
      <w:r>
        <w:rPr>
          <w:rFonts w:ascii="Arial" w:cs="Arial" w:eastAsia="Arial" w:hAnsi="Arial"/>
          <w:b/>
          <w:bCs/>
          <w:color w:val="1F4E79"/>
          <w:sz w:val="32"/>
          <w:szCs w:val="32"/>
        </w:rPr>
        <w:t xml:space="preserve">Plan integral de gestión de riesgos informáticos relacionados con la violación de derechos de propiedad intelectual en el CIESS</w:t>
      </w:r>
    </w:p>
    <w:p>
      <w:pPr>
        <w:spacing w:after="0" w:before="600" w:line="276" w:lineRule="auto"/>
        <w:jc w:val="center"/>
      </w:pPr>
      <w:r>
        <w:rPr>
          <w:rFonts w:ascii="Arial" w:cs="Arial" w:eastAsia="Arial" w:hAnsi="Arial"/>
          <w:b/>
          <w:bCs/>
          <w:color w:val="1F4E79"/>
          <w:sz w:val="32"/>
          <w:szCs w:val="32"/>
        </w:rPr>
        <w:t xml:space="preserve">Nombre del alumno: </w:t>
      </w:r>
      <w:r>
        <w:rPr>
          <w:rFonts w:ascii="Arial" w:cs="Arial" w:eastAsia="Arial" w:hAnsi="Arial"/>
          <w:b/>
          <w:bCs/>
          <w:color w:val="1F4E79"/>
          <w:sz w:val="32"/>
          <w:szCs w:val="32"/>
        </w:rPr>
        <w:t xml:space="preserve">Arturo David Navarrete Flores</w:t>
      </w:r>
    </w:p>
    <w:p>
      <w:pPr>
        <w:spacing w:after="0" w:before="120" w:line="276" w:lineRule="auto"/>
        <w:jc w:val="center"/>
      </w:pPr>
      <w:r>
        <w:rPr>
          <w:rFonts w:ascii="Arial" w:cs="Arial" w:eastAsia="Arial" w:hAnsi="Arial"/>
          <w:b/>
          <w:bCs/>
          <w:color w:val="1F4E79"/>
          <w:sz w:val="32"/>
          <w:szCs w:val="32"/>
        </w:rPr>
        <w:t xml:space="preserve">Matrícula: </w:t>
      </w:r>
      <w:r>
        <w:rPr>
          <w:rFonts w:ascii="Arial" w:cs="Arial" w:eastAsia="Arial" w:hAnsi="Arial"/>
          <w:b/>
          <w:bCs/>
          <w:color w:val="1F4E79"/>
          <w:sz w:val="32"/>
          <w:szCs w:val="32"/>
        </w:rPr>
        <w:t xml:space="preserve">26014842</w:t>
      </w:r>
    </w:p>
    <w:p>
      <w:pPr>
        <w:spacing w:after="0" w:before="120" w:line="276" w:lineRule="auto"/>
        <w:jc w:val="center"/>
      </w:pPr>
      <w:r>
        <w:rPr>
          <w:rFonts w:ascii="Arial" w:cs="Arial" w:eastAsia="Arial" w:hAnsi="Arial"/>
          <w:b/>
          <w:bCs/>
          <w:color w:val="1F4E79"/>
          <w:sz w:val="32"/>
          <w:szCs w:val="32"/>
        </w:rPr>
        <w:t xml:space="preserve">Nombre de la asesora: </w:t>
      </w:r>
      <w:r>
        <w:rPr>
          <w:rFonts w:ascii="Arial" w:cs="Arial" w:eastAsia="Arial" w:hAnsi="Arial"/>
          <w:b/>
          <w:bCs/>
          <w:color w:val="1F4E79"/>
          <w:sz w:val="32"/>
          <w:szCs w:val="32"/>
        </w:rPr>
        <w:t xml:space="preserve">Laura Antonia Aldana Ortiz</w:t>
      </w:r>
    </w:p>
    <w:p>
      <w:pPr>
        <w:spacing w:after="0" w:before="120" w:line="276" w:lineRule="auto"/>
        <w:jc w:val="center"/>
      </w:pPr>
      <w:r>
        <w:rPr>
          <w:rFonts w:ascii="Arial" w:cs="Arial" w:eastAsia="Arial" w:hAnsi="Arial"/>
          <w:b/>
          <w:bCs/>
          <w:color w:val="1F4E79"/>
          <w:sz w:val="32"/>
          <w:szCs w:val="32"/>
        </w:rPr>
        <w:t xml:space="preserve">Fecha de elaboración: </w:t>
      </w:r>
      <w:r>
        <w:rPr>
          <w:rFonts w:ascii="Arial" w:cs="Arial" w:eastAsia="Arial" w:hAnsi="Arial"/>
          <w:b/>
          <w:bCs/>
          <w:color w:val="1F4E79"/>
          <w:sz w:val="32"/>
          <w:szCs w:val="32"/>
        </w:rPr>
        <w:t xml:space="preserve">11 de octubre de 2026</w:t>
      </w:r>
    </w:p>
    <w:p>
      <w:pPr>
        <w:spacing w:after="0" w:before="120" w:line="276" w:lineRule="auto"/>
        <w:jc w:val="center"/>
      </w:pPr>
      <w:r>
        <w:rPr>
          <w:rFonts w:ascii="Arial" w:cs="Arial" w:eastAsia="Arial" w:hAnsi="Arial"/>
          <w:b/>
          <w:bCs/>
          <w:color w:val="1F4E79"/>
          <w:sz w:val="32"/>
          <w:szCs w:val="32"/>
        </w:rPr>
        <w:t xml:space="preserve">Declaratoria de originalidad: </w:t>
      </w:r>
      <w:r>
        <w:rPr>
          <w:rFonts w:ascii="Arial" w:cs="Arial" w:eastAsia="Arial" w:hAnsi="Arial"/>
          <w:b/>
          <w:bCs/>
          <w:color w:val="1F4E79"/>
          <w:sz w:val="32"/>
          <w:szCs w:val="32"/>
        </w:rPr>
        <w:t xml:space="preserve">se anexa en la página siguiente</w:t>
      </w:r>
    </w:p>
    <w:p>
      <w:pPr>
        <w:pageBreakBefore/>
        <w:spacing w:line="240" w:lineRule="auto"/>
        <w:jc w:val="center"/>
      </w:pPr>
      <w:r>
        <w:drawing>
          <wp:inline distT="0" distB="0" distL="0" distR="0">
            <wp:extent cx="5619750" cy="6981825"/>
            <wp:effectExtent t="0" r="0" b="0" l="0"/>
            <wp:docPr id="1" name="declaratoria" descr="Declaración del estudiante firmada (declaratoria de originalidad)" title="Declarato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6981825"/>
                    </a:xfrm>
                    <a:prstGeom prst="rect">
                      <a:avLst/>
                    </a:prstGeom>
                  </pic:spPr>
                </pic:pic>
              </a:graphicData>
            </a:graphic>
          </wp:inline>
        </w:drawing>
      </w:r>
    </w:p>
    <w:p>
      <w:pPr>
        <w:pStyle w:val="Heading1"/>
        <w:keepNext/>
        <w:pageBreakBefore/>
        <w:spacing w:after="0" w:before="0" w:line="360" w:lineRule="auto"/>
        <w:jc w:val="center"/>
      </w:pPr>
      <w:r>
        <w:rPr>
          <w:rFonts w:ascii="Arial" w:cs="Arial" w:eastAsia="Arial" w:hAnsi="Arial"/>
          <w:b/>
          <w:bCs/>
          <w:color w:val="000000"/>
          <w:sz w:val="24"/>
          <w:szCs w:val="24"/>
        </w:rPr>
        <w:t xml:space="preserve">Plan integral de gestión de riesgos informáticos relacionados con la violación de derechos de propiedad intelectual en el CIESS</w:t>
      </w:r>
    </w:p>
    <w:p>
      <w:pPr>
        <w:pStyle w:val="Heading1"/>
        <w:keepNext/>
        <w:spacing w:after="0" w:before="0" w:line="360" w:lineRule="auto"/>
        <w:jc w:val="center"/>
      </w:pPr>
      <w:r>
        <w:rPr>
          <w:rFonts w:ascii="Arial" w:cs="Arial" w:eastAsia="Arial" w:hAnsi="Arial"/>
          <w:b/>
          <w:bCs/>
          <w:color w:val="000000"/>
          <w:sz w:val="24"/>
          <w:szCs w:val="24"/>
        </w:rPr>
        <w:t xml:space="preserve">Introducción</w:t>
      </w:r>
    </w:p>
    <w:p>
      <w:pPr>
        <w:spacing w:after="0" w:before="0" w:line="360" w:lineRule="auto"/>
        <w:ind w:firstLine="720"/>
        <w:jc w:val="both"/>
      </w:pPr>
      <w:r>
        <w:rPr>
          <w:rFonts w:ascii="Arial" w:cs="Arial" w:eastAsia="Arial" w:hAnsi="Arial"/>
          <w:sz w:val="24"/>
          <w:szCs w:val="24"/>
        </w:rPr>
        <w:t xml:space="preserve">Trabajo desde 2014 en el Centro Interamericano de Estudios de Seguridad Social (CIESS), el órgano de docencia, capacitación e investigación de la Conferencia Interamericana de Seguridad Social (CISS) (CIESS, s.f.-b). Soy diseñador de experiencia e interfaz de usuario (UX/UI) y desarrollador: diseño interfaces, administro el sitio web institucional y sus micrositios, desarrollo herramientas para el campus virtual (constancias y actas de calificaciones), mantengo reportes en Google Sheets y desarrollé el sistema de registro del 1er Congreso de Estudios Interamericanos de Seguridad Social (CIESS, s.f.-a). También diseñé el logotipo actual y participé en el rediseño de identidad de 2020 a 2022.</w:t>
      </w:r>
    </w:p>
    <w:p>
      <w:pPr>
        <w:spacing w:after="0" w:before="0" w:line="360" w:lineRule="auto"/>
        <w:ind w:firstLine="720"/>
        <w:jc w:val="both"/>
      </w:pPr>
      <w:r>
        <w:rPr>
          <w:rFonts w:ascii="Arial" w:cs="Arial" w:eastAsia="Arial" w:hAnsi="Arial"/>
          <w:sz w:val="24"/>
          <w:szCs w:val="24"/>
        </w:rPr>
        <w:t xml:space="preserve">El sitio del CIESS presenta sus cursos y eventos (CIESS, s.f.-b) y la Red Interamericana de Universidades para la Seguridad Social (RIUSS) (CIESS, s.f.-c). Por ello, a diario manejo textos, imágenes, videos, código, marcas y bases de datos de participantes de varios países. Todo ese material es propiedad intelectual (PI) y, en el entorno digital, su protección o su vulneración pueden depender de una sola acción.</w:t>
      </w:r>
    </w:p>
    <w:p>
      <w:pPr>
        <w:spacing w:after="0" w:before="0" w:line="360" w:lineRule="auto"/>
        <w:ind w:firstLine="720"/>
        <w:jc w:val="both"/>
      </w:pPr>
      <w:r>
        <w:rPr>
          <w:rFonts w:ascii="Arial" w:cs="Arial" w:eastAsia="Arial" w:hAnsi="Arial"/>
          <w:sz w:val="24"/>
          <w:szCs w:val="24"/>
        </w:rPr>
        <w:t xml:space="preserve">Este plan atiende dos riesgos informáticos: el uso no autorizado de la PI del CIESS por parte de terceros y el uso no autorizado, por parte del CIESS, de la PI de terceros. Para elaborarlo utilicé la Lección 10 (Universidad Virtual del Estado de Guanajuato [UVEG], s.f.) y las dos lecturas obligatorias: el capítulo 1 de Uceda Carrillo (2025), sobre cómo proteger los activos intangibles, y el artículo de Bernal Guzmán (2025), sobre bases de datos. Este documento no constituye asesoría jurídica, por lo que los puntos legales deben revisarse con el área jurídica antes de aplicarse.</w:t>
      </w:r>
    </w:p>
    <w:p>
      <w:pPr>
        <w:spacing w:after="0" w:before="0" w:line="360" w:lineRule="auto"/>
        <w:ind w:firstLine="720"/>
        <w:jc w:val="both"/>
      </w:pPr>
      <w:r>
        <w:rPr>
          <w:rFonts w:ascii="Arial" w:cs="Arial" w:eastAsia="Arial" w:hAnsi="Arial"/>
          <w:b/>
          <w:bCs/>
          <w:sz w:val="24"/>
          <w:szCs w:val="24"/>
        </w:rPr>
        <w:t xml:space="preserve">Solicitud a la Dirección del CIESS:</w:t>
      </w:r>
      <w:r>
        <w:rPr>
          <w:rFonts w:ascii="Arial" w:cs="Arial" w:eastAsia="Arial" w:hAnsi="Arial"/>
          <w:sz w:val="24"/>
          <w:szCs w:val="24"/>
        </w:rPr>
        <w:t xml:space="preserve"> designar a una persona responsable de la PI (puedo asumir esa función con apoyo jurídico), aprobar las políticas internas descritas en los apartados 6 y 7 y asignar aproximadamente 3 horas semanales durante 6 meses.</w:t>
      </w:r>
    </w:p>
    <w:p>
      <w:pPr>
        <w:pStyle w:val="Heading1"/>
        <w:keepNext/>
        <w:spacing w:after="0" w:before="0" w:line="360" w:lineRule="auto"/>
        <w:jc w:val="center"/>
      </w:pPr>
      <w:r>
        <w:rPr>
          <w:rFonts w:ascii="Arial" w:cs="Arial" w:eastAsia="Arial" w:hAnsi="Arial"/>
          <w:b/>
          <w:bCs/>
          <w:color w:val="000000"/>
          <w:sz w:val="24"/>
          <w:szCs w:val="24"/>
        </w:rPr>
        <w:t xml:space="preserve">Desarrollo</w:t>
      </w:r>
    </w:p>
    <w:p>
      <w:pPr>
        <w:pStyle w:val="Heading2"/>
        <w:keepNext/>
        <w:spacing w:after="0" w:before="160" w:line="360" w:lineRule="auto"/>
        <w:jc w:val="left"/>
      </w:pPr>
      <w:r>
        <w:rPr>
          <w:rFonts w:ascii="Arial" w:cs="Arial" w:eastAsia="Arial" w:hAnsi="Arial"/>
          <w:b/>
          <w:bCs/>
          <w:color w:val="000000"/>
          <w:sz w:val="24"/>
          <w:szCs w:val="24"/>
        </w:rPr>
        <w:t xml:space="preserve">1. Contexto y activos concretos</w:t>
      </w:r>
    </w:p>
    <w:p>
      <w:pPr>
        <w:spacing w:after="0" w:before="0" w:line="360" w:lineRule="auto"/>
        <w:ind w:firstLine="720"/>
        <w:jc w:val="both"/>
      </w:pPr>
      <w:r>
        <w:rPr>
          <w:rFonts w:ascii="Arial" w:cs="Arial" w:eastAsia="Arial" w:hAnsi="Arial"/>
          <w:sz w:val="24"/>
          <w:szCs w:val="24"/>
        </w:rPr>
        <w:t xml:space="preserve">Como punto de partida, identifiqué los activos de PI del CIESS relacionados con mis funciones:</w:t>
      </w:r>
    </w:p>
    <w:p>
      <w:pPr>
        <w:pStyle w:val="ListParagraph"/>
        <w:numPr>
          <w:ilvl w:val="0"/>
          <w:numId w:val="2"/>
        </w:numPr>
        <w:spacing w:after="0" w:before="0" w:line="360" w:lineRule="auto"/>
        <w:jc w:val="both"/>
      </w:pPr>
      <w:r>
        <w:rPr>
          <w:rFonts w:ascii="Arial" w:cs="Arial" w:eastAsia="Arial" w:hAnsi="Arial"/>
          <w:b/>
          <w:bCs/>
          <w:sz w:val="24"/>
          <w:szCs w:val="24"/>
        </w:rPr>
        <w:t xml:space="preserve">Marca e identidad:</w:t>
      </w:r>
      <w:r>
        <w:rPr>
          <w:rFonts w:ascii="Arial" w:cs="Arial" w:eastAsia="Arial" w:hAnsi="Arial"/>
          <w:sz w:val="24"/>
          <w:szCs w:val="24"/>
        </w:rPr>
        <w:t xml:space="preserve"> el nombre y el logotipo del CIESS, RIUSS y el nombre del congreso.</w:t>
      </w:r>
    </w:p>
    <w:p>
      <w:pPr>
        <w:pStyle w:val="ListParagraph"/>
        <w:numPr>
          <w:ilvl w:val="0"/>
          <w:numId w:val="2"/>
        </w:numPr>
        <w:spacing w:after="0" w:before="0" w:line="360" w:lineRule="auto"/>
        <w:jc w:val="both"/>
      </w:pPr>
      <w:r>
        <w:rPr>
          <w:rFonts w:ascii="Arial" w:cs="Arial" w:eastAsia="Arial" w:hAnsi="Arial"/>
          <w:b/>
          <w:bCs/>
          <w:sz w:val="24"/>
          <w:szCs w:val="24"/>
        </w:rPr>
        <w:t xml:space="preserve">Contenido académico y editorial:</w:t>
      </w:r>
      <w:r>
        <w:rPr>
          <w:rFonts w:ascii="Arial" w:cs="Arial" w:eastAsia="Arial" w:hAnsi="Arial"/>
          <w:sz w:val="24"/>
          <w:szCs w:val="24"/>
        </w:rPr>
        <w:t xml:space="preserve"> materiales de cursos, boletines, revistas, videos y pódcast.</w:t>
      </w:r>
    </w:p>
    <w:p>
      <w:pPr>
        <w:pStyle w:val="ListParagraph"/>
        <w:numPr>
          <w:ilvl w:val="0"/>
          <w:numId w:val="2"/>
        </w:numPr>
        <w:spacing w:after="0" w:before="0" w:line="360" w:lineRule="auto"/>
        <w:jc w:val="both"/>
      </w:pPr>
      <w:r>
        <w:rPr>
          <w:rFonts w:ascii="Arial" w:cs="Arial" w:eastAsia="Arial" w:hAnsi="Arial"/>
          <w:b/>
          <w:bCs/>
          <w:sz w:val="24"/>
          <w:szCs w:val="24"/>
        </w:rPr>
        <w:t xml:space="preserve">Software propio:</w:t>
      </w:r>
      <w:r>
        <w:rPr>
          <w:rFonts w:ascii="Arial" w:cs="Arial" w:eastAsia="Arial" w:hAnsi="Arial"/>
          <w:sz w:val="24"/>
          <w:szCs w:val="24"/>
        </w:rPr>
        <w:t xml:space="preserve"> el sistema de registro del congreso y las herramientas del campus (constancias y actas).</w:t>
      </w:r>
    </w:p>
    <w:p>
      <w:pPr>
        <w:pStyle w:val="ListParagraph"/>
        <w:numPr>
          <w:ilvl w:val="0"/>
          <w:numId w:val="2"/>
        </w:numPr>
        <w:spacing w:after="0" w:before="0" w:line="360" w:lineRule="auto"/>
        <w:jc w:val="both"/>
      </w:pPr>
      <w:r>
        <w:rPr>
          <w:rFonts w:ascii="Arial" w:cs="Arial" w:eastAsia="Arial" w:hAnsi="Arial"/>
          <w:b/>
          <w:bCs/>
          <w:sz w:val="24"/>
          <w:szCs w:val="24"/>
        </w:rPr>
        <w:t xml:space="preserve">Bases de datos:</w:t>
      </w:r>
      <w:r>
        <w:rPr>
          <w:rFonts w:ascii="Arial" w:cs="Arial" w:eastAsia="Arial" w:hAnsi="Arial"/>
          <w:sz w:val="24"/>
          <w:szCs w:val="24"/>
        </w:rPr>
        <w:t xml:space="preserve"> participantes del congreso, calificaciones y reportes en Google Sheets.</w:t>
      </w:r>
    </w:p>
    <w:p>
      <w:pPr>
        <w:pStyle w:val="ListParagraph"/>
        <w:numPr>
          <w:ilvl w:val="0"/>
          <w:numId w:val="2"/>
        </w:numPr>
        <w:spacing w:after="0" w:before="0" w:line="360" w:lineRule="auto"/>
        <w:jc w:val="both"/>
      </w:pPr>
      <w:r>
        <w:rPr>
          <w:rFonts w:ascii="Arial" w:cs="Arial" w:eastAsia="Arial" w:hAnsi="Arial"/>
          <w:b/>
          <w:bCs/>
          <w:sz w:val="24"/>
          <w:szCs w:val="24"/>
        </w:rPr>
        <w:t xml:space="preserve">Interfaces:</w:t>
      </w:r>
      <w:r>
        <w:rPr>
          <w:rFonts w:ascii="Arial" w:cs="Arial" w:eastAsia="Arial" w:hAnsi="Arial"/>
          <w:sz w:val="24"/>
          <w:szCs w:val="24"/>
        </w:rPr>
        <w:t xml:space="preserve"> el sitio web, los micrositios y el campus virtual.</w:t>
      </w:r>
    </w:p>
    <w:p>
      <w:pPr>
        <w:pStyle w:val="ListParagraph"/>
        <w:numPr>
          <w:ilvl w:val="0"/>
          <w:numId w:val="2"/>
        </w:numPr>
        <w:spacing w:after="0" w:before="0" w:line="360" w:lineRule="auto"/>
        <w:jc w:val="both"/>
      </w:pPr>
      <w:r>
        <w:rPr>
          <w:rFonts w:ascii="Arial" w:cs="Arial" w:eastAsia="Arial" w:hAnsi="Arial"/>
          <w:b/>
          <w:bCs/>
          <w:sz w:val="24"/>
          <w:szCs w:val="24"/>
        </w:rPr>
        <w:t xml:space="preserve">Grabaciones:</w:t>
      </w:r>
      <w:r>
        <w:rPr>
          <w:rFonts w:ascii="Arial" w:cs="Arial" w:eastAsia="Arial" w:hAnsi="Arial"/>
          <w:sz w:val="24"/>
          <w:szCs w:val="24"/>
        </w:rPr>
        <w:t xml:space="preserve"> la voz e imagen de ponentes y docentes.</w:t>
      </w:r>
    </w:p>
    <w:p>
      <w:pPr>
        <w:spacing w:after="0" w:before="0" w:line="360" w:lineRule="auto"/>
        <w:ind w:firstLine="720"/>
        <w:jc w:val="both"/>
      </w:pPr>
      <w:r>
        <w:rPr>
          <w:rFonts w:ascii="Arial" w:cs="Arial" w:eastAsia="Arial" w:hAnsi="Arial"/>
          <w:sz w:val="24"/>
          <w:szCs w:val="24"/>
        </w:rPr>
        <w:t xml:space="preserve">Además, el CIESS usa material de terceros: imágenes, tipografías, música, complementos (</w:t>
      </w:r>
      <w:r>
        <w:rPr>
          <w:rFonts w:ascii="Arial" w:cs="Arial" w:eastAsia="Arial" w:hAnsi="Arial"/>
          <w:i/>
          <w:iCs/>
          <w:sz w:val="24"/>
          <w:szCs w:val="24"/>
        </w:rPr>
        <w:t xml:space="preserve">plugins</w:t>
      </w:r>
      <w:r>
        <w:rPr>
          <w:rFonts w:ascii="Arial" w:cs="Arial" w:eastAsia="Arial" w:hAnsi="Arial"/>
          <w:sz w:val="24"/>
          <w:szCs w:val="24"/>
        </w:rPr>
        <w:t xml:space="preserve">) y herramientas de inteligencia artificial (IA). Ese material es el origen del segundo riesgo del plan.</w:t>
      </w:r>
    </w:p>
    <w:p>
      <w:pPr>
        <w:pStyle w:val="Heading2"/>
        <w:keepNext/>
        <w:spacing w:after="0" w:before="160" w:line="360" w:lineRule="auto"/>
        <w:jc w:val="left"/>
      </w:pPr>
      <w:r>
        <w:rPr>
          <w:rFonts w:ascii="Arial" w:cs="Arial" w:eastAsia="Arial" w:hAnsi="Arial"/>
          <w:b/>
          <w:bCs/>
          <w:color w:val="000000"/>
          <w:sz w:val="24"/>
          <w:szCs w:val="24"/>
        </w:rPr>
        <w:t xml:space="preserve">2. Conceptos base</w:t>
      </w:r>
    </w:p>
    <w:p>
      <w:pPr>
        <w:spacing w:after="0" w:before="0" w:line="360" w:lineRule="auto"/>
        <w:ind w:firstLine="720"/>
        <w:jc w:val="both"/>
      </w:pPr>
      <w:r>
        <w:rPr>
          <w:rFonts w:ascii="Arial" w:cs="Arial" w:eastAsia="Arial" w:hAnsi="Arial"/>
          <w:sz w:val="24"/>
          <w:szCs w:val="24"/>
        </w:rPr>
        <w:t xml:space="preserve">La PI protege las creaciones de la mente (Organización Mundial de la Propiedad Intelectual [OMPI], 2020). Tiene dos ramas: los derechos de autor, que protegen obras literarias, artísticas, programas de computación y bases de datos, y la propiedad industrial, que protege las invenciones, los diseños industriales y los signos distintivos, como las marcas (Uceda Carrillo, 2025). En inglés, </w:t>
      </w:r>
      <w:r>
        <w:rPr>
          <w:rFonts w:ascii="Arial" w:cs="Arial" w:eastAsia="Arial" w:hAnsi="Arial"/>
          <w:i/>
          <w:iCs/>
          <w:sz w:val="24"/>
          <w:szCs w:val="24"/>
        </w:rPr>
        <w:t xml:space="preserve">intellectual property</w:t>
      </w:r>
      <w:r>
        <w:rPr>
          <w:rFonts w:ascii="Arial" w:cs="Arial" w:eastAsia="Arial" w:hAnsi="Arial"/>
          <w:sz w:val="24"/>
          <w:szCs w:val="24"/>
        </w:rPr>
        <w:t xml:space="preserve"> incluye las dos ramas, pero en español “propiedad intelectual” suele entenderse solo como derechos de autor, por lo que traducir el término de forma automática es un error frecuente (Uceda Carrillo, 2025). En este documento se emplea PI en sentido amplio.</w:t>
      </w:r>
    </w:p>
    <w:p>
      <w:pPr>
        <w:spacing w:after="0" w:before="0" w:line="360" w:lineRule="auto"/>
        <w:ind w:firstLine="720"/>
        <w:jc w:val="both"/>
      </w:pPr>
      <w:r>
        <w:rPr>
          <w:rFonts w:ascii="Arial" w:cs="Arial" w:eastAsia="Arial" w:hAnsi="Arial"/>
          <w:sz w:val="24"/>
          <w:szCs w:val="24"/>
        </w:rPr>
        <w:t xml:space="preserve">Los derechos de autor nacen cuando una obra original se fija en un medio tangible, como un archivo o un papel, y no necesitan registro (Uceda Carrillo, 2025). Se distinguen dos clases: los morales (paternidad e integridad), que son inalienables, imprescriptibles e inembargables, y los patrimoniales, que permiten explotar la obra y duran un tiempo limitado (UVEG, s.f.). Asimismo, las ideas no se protegen, solo su expresión (Uceda Carrillo, 2025).</w:t>
      </w:r>
    </w:p>
    <w:p>
      <w:pPr>
        <w:spacing w:after="0" w:before="0" w:line="360" w:lineRule="auto"/>
        <w:ind w:firstLine="720"/>
        <w:jc w:val="both"/>
      </w:pPr>
      <w:r>
        <w:rPr>
          <w:rFonts w:ascii="Arial" w:cs="Arial" w:eastAsia="Arial" w:hAnsi="Arial"/>
          <w:sz w:val="24"/>
          <w:szCs w:val="24"/>
        </w:rPr>
        <w:t xml:space="preserve">En la propiedad industrial el registro sí es indispensable: los derechos de una marca nacen con él (Uceda Carrillo, 2025). Esta rama tiene tres pilares: marcas y nombres comerciales, diseños industriales, y patentes y modelos de utilidad (Uceda Carrillo, 2025). Las marcas se registran, no se “patentan”, y no existe una “patente mundial”, porque el trámite internacional termina en patentes nacionales o regionales (Uceda Carrillo, 2025).</w:t>
      </w:r>
    </w:p>
    <w:p>
      <w:pPr>
        <w:spacing w:after="0" w:before="0" w:line="360" w:lineRule="auto"/>
        <w:ind w:firstLine="720"/>
        <w:jc w:val="both"/>
      </w:pPr>
      <w:r>
        <w:rPr>
          <w:rFonts w:ascii="Arial" w:cs="Arial" w:eastAsia="Arial" w:hAnsi="Arial"/>
          <w:sz w:val="24"/>
          <w:szCs w:val="24"/>
        </w:rPr>
        <w:t xml:space="preserve">En el ámbito digital, la Lección 10 aborda las medidas tecnológicas de protección (MTP) y la gestión de derechos digitales (DRM, por </w:t>
      </w:r>
      <w:r>
        <w:rPr>
          <w:rFonts w:ascii="Arial" w:cs="Arial" w:eastAsia="Arial" w:hAnsi="Arial"/>
          <w:i/>
          <w:iCs/>
          <w:sz w:val="24"/>
          <w:szCs w:val="24"/>
        </w:rPr>
        <w:t xml:space="preserve">Digital Rights Management</w:t>
      </w:r>
      <w:r>
        <w:rPr>
          <w:rFonts w:ascii="Arial" w:cs="Arial" w:eastAsia="Arial" w:hAnsi="Arial"/>
          <w:sz w:val="24"/>
          <w:szCs w:val="24"/>
        </w:rPr>
        <w:t xml:space="preserve">), que limitan quién accede a un contenido y si este puede copiarse, descargarse o imprimirse. También advierte que publicar un contenido en redes sociales no lo exime de la protección de los derechos de autor (UVEG, s.f.). Las licencias Creative Commons permiten compartir con condiciones: BY (atribución), NC (no comercial), ND (sin derivadas) y SA (compartir igual) (Creative Commons, s.f.).</w:t>
      </w:r>
    </w:p>
    <w:p>
      <w:pPr>
        <w:spacing w:after="0" w:before="0" w:line="360" w:lineRule="auto"/>
        <w:ind w:firstLine="720"/>
        <w:jc w:val="both"/>
      </w:pPr>
      <w:r>
        <w:rPr>
          <w:rFonts w:ascii="Arial" w:cs="Arial" w:eastAsia="Arial" w:hAnsi="Arial"/>
          <w:sz w:val="24"/>
          <w:szCs w:val="24"/>
        </w:rPr>
        <w:t xml:space="preserve">La protección es relevante porque los activos intangibles representan una parte muy importante del valor de las organizaciones: cerca del 90 % de los activos de las compañías del índice S&amp;P 500 son intangibles, como el software, los datos y las marcas (Uceda Carrillo, 2025). Ese mismo autor muestra, con casos como Fagor o Toys “R” Us, que una marca puede sobrevivir a la empresa que la creó, y recomienda proteger según el valor que generan los activos y los recursos disponibles.</w:t>
      </w:r>
    </w:p>
    <w:p>
      <w:pPr>
        <w:pStyle w:val="Heading2"/>
        <w:keepNext/>
        <w:spacing w:after="0" w:before="160" w:line="360" w:lineRule="auto"/>
        <w:jc w:val="left"/>
      </w:pPr>
      <w:r>
        <w:rPr>
          <w:rFonts w:ascii="Arial" w:cs="Arial" w:eastAsia="Arial" w:hAnsi="Arial"/>
          <w:b/>
          <w:bCs/>
          <w:color w:val="000000"/>
          <w:sz w:val="24"/>
          <w:szCs w:val="24"/>
        </w:rPr>
        <w:t xml:space="preserve">3. Consideraciones legales nacionales</w:t>
      </w:r>
    </w:p>
    <w:p>
      <w:pPr>
        <w:spacing w:after="0" w:before="0" w:line="360" w:lineRule="auto"/>
        <w:ind w:firstLine="720"/>
        <w:jc w:val="both"/>
      </w:pPr>
      <w:r>
        <w:rPr>
          <w:rFonts w:ascii="Arial" w:cs="Arial" w:eastAsia="Arial" w:hAnsi="Arial"/>
          <w:sz w:val="24"/>
          <w:szCs w:val="24"/>
        </w:rPr>
        <w:t xml:space="preserve">Como el CIESS pertenece a un organismo internacional con sede en México (CIESS, s.f.-b), el área jurídica debe confirmar si la ley mexicana se le aplica de forma directa; por prudencia, se toma como referencia mínima, criterio que también apliqué a los datos personales en el Reto 3. La Tabla 1 resume qué normas aplican y por qué.</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2100"/>
        <w:gridCol w:w="3500"/>
        <w:gridCol w:w="3238"/>
      </w:tblGrid>
      <w:tr>
        <w:trPr>
          <w:cantSplit/>
          <w:tblHeader/>
        </w:trPr>
        <w:tc>
          <w:tcPr>
            <w:tcW w:type="dxa" w:w="21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Norma o institución</w:t>
            </w:r>
          </w:p>
        </w:tc>
        <w:tc>
          <w:tcPr>
            <w:tcW w:type="dxa" w:w="35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Qué regula</w:t>
            </w:r>
          </w:p>
        </w:tc>
        <w:tc>
          <w:tcPr>
            <w:tcW w:type="dxa" w:w="3238"/>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Por qué aplica al CIESS</w:t>
            </w:r>
          </w:p>
        </w:tc>
      </w:tr>
      <w:tr>
        <w:trPr>
          <w:cantSplit/>
        </w:trPr>
        <w:tc>
          <w:tcPr>
            <w:tcW w:type="dxa" w:w="21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Ley Federal del Derecho de Autor (LFDA, 2026)</w:t>
            </w:r>
          </w:p>
        </w:tc>
        <w:tc>
          <w:tcPr>
            <w:tcW w:type="dxa" w:w="3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Protege las obras desde que se fijan en un soporte, sin trámite (art. 5). Los programas de computación son obras literarias (art. 102). Las bases de datos se protegen por la selección y disposición de su contenido, no por los datos en sí (art. 107). Fija los derechos morales y patrimoniales (arts. 18, 21 y 29) y permite citar con la fuente (art. 148)</w:t>
            </w:r>
          </w:p>
        </w:tc>
        <w:tc>
          <w:tcPr>
            <w:tcW w:type="dxa" w:w="32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La mayor parte de los productos del CIESS constituyen obras: textos, videos, código, interfaces, constancias y bases de datos</w:t>
            </w:r>
          </w:p>
        </w:tc>
      </w:tr>
      <w:tr>
        <w:trPr>
          <w:cantSplit/>
        </w:trPr>
        <w:tc>
          <w:tcPr>
            <w:tcW w:type="dxa" w:w="21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Ley Federal de Protección a la Propiedad Industrial (LFPPI, 2026)</w:t>
            </w:r>
          </w:p>
        </w:tc>
        <w:tc>
          <w:tcPr>
            <w:tcW w:type="dxa" w:w="3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Regula marcas, avisos y nombres comerciales, diseños industriales, patentes, modelos de utilidad, indicaciones geográficas y secreto industrial (arts. 5 y 163)</w:t>
            </w:r>
          </w:p>
        </w:tc>
        <w:tc>
          <w:tcPr>
            <w:tcW w:type="dxa" w:w="32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Cubre el nombre y logotipo del CIESS, las interfaces y la información confidencial, como el código no publicado</w:t>
            </w:r>
          </w:p>
        </w:tc>
      </w:tr>
      <w:tr>
        <w:trPr>
          <w:cantSplit/>
        </w:trPr>
        <w:tc>
          <w:tcPr>
            <w:tcW w:type="dxa" w:w="21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Ley Federal de Protección de Datos Personales en Posesión de los Particulares (LFPDPPP, 2025)</w:t>
            </w:r>
          </w:p>
        </w:tc>
        <w:tc>
          <w:tcPr>
            <w:tcW w:type="dxa" w:w="3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Datos personales, como nombre, voz o imagen</w:t>
            </w:r>
          </w:p>
        </w:tc>
        <w:tc>
          <w:tcPr>
            <w:tcW w:type="dxa" w:w="32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El CIESS graba a ponentes y almacena datos personales de participantes. La LFDA también exige autorización para usar un retrato (art. 87) o publicar información privada contenida en una base de datos (art. 109)</w:t>
            </w:r>
          </w:p>
        </w:tc>
      </w:tr>
      <w:tr>
        <w:trPr>
          <w:cantSplit/>
        </w:trPr>
        <w:tc>
          <w:tcPr>
            <w:tcW w:type="dxa" w:w="21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Instituto Nacional del Derecho de Autor (INDAUTOR, 2025)</w:t>
            </w:r>
          </w:p>
        </w:tc>
        <w:tc>
          <w:tcPr>
            <w:tcW w:type="dxa" w:w="3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Registra obras y contratos de derechos de autor</w:t>
            </w:r>
          </w:p>
        </w:tc>
        <w:tc>
          <w:tcPr>
            <w:tcW w:type="dxa" w:w="32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Ante esta institución se registrarían las obras clave y los contratos de cesión</w:t>
            </w:r>
          </w:p>
        </w:tc>
      </w:tr>
      <w:tr>
        <w:trPr>
          <w:cantSplit/>
        </w:trPr>
        <w:tc>
          <w:tcPr>
            <w:tcW w:type="dxa" w:w="21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Instituto Mexicano de la Propiedad Industrial (IMPI, 2025)</w:t>
            </w:r>
          </w:p>
        </w:tc>
        <w:tc>
          <w:tcPr>
            <w:tcW w:type="dxa" w:w="3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Marcas, patentes, diseños y otras figuras de propiedad industrial</w:t>
            </w:r>
          </w:p>
        </w:tc>
        <w:tc>
          <w:tcPr>
            <w:tcW w:type="dxa" w:w="32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Ante esta institución se buscarían y registrarían las marcas, y se vigilaría la Gaceta de la Propiedad Industrial</w:t>
            </w:r>
          </w:p>
        </w:tc>
      </w:tr>
    </w:tbl>
    <w:p>
      <w:pPr>
        <w:spacing w:after="80" w:before="80" w:line="240" w:lineRule="auto"/>
        <w:jc w:val="center"/>
      </w:pPr>
      <w:r>
        <w:rPr>
          <w:rFonts w:ascii="Arial" w:cs="Arial" w:eastAsia="Arial" w:hAnsi="Arial"/>
          <w:color w:val="7F7F7F"/>
          <w:sz w:val="16"/>
          <w:szCs w:val="16"/>
        </w:rPr>
        <w:t xml:space="preserve">Tabla 1. Normas mexicanas aplicables a la propiedad intelectual del CIESS.</w:t>
      </w:r>
    </w:p>
    <w:p>
      <w:pPr>
        <w:spacing w:after="240" w:before="60" w:line="240" w:lineRule="auto"/>
      </w:pPr>
      <w:r>
        <w:rPr>
          <w:rFonts w:ascii="Arial" w:cs="Arial" w:eastAsia="Arial" w:hAnsi="Arial"/>
          <w:i/>
          <w:iCs/>
          <w:sz w:val="18"/>
          <w:szCs w:val="18"/>
        </w:rPr>
        <w:t xml:space="preserve">Nota.</w:t>
      </w:r>
      <w:r>
        <w:rPr>
          <w:rFonts w:ascii="Arial" w:cs="Arial" w:eastAsia="Arial" w:hAnsi="Arial"/>
          <w:sz w:val="18"/>
          <w:szCs w:val="18"/>
        </w:rPr>
        <w:t xml:space="preserve"> Resumen propio de las normas citadas. Los artículos deben confirmarse en el texto vigente. Elaboración propia con base en LFDA (2026), LFPPI (2026), LFPDPPP (2025), INDAUTOR (2025) e IMPI (2025).</w:t>
      </w:r>
    </w:p>
    <w:p>
      <w:pPr>
        <w:spacing w:after="0" w:before="0" w:line="360" w:lineRule="auto"/>
        <w:ind w:firstLine="720"/>
        <w:jc w:val="both"/>
      </w:pPr>
      <w:r>
        <w:rPr>
          <w:rFonts w:ascii="Arial" w:cs="Arial" w:eastAsia="Arial" w:hAnsi="Arial"/>
          <w:sz w:val="24"/>
          <w:szCs w:val="24"/>
        </w:rPr>
        <w:t xml:space="preserve">Para mis funciones, un aspecto central es determinar la titularidad de una obra cuando la crea una persona empleada o externa (Tabla 2). Uceda Carrillo (2025) explica, con ejemplos de España, que la persona autora siempre es una persona física y que, si una empresa contrata a alguien para diseñar o programar, los derechos de explotación solo pasan a la empresa con una cesión expresa. En México, la LFDA contempla reglas específicas para varios casos (arts. 83, 84 y 103), aunque conviene precisarlas por escrito, porque un pacto puede modificarlas.</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2838"/>
      </w:tblGrid>
      <w:tr>
        <w:trPr>
          <w:cantSplit/>
          <w:tblHeader/>
        </w:trPr>
        <w:tc>
          <w:tcPr>
            <w:tcW w:type="dxa" w:w="23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Situación</w:t>
            </w:r>
          </w:p>
        </w:tc>
        <w:tc>
          <w:tcPr>
            <w:tcW w:type="dxa" w:w="37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Qué dice la LFDA</w:t>
            </w:r>
          </w:p>
        </w:tc>
        <w:tc>
          <w:tcPr>
            <w:tcW w:type="dxa" w:w="2838"/>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Qué haré en el CIESS</w:t>
            </w:r>
          </w:p>
        </w:tc>
      </w:tr>
      <w:tr>
        <w:trPr>
          <w:cantSplit/>
        </w:trPr>
        <w:tc>
          <w:tcPr>
            <w:tcW w:type="dxa" w:w="2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Obra encargada a una persona o empresa externa, o hecha con colaboración remunerada (art. 83)</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Salvo pacto en contrario, los derechos patrimoniales son de quien encarga la obra. La persona autora debe ser mencionada.</w:t>
            </w:r>
          </w:p>
        </w:tc>
        <w:tc>
          <w:tcPr>
            <w:tcW w:type="dxa" w:w="28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Contrato por escrito, con pago y plazo, que diga qué se cede, para qué usos y cómo se menciona a la persona autora. Sin escrito la cesión es nula y, sin plazo, se entiende por cinco años (arts. 30 y 33)</w:t>
            </w:r>
          </w:p>
        </w:tc>
      </w:tr>
      <w:tr>
        <w:trPr>
          <w:cantSplit/>
        </w:trPr>
        <w:tc>
          <w:tcPr>
            <w:tcW w:type="dxa" w:w="2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Obra de una persona empleada, con contrato individual de trabajo por escrito (art. 84)</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Salvo pacto en contrario, los derechos patrimoniales se dividen por partes iguales entre quien emplea y quien es empleada. Quien emplea puede divulgar la obra sin autorización.</w:t>
            </w:r>
          </w:p>
        </w:tc>
        <w:tc>
          <w:tcPr>
            <w:tcW w:type="dxa" w:w="28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Pactar por escrito la cesión de los derechos patrimoniales al CIESS cuando la obra se hace como parte del trabajo</w:t>
            </w:r>
          </w:p>
        </w:tc>
      </w:tr>
      <w:tr>
        <w:trPr>
          <w:cantSplit/>
        </w:trPr>
        <w:tc>
          <w:tcPr>
            <w:tcW w:type="dxa" w:w="2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Obra de una persona empleada, sin contrato individual por escrito (art. 84)</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Los derechos patrimoniales corresponden a la persona empleada.</w:t>
            </w:r>
          </w:p>
        </w:tc>
        <w:tc>
          <w:tcPr>
            <w:tcW w:type="dxa" w:w="28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Formalizar el contrato. Es el caso de mayor riesgo</w:t>
            </w:r>
          </w:p>
        </w:tc>
      </w:tr>
      <w:tr>
        <w:trPr>
          <w:cantSplit/>
        </w:trPr>
        <w:tc>
          <w:tcPr>
            <w:tcW w:type="dxa" w:w="2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Programa de computación creado por una persona empleada en sus funciones (art. 103)</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Salvo pacto en contrario, los derechos patrimoniales corresponden a quien emplea.</w:t>
            </w:r>
          </w:p>
        </w:tc>
        <w:tc>
          <w:tcPr>
            <w:tcW w:type="dxa" w:w="28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Dejar constancia del pacto y de qué sistemas entran en esta regla</w:t>
            </w:r>
          </w:p>
        </w:tc>
      </w:tr>
      <w:tr>
        <w:trPr>
          <w:cantSplit/>
        </w:trPr>
        <w:tc>
          <w:tcPr>
            <w:tcW w:type="dxa" w:w="2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Derechos morales de cualquier obra (arts. 18, 19 y 21)</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Pertenecen siempre a la persona autora (paternidad e integridad) y, por ser inalienables e irrenunciables, no se pueden ceder.</w:t>
            </w:r>
          </w:p>
        </w:tc>
        <w:tc>
          <w:tcPr>
            <w:tcW w:type="dxa" w:w="28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Mencionar a la persona autora y no alterar la obra sin su autorización</w:t>
            </w:r>
          </w:p>
        </w:tc>
      </w:tr>
    </w:tbl>
    <w:p>
      <w:pPr>
        <w:spacing w:after="80" w:before="80" w:line="240" w:lineRule="auto"/>
        <w:jc w:val="center"/>
      </w:pPr>
      <w:r>
        <w:rPr>
          <w:rFonts w:ascii="Arial" w:cs="Arial" w:eastAsia="Arial" w:hAnsi="Arial"/>
          <w:color w:val="7F7F7F"/>
          <w:sz w:val="16"/>
          <w:szCs w:val="16"/>
        </w:rPr>
        <w:t xml:space="preserve">Tabla 2. Titularidad de las obras según la LFDA.</w:t>
      </w:r>
    </w:p>
    <w:p>
      <w:pPr>
        <w:spacing w:after="240" w:before="60" w:line="240" w:lineRule="auto"/>
      </w:pPr>
      <w:r>
        <w:rPr>
          <w:rFonts w:ascii="Arial" w:cs="Arial" w:eastAsia="Arial" w:hAnsi="Arial"/>
          <w:i/>
          <w:iCs/>
          <w:sz w:val="18"/>
          <w:szCs w:val="18"/>
        </w:rPr>
        <w:t xml:space="preserve">Nota.</w:t>
      </w:r>
      <w:r>
        <w:rPr>
          <w:rFonts w:ascii="Arial" w:cs="Arial" w:eastAsia="Arial" w:hAnsi="Arial"/>
          <w:sz w:val="18"/>
          <w:szCs w:val="18"/>
        </w:rPr>
        <w:t xml:space="preserve"> Resumen propio de los artículos citados de la LFDA (2026). Debe confirmarse con el texto vigente y con el área jurídica, porque el régimen laboral del personal del CIESS puede tener reglas propias.</w:t>
      </w:r>
    </w:p>
    <w:p>
      <w:pPr>
        <w:spacing w:after="0" w:before="0" w:line="360" w:lineRule="auto"/>
        <w:ind w:firstLine="720"/>
        <w:jc w:val="both"/>
      </w:pPr>
      <w:r>
        <w:rPr>
          <w:rFonts w:ascii="Arial" w:cs="Arial" w:eastAsia="Arial" w:hAnsi="Arial"/>
          <w:sz w:val="24"/>
          <w:szCs w:val="24"/>
        </w:rPr>
        <w:t xml:space="preserve">Incumplir estas normas puede traer sanciones administrativas, civiles e incluso penales (LFDA, 2026; LFPPI, 2026). El detalle de las sanciones corresponde al área jurídica. Además, en el caso de la IA generativa, INDAUTOR no registra las obras creadas exclusivamente con IA (Jalife, 2025).</w:t>
      </w:r>
    </w:p>
    <w:p>
      <w:pPr>
        <w:pStyle w:val="Heading2"/>
        <w:keepNext/>
        <w:spacing w:after="0" w:before="160" w:line="360" w:lineRule="auto"/>
        <w:jc w:val="left"/>
      </w:pPr>
      <w:r>
        <w:rPr>
          <w:rFonts w:ascii="Arial" w:cs="Arial" w:eastAsia="Arial" w:hAnsi="Arial"/>
          <w:b/>
          <w:bCs/>
          <w:color w:val="000000"/>
          <w:sz w:val="24"/>
          <w:szCs w:val="24"/>
        </w:rPr>
        <w:t xml:space="preserve">4. Consideraciones legales internacionales</w:t>
      </w:r>
    </w:p>
    <w:p>
      <w:pPr>
        <w:spacing w:after="0" w:before="0" w:line="360" w:lineRule="auto"/>
        <w:ind w:firstLine="720"/>
        <w:jc w:val="both"/>
      </w:pPr>
      <w:r>
        <w:rPr>
          <w:rFonts w:ascii="Arial" w:cs="Arial" w:eastAsia="Arial" w:hAnsi="Arial"/>
          <w:sz w:val="24"/>
          <w:szCs w:val="24"/>
        </w:rPr>
        <w:t xml:space="preserve">Las organizaciones mundiales más importantes para este tema son dos. La OMPI administra tratados de PI como el Convenio de Berna y el Tratado de la OMPI sobre Derecho de Autor, conocido por sus siglas en inglés como WCT (OMPI, 1979, 1996), y la Organización Mundial del Comercio (OMC, 1994) administra el Acuerdo sobre los Aspectos de los Derechos de Propiedad Intelectual relacionados con el Comercio (ADPIC). La Tabla 3 reúne los instrumentos más relevantes y las razones por las que resultan aplicables al CIESS.</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238"/>
      </w:tblGrid>
      <w:tr>
        <w:trPr>
          <w:cantSplit/>
          <w:tblHeader/>
        </w:trPr>
        <w:tc>
          <w:tcPr>
            <w:tcW w:type="dxa" w:w="19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Instrumento</w:t>
            </w:r>
          </w:p>
        </w:tc>
        <w:tc>
          <w:tcPr>
            <w:tcW w:type="dxa" w:w="37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Qué aporta</w:t>
            </w:r>
          </w:p>
        </w:tc>
        <w:tc>
          <w:tcPr>
            <w:tcW w:type="dxa" w:w="3238"/>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Por qué aplica al CIESS</w:t>
            </w:r>
          </w:p>
        </w:tc>
      </w:tr>
      <w:tr>
        <w:trPr>
          <w:cantSplit/>
        </w:trPr>
        <w:tc>
          <w:tcPr>
            <w:tcW w:type="dxa" w:w="1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Convenio de Berna (1886; Acta de París de 1971)</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Trato nacional, protección automática sin registro e independencia de la protección (Centro Español de Derechos Reprográficos [CEDRO], 2024). Como regla general, exige un plazo mínimo de 50 años tras la muerte de la persona autora, mientras que México otorga 100 años (OMPI, 1979; LFDA, 2026, art. 29). Protege las bases de datos como compilaciones por su selección o disposición (art. 2.5; Bernal Guzmán, 2025).</w:t>
            </w:r>
          </w:p>
        </w:tc>
        <w:tc>
          <w:tcPr>
            <w:tcW w:type="dxa" w:w="32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Lo que publica el CIESS queda protegido sin trámite en los países miembros, entre ellos los de la región</w:t>
            </w:r>
          </w:p>
        </w:tc>
      </w:tr>
      <w:tr>
        <w:trPr>
          <w:cantSplit/>
        </w:trPr>
        <w:tc>
          <w:tcPr>
            <w:tcW w:type="dxa" w:w="1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Convenio de París (1883)</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Trato nacional y derecho de prioridad: tras la primera solicitud, se dispone de 6 meses para solicitar el registro de una marca o de un diseño industrial en otro país miembro, y de 12 para solicitar una patente (OMPI, s.f.).</w:t>
            </w:r>
          </w:p>
        </w:tc>
        <w:tc>
          <w:tcPr>
            <w:tcW w:type="dxa" w:w="32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Si el CIESS registra su marca en México y desea protegerla en otro país, conserva la fecha de la primera solicitud</w:t>
            </w:r>
          </w:p>
        </w:tc>
      </w:tr>
      <w:tr>
        <w:trPr>
          <w:cantSplit/>
        </w:trPr>
        <w:tc>
          <w:tcPr>
            <w:tcW w:type="dxa" w:w="1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Acuerdo sobre los ADPIC (OMC, 1994)</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Exige cumplir las disposiciones sustantivas del Convenio de Berna, salvo las relativas a los derechos morales. Protege los programas de computación como obras literarias (art. 10.1), las compilaciones de datos (art. 10.2) y la información no divulgada (art. 39). Obliga a los miembros a prever procedimientos para hacer valer los derechos (OMC, 1994; Bernal Guzmán, 2025).</w:t>
            </w:r>
          </w:p>
        </w:tc>
        <w:tc>
          <w:tcPr>
            <w:tcW w:type="dxa" w:w="32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Establece un nivel mínimo común de protección para los países miembros de la OMC, aplicable al código, las bases de datos y los secretos industriales</w:t>
            </w:r>
          </w:p>
        </w:tc>
      </w:tr>
      <w:tr>
        <w:trPr>
          <w:cantSplit/>
        </w:trPr>
        <w:tc>
          <w:tcPr>
            <w:tcW w:type="dxa" w:w="1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Tratado de la OMPI sobre Derecho de Autor (WCT, 1996)</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Extiende el Convenio de Berna al entorno digital: protege los programas de computación (art. 4) y las compilaciones de datos o bases de datos (art. 5), y obliga a proteger las medidas tecnológicas contra su evasión (art. 11) (Bernal Guzmán, 2025; OMPI, 1996)</w:t>
            </w:r>
          </w:p>
        </w:tc>
        <w:tc>
          <w:tcPr>
            <w:tcW w:type="dxa" w:w="32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Respalda la implementación del acceso por cuenta y de otras medidas técnicas de protección en el campus virtual y el sitio web</w:t>
            </w:r>
          </w:p>
        </w:tc>
      </w:tr>
      <w:tr>
        <w:trPr>
          <w:cantSplit/>
        </w:trPr>
        <w:tc>
          <w:tcPr>
            <w:tcW w:type="dxa" w:w="1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Sistema de Madrid (OMPI)</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Una sola solicitud internacional de marca, basada en una marca ya solicitada o registrada en el país de origen, para elegir los países donde se quiere protección (más de 130). Vigencia de 10 años renovable (OMPI, 2025b)</w:t>
            </w:r>
          </w:p>
        </w:tc>
        <w:tc>
          <w:tcPr>
            <w:tcW w:type="dxa" w:w="32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Sería la vía más práctica si el CIESS requiriera proteger su marca en otros países, una vez registrada en México</w:t>
            </w:r>
          </w:p>
        </w:tc>
      </w:tr>
      <w:tr>
        <w:trPr>
          <w:cantSplit/>
        </w:trPr>
        <w:tc>
          <w:tcPr>
            <w:tcW w:type="dxa" w:w="1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Reglamento General de Protección de Datos de la Unión Europea (RGPD, 2016)</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Protege los datos personales de personas que están en la Unión Europea, incluso frente a organizaciones establecidas fuera de ella que les ofrecen servicios o vigilan su comportamiento (art. 3).</w:t>
            </w:r>
          </w:p>
        </w:tc>
        <w:tc>
          <w:tcPr>
            <w:tcW w:type="dxa" w:w="32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Puede ser aplicable porque la voz, la imagen y los datos de inscripción de los participantes son datos personales, pero solo si el CIESS ofrece cursos o eventos a personas que están en la Unión Europea (no basta con que el sitio sea accesible desde ese territorio).</w:t>
            </w:r>
          </w:p>
        </w:tc>
      </w:tr>
      <w:tr>
        <w:trPr>
          <w:cantSplit/>
        </w:trPr>
        <w:tc>
          <w:tcPr>
            <w:tcW w:type="dxa" w:w="1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Directiva 96/9/CE (Unión Europea)</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Da a las bases de datos con una inversión sustancial un derecho propio (</w:t>
            </w:r>
            <w:r>
              <w:rPr>
                <w:rFonts w:ascii="Arial" w:cs="Arial" w:eastAsia="Arial" w:hAnsi="Arial"/>
                <w:i/>
                <w:iCs/>
                <w:sz w:val="18"/>
                <w:szCs w:val="18"/>
              </w:rPr>
              <w:t xml:space="preserve">sui generis</w:t>
            </w:r>
            <w:r>
              <w:rPr>
                <w:rFonts w:ascii="Arial" w:cs="Arial" w:eastAsia="Arial" w:hAnsi="Arial"/>
                <w:sz w:val="18"/>
                <w:szCs w:val="18"/>
              </w:rPr>
              <w:t xml:space="preserve">) de 15 años (Bernal Guzmán, 2025)</w:t>
            </w:r>
          </w:p>
        </w:tc>
        <w:tc>
          <w:tcPr>
            <w:tcW w:type="dxa" w:w="32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Es una referencia útil: en México las bases de datos no originales solo tienen 5 años de uso exclusivo (LFDA, 2026, art. 108), frente a los 15 de la Directiva</w:t>
            </w:r>
          </w:p>
        </w:tc>
      </w:tr>
    </w:tbl>
    <w:p>
      <w:pPr>
        <w:spacing w:after="80" w:before="80" w:line="240" w:lineRule="auto"/>
        <w:jc w:val="center"/>
      </w:pPr>
      <w:r>
        <w:rPr>
          <w:rFonts w:ascii="Arial" w:cs="Arial" w:eastAsia="Arial" w:hAnsi="Arial"/>
          <w:color w:val="7F7F7F"/>
          <w:sz w:val="16"/>
          <w:szCs w:val="16"/>
        </w:rPr>
        <w:t xml:space="preserve">Tabla 3. Instrumentos internacionales y su relación con el CIESS.</w:t>
      </w:r>
    </w:p>
    <w:p>
      <w:pPr>
        <w:spacing w:after="240" w:before="60" w:line="240" w:lineRule="auto"/>
      </w:pPr>
      <w:r>
        <w:rPr>
          <w:rFonts w:ascii="Arial" w:cs="Arial" w:eastAsia="Arial" w:hAnsi="Arial"/>
          <w:i/>
          <w:iCs/>
          <w:sz w:val="18"/>
          <w:szCs w:val="18"/>
        </w:rPr>
        <w:t xml:space="preserve">Nota.</w:t>
      </w:r>
      <w:r>
        <w:rPr>
          <w:rFonts w:ascii="Arial" w:cs="Arial" w:eastAsia="Arial" w:hAnsi="Arial"/>
          <w:sz w:val="18"/>
          <w:szCs w:val="18"/>
        </w:rPr>
        <w:t xml:space="preserve"> Elaboración propia con base en CEDRO (2024), OMPI (1979, 1996, 2025b), OMC (1994), RGPD (2016) y Bernal Guzmán (2025).</w:t>
      </w:r>
    </w:p>
    <w:p>
      <w:pPr>
        <w:spacing w:after="0" w:before="0" w:line="360" w:lineRule="auto"/>
        <w:ind w:firstLine="720"/>
        <w:jc w:val="both"/>
      </w:pPr>
      <w:r>
        <w:rPr>
          <w:rFonts w:ascii="Arial" w:cs="Arial" w:eastAsia="Arial" w:hAnsi="Arial"/>
          <w:sz w:val="24"/>
          <w:szCs w:val="24"/>
        </w:rPr>
        <w:t xml:space="preserve">Para identificar qué países forman parte de estas organizaciones mundiales, revisé algunos países de la región y España (Tabla 4). Todos son parte del Convenio de Berna y del Sistema de Madrid, ambos administrados por la OMPI, y miembros de la OMC, que administra el ADPIC. El Convenio de Berna cuenta con más de 180 países miembros (Uceda Carrillo, 2025), y el Sistema de Madrid abarca más de 130 (OMPI, 2025b).</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2400"/>
        <w:gridCol w:w="2146"/>
        <w:gridCol w:w="2146"/>
        <w:gridCol w:w="2146"/>
      </w:tblGrid>
      <w:tr>
        <w:trPr>
          <w:cantSplit/>
          <w:tblHeader/>
        </w:trPr>
        <w:tc>
          <w:tcPr>
            <w:tcW w:type="dxa" w:w="24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País</w:t>
            </w:r>
          </w:p>
        </w:tc>
        <w:tc>
          <w:tcPr>
            <w:tcW w:type="dxa" w:w="2146"/>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Convenio de Berna</w:t>
            </w:r>
          </w:p>
        </w:tc>
        <w:tc>
          <w:tcPr>
            <w:tcW w:type="dxa" w:w="2146"/>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ADPIC (OMC)</w:t>
            </w:r>
          </w:p>
        </w:tc>
        <w:tc>
          <w:tcPr>
            <w:tcW w:type="dxa" w:w="2146"/>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Sistema de Madrid (marcas)</w:t>
            </w:r>
          </w:p>
        </w:tc>
      </w:tr>
      <w:tr>
        <w:trPr>
          <w:cantSplit/>
        </w:trPr>
        <w:tc>
          <w:tcPr>
            <w:tcW w:type="dxa" w:w="24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México (sede del CIESS)</w:t>
            </w:r>
          </w:p>
        </w:tc>
        <w:tc>
          <w:tcPr>
            <w:tcW w:type="dxa" w:w="21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Sí</w:t>
            </w:r>
          </w:p>
        </w:tc>
        <w:tc>
          <w:tcPr>
            <w:tcW w:type="dxa" w:w="21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Sí</w:t>
            </w:r>
          </w:p>
        </w:tc>
        <w:tc>
          <w:tcPr>
            <w:tcW w:type="dxa" w:w="21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Sí</w:t>
            </w:r>
          </w:p>
        </w:tc>
      </w:tr>
      <w:tr>
        <w:trPr>
          <w:cantSplit/>
        </w:trPr>
        <w:tc>
          <w:tcPr>
            <w:tcW w:type="dxa" w:w="24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Estados Unidos</w:t>
            </w:r>
          </w:p>
        </w:tc>
        <w:tc>
          <w:tcPr>
            <w:tcW w:type="dxa" w:w="21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Sí</w:t>
            </w:r>
          </w:p>
        </w:tc>
        <w:tc>
          <w:tcPr>
            <w:tcW w:type="dxa" w:w="21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Sí</w:t>
            </w:r>
          </w:p>
        </w:tc>
        <w:tc>
          <w:tcPr>
            <w:tcW w:type="dxa" w:w="21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Sí</w:t>
            </w:r>
          </w:p>
        </w:tc>
      </w:tr>
      <w:tr>
        <w:trPr>
          <w:cantSplit/>
        </w:trPr>
        <w:tc>
          <w:tcPr>
            <w:tcW w:type="dxa" w:w="24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Brasil</w:t>
            </w:r>
          </w:p>
        </w:tc>
        <w:tc>
          <w:tcPr>
            <w:tcW w:type="dxa" w:w="21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Sí</w:t>
            </w:r>
          </w:p>
        </w:tc>
        <w:tc>
          <w:tcPr>
            <w:tcW w:type="dxa" w:w="21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Sí</w:t>
            </w:r>
          </w:p>
        </w:tc>
        <w:tc>
          <w:tcPr>
            <w:tcW w:type="dxa" w:w="21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Sí</w:t>
            </w:r>
          </w:p>
        </w:tc>
      </w:tr>
      <w:tr>
        <w:trPr>
          <w:cantSplit/>
        </w:trPr>
        <w:tc>
          <w:tcPr>
            <w:tcW w:type="dxa" w:w="24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Colombia</w:t>
            </w:r>
          </w:p>
        </w:tc>
        <w:tc>
          <w:tcPr>
            <w:tcW w:type="dxa" w:w="21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Sí</w:t>
            </w:r>
          </w:p>
        </w:tc>
        <w:tc>
          <w:tcPr>
            <w:tcW w:type="dxa" w:w="21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Sí</w:t>
            </w:r>
          </w:p>
        </w:tc>
        <w:tc>
          <w:tcPr>
            <w:tcW w:type="dxa" w:w="21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Sí</w:t>
            </w:r>
          </w:p>
        </w:tc>
      </w:tr>
      <w:tr>
        <w:trPr>
          <w:cantSplit/>
        </w:trPr>
        <w:tc>
          <w:tcPr>
            <w:tcW w:type="dxa" w:w="24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Chile</w:t>
            </w:r>
          </w:p>
        </w:tc>
        <w:tc>
          <w:tcPr>
            <w:tcW w:type="dxa" w:w="21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Sí</w:t>
            </w:r>
          </w:p>
        </w:tc>
        <w:tc>
          <w:tcPr>
            <w:tcW w:type="dxa" w:w="21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Sí</w:t>
            </w:r>
          </w:p>
        </w:tc>
        <w:tc>
          <w:tcPr>
            <w:tcW w:type="dxa" w:w="21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Sí</w:t>
            </w:r>
          </w:p>
        </w:tc>
      </w:tr>
      <w:tr>
        <w:trPr>
          <w:cantSplit/>
        </w:trPr>
        <w:tc>
          <w:tcPr>
            <w:tcW w:type="dxa" w:w="24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España (ejemplo de Uceda Carrillo, 2025)</w:t>
            </w:r>
          </w:p>
        </w:tc>
        <w:tc>
          <w:tcPr>
            <w:tcW w:type="dxa" w:w="21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Sí</w:t>
            </w:r>
          </w:p>
        </w:tc>
        <w:tc>
          <w:tcPr>
            <w:tcW w:type="dxa" w:w="21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Sí</w:t>
            </w:r>
          </w:p>
        </w:tc>
        <w:tc>
          <w:tcPr>
            <w:tcW w:type="dxa" w:w="21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Sí</w:t>
            </w:r>
          </w:p>
        </w:tc>
      </w:tr>
    </w:tbl>
    <w:p>
      <w:pPr>
        <w:spacing w:after="80" w:before="80" w:line="240" w:lineRule="auto"/>
        <w:jc w:val="center"/>
      </w:pPr>
      <w:r>
        <w:rPr>
          <w:rFonts w:ascii="Arial" w:cs="Arial" w:eastAsia="Arial" w:hAnsi="Arial"/>
          <w:color w:val="7F7F7F"/>
          <w:sz w:val="16"/>
          <w:szCs w:val="16"/>
        </w:rPr>
        <w:t xml:space="preserve">Tabla 4. Pertenencia de países seleccionados a los principales instrumentos internacionales.</w:t>
      </w:r>
    </w:p>
    <w:p>
      <w:pPr>
        <w:spacing w:after="240" w:before="60" w:line="240" w:lineRule="auto"/>
      </w:pPr>
      <w:r>
        <w:rPr>
          <w:rFonts w:ascii="Arial" w:cs="Arial" w:eastAsia="Arial" w:hAnsi="Arial"/>
          <w:i/>
          <w:iCs/>
          <w:sz w:val="18"/>
          <w:szCs w:val="18"/>
        </w:rPr>
        <w:t xml:space="preserve">Nota.</w:t>
      </w:r>
      <w:r>
        <w:rPr>
          <w:rFonts w:ascii="Arial" w:cs="Arial" w:eastAsia="Arial" w:hAnsi="Arial"/>
          <w:sz w:val="18"/>
          <w:szCs w:val="18"/>
        </w:rPr>
        <w:t xml:space="preserve"> Elaboración propia con base en OMPI (1979, 2025b) y OMC (1994). La pertenencia de cada país debe confirmarse en los listados oficiales vigentes.</w:t>
      </w:r>
    </w:p>
    <w:p>
      <w:pPr>
        <w:spacing w:after="0" w:before="0" w:line="360" w:lineRule="auto"/>
        <w:ind w:firstLine="720"/>
        <w:jc w:val="both"/>
      </w:pPr>
      <w:r>
        <w:rPr>
          <w:rFonts w:ascii="Arial" w:cs="Arial" w:eastAsia="Arial" w:hAnsi="Arial"/>
          <w:sz w:val="24"/>
          <w:szCs w:val="24"/>
        </w:rPr>
        <w:t xml:space="preserve">De lo anterior se derivan dos conclusiones. En primer lugar, los derechos de autor operan a escala internacional sin trámite: la obra del CIESS queda protegida en los países parte del Convenio de Berna (CEDRO, 2024; Uceda Carrillo, 2025). En segundo lugar, la propiedad industrial es territorial: una marca registrada en España no confiere protección en Francia ni en México (Uceda Carrillo, 2025). Por ello, el logotipo está protegido como obra en muchos países, pero como marca solo en aquellos donde esté registrado.</w:t>
      </w:r>
    </w:p>
    <w:p>
      <w:pPr>
        <w:spacing w:after="0" w:before="0" w:line="360" w:lineRule="auto"/>
        <w:ind w:firstLine="720"/>
        <w:jc w:val="both"/>
      </w:pPr>
      <w:r>
        <w:rPr>
          <w:rFonts w:ascii="Arial" w:cs="Arial" w:eastAsia="Arial" w:hAnsi="Arial"/>
          <w:sz w:val="24"/>
          <w:szCs w:val="24"/>
        </w:rPr>
        <w:t xml:space="preserve">Además, cada país regula de forma distinta la titularidad de la obra creada por una persona empleada, y la Lección 10 califica como mito la creencia de que siempre corresponde a quien emplea (UVEG, s.f.). Por ello, </w:t>
      </w:r>
      <w:r>
        <w:rPr>
          <w:rFonts w:ascii="Arial" w:cs="Arial" w:eastAsia="Arial" w:hAnsi="Arial"/>
          <w:b/>
          <w:bCs/>
          <w:sz w:val="24"/>
          <w:szCs w:val="24"/>
        </w:rPr>
        <w:t xml:space="preserve">todo contrato con docentes, ponentes y proveedores debe especificar qué ley es aplicable y quién conserva qué derechos.</w:t>
      </w:r>
    </w:p>
    <w:p>
      <w:pPr>
        <w:pStyle w:val="Heading2"/>
        <w:keepNext/>
        <w:spacing w:after="0" w:before="160" w:line="360" w:lineRule="auto"/>
        <w:jc w:val="left"/>
      </w:pPr>
      <w:r>
        <w:rPr>
          <w:rFonts w:ascii="Arial" w:cs="Arial" w:eastAsia="Arial" w:hAnsi="Arial"/>
          <w:b/>
          <w:bCs/>
          <w:color w:val="000000"/>
          <w:sz w:val="24"/>
          <w:szCs w:val="24"/>
        </w:rPr>
        <w:t xml:space="preserve">5. Tipos de propiedad intelectual aplicables</w:t>
      </w:r>
    </w:p>
    <w:p>
      <w:pPr>
        <w:spacing w:after="0" w:before="0" w:line="360" w:lineRule="auto"/>
        <w:ind w:firstLine="720"/>
        <w:jc w:val="both"/>
      </w:pPr>
      <w:r>
        <w:rPr>
          <w:rFonts w:ascii="Arial" w:cs="Arial" w:eastAsia="Arial" w:hAnsi="Arial"/>
          <w:sz w:val="24"/>
          <w:szCs w:val="24"/>
        </w:rPr>
        <w:t xml:space="preserve">Se analizaron todos los tipos de PI para determinar si aplican al CIESS (Tabla 5). Un mismo material suele tener más de una protección. Uceda Carrillo (2025) lo ilustra con el juego Trivial Pursuit, que tiene marca, diseño industrial, base de datos y texto protegidos a la vez.</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1450"/>
        <w:gridCol w:w="2550"/>
        <w:gridCol w:w="3200"/>
        <w:gridCol w:w="1638"/>
      </w:tblGrid>
      <w:tr>
        <w:trPr>
          <w:cantSplit/>
          <w:tblHeader/>
        </w:trPr>
        <w:tc>
          <w:tcPr>
            <w:tcW w:type="dxa" w:w="145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Tipo de PI</w:t>
            </w:r>
          </w:p>
        </w:tc>
        <w:tc>
          <w:tcPr>
            <w:tcW w:type="dxa" w:w="255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Objeto de protección</w:t>
            </w:r>
          </w:p>
        </w:tc>
        <w:tc>
          <w:tcPr>
            <w:tcW w:type="dxa" w:w="32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Aplicabilidad al CIESS y justificación</w:t>
            </w:r>
          </w:p>
        </w:tc>
        <w:tc>
          <w:tcPr>
            <w:tcW w:type="dxa" w:w="1638"/>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Figuras con las que concurre</w:t>
            </w:r>
          </w:p>
        </w:tc>
      </w:tr>
      <w:tr>
        <w:trPr>
          <w:cantSplit/>
        </w:trPr>
        <w:tc>
          <w:tcPr>
            <w:tcW w:type="dxa" w:w="14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Derechos de autor</w:t>
            </w:r>
          </w:p>
        </w:tc>
        <w:tc>
          <w:tcPr>
            <w:tcW w:type="dxa" w:w="25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Obras originales fijadas, incluidos programas y bases de datos por su selección o disposición, sin proteger los datos en sí (LFDA, 2026, arts. 5, 102 y 107)</w:t>
            </w:r>
          </w:p>
        </w:tc>
        <w:tc>
          <w:tcPr>
            <w:tcW w:type="dxa" w:w="32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Sí.</w:t>
            </w:r>
            <w:r>
              <w:rPr>
                <w:rFonts w:ascii="Arial" w:cs="Arial" w:eastAsia="Arial" w:hAnsi="Arial"/>
                <w:sz w:val="18"/>
                <w:szCs w:val="18"/>
              </w:rPr>
              <w:t xml:space="preserve"> Textos, videos, pódcast, boletines, sitio, código del sistema de registro, constancias y el diseño del logotipo</w:t>
            </w:r>
          </w:p>
        </w:tc>
        <w:tc>
          <w:tcPr>
            <w:tcW w:type="dxa" w:w="1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Secreto industrial, diseño industrial y marca</w:t>
            </w:r>
          </w:p>
        </w:tc>
      </w:tr>
      <w:tr>
        <w:trPr>
          <w:cantSplit/>
        </w:trPr>
        <w:tc>
          <w:tcPr>
            <w:tcW w:type="dxa" w:w="14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Derechos conexos</w:t>
            </w:r>
          </w:p>
        </w:tc>
        <w:tc>
          <w:tcPr>
            <w:tcW w:type="dxa" w:w="25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Derechos de quienes interpretan o ejecutan una obra y de quienes producen fonogramas y videogramas (LFDA, 2026)</w:t>
            </w:r>
          </w:p>
        </w:tc>
        <w:tc>
          <w:tcPr>
            <w:tcW w:type="dxa" w:w="32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Sí.</w:t>
            </w:r>
            <w:r>
              <w:rPr>
                <w:rFonts w:ascii="Arial" w:cs="Arial" w:eastAsia="Arial" w:hAnsi="Arial"/>
                <w:sz w:val="18"/>
                <w:szCs w:val="18"/>
              </w:rPr>
              <w:t xml:space="preserve"> El CIESS produce las grabaciones de sus conferencias, cursos y pódcast. La voz y la imagen se protegen mediante autorización (LFDA, 2026, art. 87) y conforme a la legislación en materia de datos personales</w:t>
            </w:r>
          </w:p>
        </w:tc>
        <w:tc>
          <w:tcPr>
            <w:tcW w:type="dxa" w:w="1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Derechos de autor y datos personales</w:t>
            </w:r>
          </w:p>
        </w:tc>
      </w:tr>
      <w:tr>
        <w:trPr>
          <w:cantSplit/>
        </w:trPr>
        <w:tc>
          <w:tcPr>
            <w:tcW w:type="dxa" w:w="14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Marcas, avisos y nombres comerciales</w:t>
            </w:r>
          </w:p>
        </w:tc>
        <w:tc>
          <w:tcPr>
            <w:tcW w:type="dxa" w:w="25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Signos que distinguen productos y servicios (Uceda Carrillo, 2025). Las marcas y los avisos se registran ante el IMPI y duran 10 años renovables; el nombre comercial se protege por su uso (LFPPI, 2026)</w:t>
            </w:r>
          </w:p>
        </w:tc>
        <w:tc>
          <w:tcPr>
            <w:tcW w:type="dxa" w:w="32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Sí.</w:t>
            </w:r>
            <w:r>
              <w:rPr>
                <w:rFonts w:ascii="Arial" w:cs="Arial" w:eastAsia="Arial" w:hAnsi="Arial"/>
                <w:sz w:val="18"/>
                <w:szCs w:val="18"/>
              </w:rPr>
              <w:t xml:space="preserve"> CIESS, RIUSS, el nombre del congreso y los eslóganes</w:t>
            </w:r>
          </w:p>
        </w:tc>
        <w:tc>
          <w:tcPr>
            <w:tcW w:type="dxa" w:w="1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Derechos de autor y diseño industrial</w:t>
            </w:r>
          </w:p>
        </w:tc>
      </w:tr>
      <w:tr>
        <w:trPr>
          <w:cantSplit/>
        </w:trPr>
        <w:tc>
          <w:tcPr>
            <w:tcW w:type="dxa" w:w="14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Reservas de derechos al uso exclusivo</w:t>
            </w:r>
          </w:p>
        </w:tc>
        <w:tc>
          <w:tcPr>
            <w:tcW w:type="dxa" w:w="25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Uso exclusivo de títulos de publicaciones y difusiones periódicas, que otorga INDAUTOR (LFDA, 2026, art. 173)</w:t>
            </w:r>
          </w:p>
        </w:tc>
        <w:tc>
          <w:tcPr>
            <w:tcW w:type="dxa" w:w="32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Posible.</w:t>
            </w:r>
            <w:r>
              <w:rPr>
                <w:rFonts w:ascii="Arial" w:cs="Arial" w:eastAsia="Arial" w:hAnsi="Arial"/>
                <w:sz w:val="18"/>
                <w:szCs w:val="18"/>
              </w:rPr>
              <w:t xml:space="preserve"> Títulos de boletines, revistas y pódcast con periodicidad regular</w:t>
            </w:r>
          </w:p>
        </w:tc>
        <w:tc>
          <w:tcPr>
            <w:tcW w:type="dxa" w:w="1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Derechos de autor y marca</w:t>
            </w:r>
          </w:p>
        </w:tc>
      </w:tr>
      <w:tr>
        <w:trPr>
          <w:cantSplit/>
        </w:trPr>
        <w:tc>
          <w:tcPr>
            <w:tcW w:type="dxa" w:w="14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Diseños industriales</w:t>
            </w:r>
          </w:p>
        </w:tc>
        <w:tc>
          <w:tcPr>
            <w:tcW w:type="dxa" w:w="25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La apariencia de un producto; incluye logotipos e interfaces de usuario (OMPI, 2020)</w:t>
            </w:r>
          </w:p>
        </w:tc>
        <w:tc>
          <w:tcPr>
            <w:tcW w:type="dxa" w:w="32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Sí.</w:t>
            </w:r>
            <w:r>
              <w:rPr>
                <w:rFonts w:ascii="Arial" w:cs="Arial" w:eastAsia="Arial" w:hAnsi="Arial"/>
                <w:sz w:val="18"/>
                <w:szCs w:val="18"/>
              </w:rPr>
              <w:t xml:space="preserve"> Logotipo e interfaces del campus, del sitio y del sistema de registro</w:t>
            </w:r>
          </w:p>
        </w:tc>
        <w:tc>
          <w:tcPr>
            <w:tcW w:type="dxa" w:w="1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Derechos de autor y marca</w:t>
            </w:r>
          </w:p>
        </w:tc>
      </w:tr>
      <w:tr>
        <w:trPr>
          <w:cantSplit/>
        </w:trPr>
        <w:tc>
          <w:tcPr>
            <w:tcW w:type="dxa" w:w="14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Secretos industriales</w:t>
            </w:r>
          </w:p>
        </w:tc>
        <w:tc>
          <w:tcPr>
            <w:tcW w:type="dxa" w:w="25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Información confidencial con valor competitivo, conocida solo por pocas personas y protegida con medios suficientes para mantenerla en secreto (LFPPI, 2026, art. 163; OMPI, 2025a)</w:t>
            </w:r>
          </w:p>
        </w:tc>
        <w:tc>
          <w:tcPr>
            <w:tcW w:type="dxa" w:w="32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Sí.</w:t>
            </w:r>
            <w:r>
              <w:rPr>
                <w:rFonts w:ascii="Arial" w:cs="Arial" w:eastAsia="Arial" w:hAnsi="Arial"/>
                <w:sz w:val="18"/>
                <w:szCs w:val="18"/>
              </w:rPr>
              <w:t xml:space="preserve"> Código no publicado, bases de datos de participantes y modelo de datos del sistema</w:t>
            </w:r>
          </w:p>
        </w:tc>
        <w:tc>
          <w:tcPr>
            <w:tcW w:type="dxa" w:w="1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Derechos de autor</w:t>
            </w:r>
          </w:p>
        </w:tc>
      </w:tr>
      <w:tr>
        <w:trPr>
          <w:cantSplit/>
        </w:trPr>
        <w:tc>
          <w:tcPr>
            <w:tcW w:type="dxa" w:w="14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Patentes</w:t>
            </w:r>
          </w:p>
        </w:tc>
        <w:tc>
          <w:tcPr>
            <w:tcW w:type="dxa" w:w="25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Invenciones nuevas, con actividad inventiva y aplicación industrial; la patente dura 20 años contados desde la presentación de la solicitud (LFPPI, 2026)</w:t>
            </w:r>
          </w:p>
        </w:tc>
        <w:tc>
          <w:tcPr>
            <w:tcW w:type="dxa" w:w="32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Por ahora no.</w:t>
            </w:r>
            <w:r>
              <w:rPr>
                <w:rFonts w:ascii="Arial" w:cs="Arial" w:eastAsia="Arial" w:hAnsi="Arial"/>
                <w:sz w:val="18"/>
                <w:szCs w:val="18"/>
              </w:rPr>
              <w:t xml:space="preserve"> No hay invenciones técnicas, y los programas de computación como tales no se consideran invenciones (LFPPI, 2026, art. 47). Un modelo de datos solo sería patentable dentro de una solución técnica nueva (Bernal Guzmán, 2025, quien lo analiza desde el derecho colombiano).</w:t>
            </w:r>
          </w:p>
        </w:tc>
        <w:tc>
          <w:tcPr>
            <w:tcW w:type="dxa" w:w="1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Secreto industrial, mientras no se solicite</w:t>
            </w:r>
          </w:p>
        </w:tc>
      </w:tr>
      <w:tr>
        <w:trPr>
          <w:cantSplit/>
        </w:trPr>
        <w:tc>
          <w:tcPr>
            <w:tcW w:type="dxa" w:w="14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Modelos de utilidad</w:t>
            </w:r>
          </w:p>
        </w:tc>
        <w:tc>
          <w:tcPr>
            <w:tcW w:type="dxa" w:w="25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Objetos, utensilios, aparatos o herramientas que ganan una función o una ventaja de uso por un cambio en su forma o estructura (LFPPI, 2026; Uceda Carrillo, 2025)</w:t>
            </w:r>
          </w:p>
        </w:tc>
        <w:tc>
          <w:tcPr>
            <w:tcW w:type="dxa" w:w="32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b/>
                <w:bCs/>
                <w:sz w:val="18"/>
                <w:szCs w:val="18"/>
              </w:rPr>
              <w:t xml:space="preserve">No.</w:t>
            </w:r>
            <w:r>
              <w:rPr>
                <w:rFonts w:ascii="Arial" w:cs="Arial" w:eastAsia="Arial" w:hAnsi="Arial"/>
                <w:sz w:val="18"/>
                <w:szCs w:val="18"/>
              </w:rPr>
              <w:t xml:space="preserve"> El CIESS no fabrica objetos ni herramientas físicas</w:t>
            </w:r>
          </w:p>
        </w:tc>
        <w:tc>
          <w:tcPr>
            <w:tcW w:type="dxa" w:w="1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w:t>
            </w:r>
          </w:p>
        </w:tc>
      </w:tr>
      <w:tr>
        <w:trPr>
          <w:cantSplit/>
        </w:trPr>
        <w:tc>
          <w:tcPr>
            <w:tcW w:type="dxa" w:w="14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Indicaciones geográficas y denominaciones de origen</w:t>
            </w:r>
          </w:p>
        </w:tc>
        <w:tc>
          <w:tcPr>
            <w:tcW w:type="dxa" w:w="25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Signos que identifican productos con una calidad o reputación ligada a un territorio; se conceden a un colectivo de productores y no a una persona solicitante (LFPPI, 2026; Uceda Carrillo, 2025)</w:t>
            </w:r>
          </w:p>
        </w:tc>
        <w:tc>
          <w:tcPr>
            <w:tcW w:type="dxa" w:w="32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b/>
                <w:bCs/>
                <w:sz w:val="18"/>
                <w:szCs w:val="18"/>
              </w:rPr>
              <w:t xml:space="preserve">No.</w:t>
            </w:r>
            <w:r>
              <w:rPr>
                <w:rFonts w:ascii="Arial" w:cs="Arial" w:eastAsia="Arial" w:hAnsi="Arial"/>
                <w:sz w:val="18"/>
                <w:szCs w:val="18"/>
              </w:rPr>
              <w:t xml:space="preserve"> El CIESS no ofrece productos con origen geográfico</w:t>
            </w:r>
          </w:p>
        </w:tc>
        <w:tc>
          <w:tcPr>
            <w:tcW w:type="dxa" w:w="1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w:t>
            </w:r>
          </w:p>
        </w:tc>
      </w:tr>
    </w:tbl>
    <w:p>
      <w:pPr>
        <w:spacing w:after="80" w:before="80" w:line="240" w:lineRule="auto"/>
        <w:jc w:val="center"/>
      </w:pPr>
      <w:r>
        <w:rPr>
          <w:rFonts w:ascii="Arial" w:cs="Arial" w:eastAsia="Arial" w:hAnsi="Arial"/>
          <w:color w:val="7F7F7F"/>
          <w:sz w:val="16"/>
          <w:szCs w:val="16"/>
        </w:rPr>
        <w:t xml:space="preserve">Tabla 5. Tipos de propiedad intelectual y su aplicación al CIESS.</w:t>
      </w:r>
    </w:p>
    <w:p>
      <w:pPr>
        <w:spacing w:after="240" w:before="60" w:line="240" w:lineRule="auto"/>
      </w:pPr>
      <w:r>
        <w:rPr>
          <w:rFonts w:ascii="Arial" w:cs="Arial" w:eastAsia="Arial" w:hAnsi="Arial"/>
          <w:i/>
          <w:iCs/>
          <w:sz w:val="18"/>
          <w:szCs w:val="18"/>
        </w:rPr>
        <w:t xml:space="preserve">Nota.</w:t>
      </w:r>
      <w:r>
        <w:rPr>
          <w:rFonts w:ascii="Arial" w:cs="Arial" w:eastAsia="Arial" w:hAnsi="Arial"/>
          <w:sz w:val="18"/>
          <w:szCs w:val="18"/>
        </w:rPr>
        <w:t xml:space="preserve"> Elaboración propia con base en LFDA (2026), LFPPI (2026), OMPI (2020, 2025a), Uceda Carrillo (2025) y Bernal Guzmán (2025). Las licencias Creative Commons no son otro tipo de PI: son autorizaciones que otorga la persona titular de los derechos de autor. El secreto industrial, denominación usada en México, corresponde a lo que la OMPI (2025a) denomina secretos comerciales.</w:t>
      </w:r>
    </w:p>
    <w:p>
      <w:pPr>
        <w:spacing w:after="0" w:before="0" w:line="360" w:lineRule="auto"/>
        <w:ind w:firstLine="720"/>
        <w:jc w:val="both"/>
      </w:pPr>
      <w:r>
        <w:rPr>
          <w:rFonts w:ascii="Arial" w:cs="Arial" w:eastAsia="Arial" w:hAnsi="Arial"/>
          <w:sz w:val="24"/>
          <w:szCs w:val="24"/>
        </w:rPr>
        <w:t xml:space="preserve">En el CIESS las superposiciones más claras son estas:</w:t>
      </w:r>
    </w:p>
    <w:p>
      <w:pPr>
        <w:pStyle w:val="ListParagraph"/>
        <w:numPr>
          <w:ilvl w:val="0"/>
          <w:numId w:val="2"/>
        </w:numPr>
        <w:spacing w:after="0" w:before="0" w:line="360" w:lineRule="auto"/>
        <w:jc w:val="both"/>
      </w:pPr>
      <w:r>
        <w:rPr>
          <w:rFonts w:ascii="Arial" w:cs="Arial" w:eastAsia="Arial" w:hAnsi="Arial"/>
          <w:b/>
          <w:bCs/>
          <w:sz w:val="24"/>
          <w:szCs w:val="24"/>
        </w:rPr>
        <w:t xml:space="preserve">Logotipo:</w:t>
      </w:r>
      <w:r>
        <w:rPr>
          <w:rFonts w:ascii="Arial" w:cs="Arial" w:eastAsia="Arial" w:hAnsi="Arial"/>
          <w:sz w:val="24"/>
          <w:szCs w:val="24"/>
        </w:rPr>
        <w:t xml:space="preserve"> marca (si está registrada), diseño industrial y derecho de autor.</w:t>
      </w:r>
    </w:p>
    <w:p>
      <w:pPr>
        <w:pStyle w:val="ListParagraph"/>
        <w:numPr>
          <w:ilvl w:val="0"/>
          <w:numId w:val="2"/>
        </w:numPr>
        <w:spacing w:after="0" w:before="0" w:line="360" w:lineRule="auto"/>
        <w:jc w:val="both"/>
      </w:pPr>
      <w:r>
        <w:rPr>
          <w:rFonts w:ascii="Arial" w:cs="Arial" w:eastAsia="Arial" w:hAnsi="Arial"/>
          <w:b/>
          <w:bCs/>
          <w:sz w:val="24"/>
          <w:szCs w:val="24"/>
        </w:rPr>
        <w:t xml:space="preserve">Sistema de registro del congreso:</w:t>
      </w:r>
      <w:r>
        <w:rPr>
          <w:rFonts w:ascii="Arial" w:cs="Arial" w:eastAsia="Arial" w:hAnsi="Arial"/>
          <w:sz w:val="24"/>
          <w:szCs w:val="24"/>
        </w:rPr>
        <w:t xml:space="preserve"> derecho de autor sobre el código, secreto industrial mientras no se publique, y datos personales regulados por otra ley.</w:t>
      </w:r>
    </w:p>
    <w:p>
      <w:pPr>
        <w:pStyle w:val="ListParagraph"/>
        <w:numPr>
          <w:ilvl w:val="0"/>
          <w:numId w:val="2"/>
        </w:numPr>
        <w:spacing w:after="0" w:before="0" w:line="360" w:lineRule="auto"/>
        <w:jc w:val="both"/>
      </w:pPr>
      <w:r>
        <w:rPr>
          <w:rFonts w:ascii="Arial" w:cs="Arial" w:eastAsia="Arial" w:hAnsi="Arial"/>
          <w:b/>
          <w:bCs/>
          <w:sz w:val="24"/>
          <w:szCs w:val="24"/>
        </w:rPr>
        <w:t xml:space="preserve">Interfaz del campus virtual:</w:t>
      </w:r>
      <w:r>
        <w:rPr>
          <w:rFonts w:ascii="Arial" w:cs="Arial" w:eastAsia="Arial" w:hAnsi="Arial"/>
          <w:sz w:val="24"/>
          <w:szCs w:val="24"/>
        </w:rPr>
        <w:t xml:space="preserve"> diseño industrial y derecho de autor.</w:t>
      </w:r>
    </w:p>
    <w:p>
      <w:pPr>
        <w:pStyle w:val="ListParagraph"/>
        <w:numPr>
          <w:ilvl w:val="0"/>
          <w:numId w:val="2"/>
        </w:numPr>
        <w:spacing w:after="0" w:before="0" w:line="360" w:lineRule="auto"/>
        <w:jc w:val="both"/>
      </w:pPr>
      <w:r>
        <w:rPr>
          <w:rFonts w:ascii="Arial" w:cs="Arial" w:eastAsia="Arial" w:hAnsi="Arial"/>
          <w:b/>
          <w:bCs/>
          <w:sz w:val="24"/>
          <w:szCs w:val="24"/>
        </w:rPr>
        <w:t xml:space="preserve">Curso en video:</w:t>
      </w:r>
      <w:r>
        <w:rPr>
          <w:rFonts w:ascii="Arial" w:cs="Arial" w:eastAsia="Arial" w:hAnsi="Arial"/>
          <w:sz w:val="24"/>
          <w:szCs w:val="24"/>
        </w:rPr>
        <w:t xml:space="preserve"> derecho de autor del material y de lo que expone quien imparte, derechos conexos del CIESS como productor de la grabación, autorización de voz e imagen, y la marca del CIESS en pantalla.</w:t>
      </w:r>
    </w:p>
    <w:p>
      <w:pPr>
        <w:spacing w:after="0" w:before="0" w:line="360" w:lineRule="auto"/>
        <w:ind w:firstLine="720"/>
        <w:jc w:val="both"/>
      </w:pPr>
      <w:r>
        <w:rPr>
          <w:rFonts w:ascii="Arial" w:cs="Arial" w:eastAsia="Arial" w:hAnsi="Arial"/>
          <w:sz w:val="24"/>
          <w:szCs w:val="24"/>
        </w:rPr>
        <w:t xml:space="preserve">Entre los diseños industriales del CIESS, el activo más valioso es la apariencia de las interfaces del sitio, del campus y del sistema de registro, así como la del logotipo, porque es el elemento que un tercero tendría mayor probabilidad de copiar para elaborar un sitio falso. En México el diseño se registra ante el IMPI, debe ser nuevo y de aplicación industrial, y dura cinco años, renovables hasta un máximo de 25 (LFPPI, 2026, art. 78); el ADPIC exige protegerlo como mínimo durante 10 años (OMC, 1994, arts. 25 y 26).</w:t>
      </w:r>
    </w:p>
    <w:p>
      <w:pPr>
        <w:spacing w:after="0" w:before="0" w:line="360" w:lineRule="auto"/>
        <w:ind w:firstLine="720"/>
        <w:jc w:val="both"/>
      </w:pPr>
      <w:r>
        <w:rPr>
          <w:rFonts w:ascii="Arial" w:cs="Arial" w:eastAsia="Arial" w:hAnsi="Arial"/>
          <w:sz w:val="24"/>
          <w:szCs w:val="24"/>
        </w:rPr>
        <w:t xml:space="preserve">Dado que lo publicado hace años podría no cumplir el requisito de novedad, la protección actual de estos diseños se apoya en archivos fuente fechados y en la vigilancia de sitios clonados.</w:t>
      </w:r>
    </w:p>
    <w:p>
      <w:pPr>
        <w:spacing w:after="0" w:before="0" w:line="360" w:lineRule="auto"/>
        <w:ind w:firstLine="720"/>
        <w:jc w:val="both"/>
      </w:pPr>
      <w:r>
        <w:rPr>
          <w:rFonts w:ascii="Arial" w:cs="Arial" w:eastAsia="Arial" w:hAnsi="Arial"/>
          <w:sz w:val="24"/>
          <w:szCs w:val="24"/>
        </w:rPr>
        <w:t xml:space="preserve">En el caso de las bases de datos, Bernal Guzmán (2025) explica que el derecho de autor protege la forma en que se selecciona y ordena una base de datos, no los datos en sí. Si la lista de personas inscritas al congreso solo está ordenada por fecha de registro o por orden alfabético, probablemente no sea “original”: la misma fuente recoge el criterio de la autoridad colombiana de derecho de autor, para la cual ese orden es una labor mecánica sin altura creativa.</w:t>
      </w:r>
    </w:p>
    <w:p>
      <w:pPr>
        <w:spacing w:after="0" w:before="0" w:line="360" w:lineRule="auto"/>
        <w:ind w:firstLine="720"/>
        <w:jc w:val="both"/>
      </w:pPr>
      <w:r>
        <w:rPr>
          <w:rFonts w:ascii="Arial" w:cs="Arial" w:eastAsia="Arial" w:hAnsi="Arial"/>
          <w:sz w:val="24"/>
          <w:szCs w:val="24"/>
        </w:rPr>
        <w:t xml:space="preserve">Aun así, la LFDA (2026, art. 108) otorga a quien elaboró una base de datos no original el uso exclusivo durante 5 años, y esta se protege, además, por otras vías: secreto industrial, accesos limitados, contratos y la legislación en materia de datos personales. La LFDA (2026, art. 109) exige autorización de las personas para publicar información privada de una base de datos. En el caso del modelo de datos, la situación es análoga: carece de protección propia, el código que lo implementa podría protegerse y el secreto industrial constituye una alternativa (Bernal Guzmán, 2025).</w:t>
      </w:r>
    </w:p>
    <w:p>
      <w:pPr>
        <w:spacing w:after="0" w:before="0" w:line="360" w:lineRule="auto"/>
        <w:ind w:firstLine="720"/>
        <w:jc w:val="both"/>
      </w:pPr>
      <w:r>
        <w:rPr>
          <w:rFonts w:ascii="Arial" w:cs="Arial" w:eastAsia="Arial" w:hAnsi="Arial"/>
          <w:sz w:val="24"/>
          <w:szCs w:val="24"/>
        </w:rPr>
        <w:t xml:space="preserve">Los secretos industriales no se registran: dependen de que el CIESS los mantenga en secreto. La LFPPI (2026, art. 163) exige medios suficientes para preservar su confidencialidad, y su artículo 166 obliga a no divulgarlos a quien los conoce por su empleo o relación de negocios y ha sido advertido de su carácter confidencial.</w:t>
      </w:r>
    </w:p>
    <w:p>
      <w:pPr>
        <w:spacing w:after="0" w:before="0" w:line="360" w:lineRule="auto"/>
        <w:ind w:firstLine="720"/>
        <w:jc w:val="both"/>
      </w:pPr>
      <w:r>
        <w:rPr>
          <w:rFonts w:ascii="Arial" w:cs="Arial" w:eastAsia="Arial" w:hAnsi="Arial"/>
          <w:sz w:val="24"/>
          <w:szCs w:val="24"/>
        </w:rPr>
        <w:t xml:space="preserve">Existen riesgos internos (la sustracción del código o el uso compartido de archivos con “cualquier persona con el enlace”) y externos (</w:t>
      </w:r>
      <w:r>
        <w:rPr>
          <w:rFonts w:ascii="Arial" w:cs="Arial" w:eastAsia="Arial" w:hAnsi="Arial"/>
          <w:i/>
          <w:iCs/>
          <w:sz w:val="24"/>
          <w:szCs w:val="24"/>
        </w:rPr>
        <w:t xml:space="preserve">phishing</w:t>
      </w:r>
      <w:r>
        <w:rPr>
          <w:rFonts w:ascii="Arial" w:cs="Arial" w:eastAsia="Arial" w:hAnsi="Arial"/>
          <w:sz w:val="24"/>
          <w:szCs w:val="24"/>
        </w:rPr>
        <w:t xml:space="preserve">, proveedores, herramientas de IA en las que se introduce código). Dado que, según Bernal Guzmán (2025), el secreto industrial deja el modelo de datos expuesto a la ingeniería inversa, el riesgo A3 (Tabla 7) se atiende con acuerdos de confidencialidad (NDA), mínimo privilegio, cifrado y controles de prevención de pérdida de datos (DLP).</w:t>
      </w:r>
    </w:p>
    <w:p>
      <w:pPr>
        <w:spacing w:after="0" w:before="0" w:line="360" w:lineRule="auto"/>
        <w:ind w:firstLine="720"/>
        <w:jc w:val="both"/>
      </w:pPr>
      <w:r>
        <w:rPr>
          <w:rFonts w:ascii="Arial" w:cs="Arial" w:eastAsia="Arial" w:hAnsi="Arial"/>
          <w:sz w:val="24"/>
          <w:szCs w:val="24"/>
        </w:rPr>
        <w:t xml:space="preserve">Sobre las patentes, actualmente no identifico ningún desarrollo del CIESS que sea patentable. Si el CIESS desarrollara un método técnico nuevo, el riesgo informático principal sería la divulgación previa, porque la novedad es un requisito (LFPPI, 2026): lo trataría como secreto industrial, con los controles del riesgo A3, y no lo publicaría en repositorios públicos ni lo ingresaría en herramientas de IA externas hasta decidir si se solicita la patente.</w:t>
      </w:r>
    </w:p>
    <w:p>
      <w:pPr>
        <w:spacing w:after="0" w:before="0" w:line="360" w:lineRule="auto"/>
        <w:ind w:firstLine="720"/>
        <w:jc w:val="both"/>
      </w:pPr>
      <w:r>
        <w:rPr>
          <w:rFonts w:ascii="Arial" w:cs="Arial" w:eastAsia="Arial" w:hAnsi="Arial"/>
          <w:sz w:val="24"/>
          <w:szCs w:val="24"/>
        </w:rPr>
        <w:t xml:space="preserve">Los modelos de utilidad no son aplicables, porque el CIESS no fabrica objetos ni herramientas. Las indicaciones geográficas tampoco lo son, pero los eventos y las tiendas en línea del CIESS podrían mencionarlas, por lo que no usaré una denominación protegida, como tequila o mezcal, en títulos, dominios o anuncios sin confirmar que corresponde a un producto autorizado, y verificaré su declaración ante el IMPI antes de mencionarla. Tampoco son aplicables los esquemas de trazado de circuitos integrados ni las variedades vegetales (Uceda Carrillo, 2025).</w:t>
      </w:r>
    </w:p>
    <w:p>
      <w:pPr>
        <w:pStyle w:val="Heading2"/>
        <w:keepNext/>
        <w:spacing w:after="0" w:before="160" w:line="360" w:lineRule="auto"/>
        <w:jc w:val="left"/>
      </w:pPr>
      <w:r>
        <w:rPr>
          <w:rFonts w:ascii="Arial" w:cs="Arial" w:eastAsia="Arial" w:hAnsi="Arial"/>
          <w:b/>
          <w:bCs/>
          <w:color w:val="000000"/>
          <w:sz w:val="24"/>
          <w:szCs w:val="24"/>
        </w:rPr>
        <w:t xml:space="preserve">6. Riesgos y controles</w:t>
      </w:r>
    </w:p>
    <w:p>
      <w:pPr>
        <w:pStyle w:val="Heading3"/>
        <w:keepNext/>
        <w:spacing w:after="0" w:before="120" w:line="360" w:lineRule="auto"/>
        <w:jc w:val="left"/>
      </w:pPr>
      <w:r>
        <w:rPr>
          <w:rFonts w:ascii="Arial" w:cs="Arial" w:eastAsia="Arial" w:hAnsi="Arial"/>
          <w:b/>
          <w:bCs/>
          <w:i/>
          <w:iCs/>
          <w:color w:val="000000"/>
          <w:sz w:val="24"/>
          <w:szCs w:val="24"/>
        </w:rPr>
        <w:t xml:space="preserve">6.1 Criterios de evaluación</w:t>
      </w:r>
    </w:p>
    <w:p>
      <w:pPr>
        <w:spacing w:after="0" w:before="0" w:line="360" w:lineRule="auto"/>
        <w:ind w:firstLine="720"/>
        <w:jc w:val="both"/>
      </w:pPr>
      <w:r>
        <w:rPr>
          <w:rFonts w:ascii="Arial" w:cs="Arial" w:eastAsia="Arial" w:hAnsi="Arial"/>
          <w:sz w:val="24"/>
          <w:szCs w:val="24"/>
        </w:rPr>
        <w:t xml:space="preserve">Para evaluar cada riesgo usé criterios explícitos (Tabla 6). El nivel es el producto de la probabilidad por el impacto: de 1 a 2 es bajo, de 3 a 4 es medio y de 6 a 9 es alto. El riesgo residual es el nivel que espero después de aplicar los controles: estimo que estos reducen la probabilidad en uno o dos grados y, cuando actúan antes del daño (cifrado en A3, búsqueda previa en B8), también el impacto. Propongo aceptar con vigilancia los riesgos residuales bajos y medios; los riesgos residuales altos no se aceptan.</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1500"/>
        <w:gridCol w:w="3669"/>
        <w:gridCol w:w="3669"/>
      </w:tblGrid>
      <w:tr>
        <w:trPr>
          <w:cantSplit/>
          <w:tblHeader/>
        </w:trPr>
        <w:tc>
          <w:tcPr>
            <w:tcW w:type="dxa" w:w="15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Grado (valor)</w:t>
            </w:r>
          </w:p>
        </w:tc>
        <w:tc>
          <w:tcPr>
            <w:tcW w:type="dxa" w:w="3669"/>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Probabilidad en un año</w:t>
            </w:r>
          </w:p>
        </w:tc>
        <w:tc>
          <w:tcPr>
            <w:tcW w:type="dxa" w:w="3669"/>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Impacto</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Baja o bajo (1)</w:t>
            </w:r>
          </w:p>
        </w:tc>
        <w:tc>
          <w:tcPr>
            <w:tcW w:type="dxa" w:w="3669"/>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No ha ocurrido y es poco probable</w:t>
            </w:r>
          </w:p>
        </w:tc>
        <w:tc>
          <w:tcPr>
            <w:tcW w:type="dxa" w:w="3669"/>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Afectación menor o trabajo adicional, sin costo ni queja</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Media o medio (2)</w:t>
            </w:r>
          </w:p>
        </w:tc>
        <w:tc>
          <w:tcPr>
            <w:tcW w:type="dxa" w:w="3669"/>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Puede ocurrir una vez</w:t>
            </w:r>
          </w:p>
        </w:tc>
        <w:tc>
          <w:tcPr>
            <w:tcW w:type="dxa" w:w="3669"/>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Retiro de contenido, queja formal o gasto menor</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Alta o alto (3)</w:t>
            </w:r>
          </w:p>
        </w:tc>
        <w:tc>
          <w:tcPr>
            <w:tcW w:type="dxa" w:w="3669"/>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Ya ha ocurrido o puede ocurrir varias veces</w:t>
            </w:r>
          </w:p>
        </w:tc>
        <w:tc>
          <w:tcPr>
            <w:tcW w:type="dxa" w:w="3669"/>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Reclamación legal, pérdida de control de la marca o de datos personales, o daño a la reputación institucional</w:t>
            </w:r>
          </w:p>
        </w:tc>
      </w:tr>
    </w:tbl>
    <w:p>
      <w:pPr>
        <w:spacing w:after="80" w:before="80" w:line="240" w:lineRule="auto"/>
        <w:jc w:val="center"/>
      </w:pPr>
      <w:r>
        <w:rPr>
          <w:rFonts w:ascii="Arial" w:cs="Arial" w:eastAsia="Arial" w:hAnsi="Arial"/>
          <w:color w:val="7F7F7F"/>
          <w:sz w:val="16"/>
          <w:szCs w:val="16"/>
        </w:rPr>
        <w:t xml:space="preserve">Tabla 6. Criterios de probabilidad e impacto.</w:t>
      </w:r>
    </w:p>
    <w:p>
      <w:pPr>
        <w:spacing w:after="240" w:before="60" w:line="240" w:lineRule="auto"/>
      </w:pPr>
      <w:r>
        <w:rPr>
          <w:rFonts w:ascii="Arial" w:cs="Arial" w:eastAsia="Arial" w:hAnsi="Arial"/>
          <w:i/>
          <w:iCs/>
          <w:sz w:val="18"/>
          <w:szCs w:val="18"/>
        </w:rPr>
        <w:t xml:space="preserve">Nota.</w:t>
      </w:r>
      <w:r>
        <w:rPr>
          <w:rFonts w:ascii="Arial" w:cs="Arial" w:eastAsia="Arial" w:hAnsi="Arial"/>
          <w:sz w:val="18"/>
          <w:szCs w:val="18"/>
        </w:rPr>
        <w:t xml:space="preserve"> Criterios propios.</w:t>
      </w:r>
    </w:p>
    <w:p>
      <w:pPr>
        <w:pStyle w:val="Heading3"/>
        <w:keepNext/>
        <w:spacing w:after="0" w:before="120" w:line="360" w:lineRule="auto"/>
        <w:jc w:val="left"/>
      </w:pPr>
      <w:r>
        <w:rPr>
          <w:rFonts w:ascii="Arial" w:cs="Arial" w:eastAsia="Arial" w:hAnsi="Arial"/>
          <w:b/>
          <w:bCs/>
          <w:i/>
          <w:iCs/>
          <w:color w:val="000000"/>
          <w:sz w:val="24"/>
          <w:szCs w:val="24"/>
        </w:rPr>
        <w:t xml:space="preserve">6.2 Protección de la propiedad intelectual del CIESS</w:t>
      </w:r>
    </w:p>
    <w:p>
      <w:pPr>
        <w:spacing w:after="0" w:before="0" w:line="360" w:lineRule="auto"/>
        <w:ind w:firstLine="720"/>
        <w:jc w:val="both"/>
      </w:pPr>
      <w:r>
        <w:rPr>
          <w:rFonts w:ascii="Arial" w:cs="Arial" w:eastAsia="Arial" w:hAnsi="Arial"/>
          <w:sz w:val="24"/>
          <w:szCs w:val="24"/>
        </w:rPr>
        <w:t xml:space="preserve">La Tabla 7 reúne los riesgos de que otras personas usen la PI del CIESS sin permiso.</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420"/>
        <w:gridCol w:w="1950"/>
        <w:gridCol w:w="760"/>
        <w:gridCol w:w="880"/>
        <w:gridCol w:w="960"/>
        <w:gridCol w:w="2860"/>
        <w:gridCol w:w="1008"/>
      </w:tblGrid>
      <w:tr>
        <w:trPr>
          <w:cantSplit/>
          <w:tblHeader/>
        </w:trPr>
        <w:tc>
          <w:tcPr>
            <w:tcW w:type="dxa" w:w="42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ID</w:t>
            </w:r>
          </w:p>
        </w:tc>
        <w:tc>
          <w:tcPr>
            <w:tcW w:type="dxa" w:w="195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Riesgo</w:t>
            </w:r>
          </w:p>
        </w:tc>
        <w:tc>
          <w:tcPr>
            <w:tcW w:type="dxa" w:w="76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Prob.</w:t>
            </w:r>
          </w:p>
        </w:tc>
        <w:tc>
          <w:tcPr>
            <w:tcW w:type="dxa" w:w="88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Impacto</w:t>
            </w:r>
          </w:p>
        </w:tc>
        <w:tc>
          <w:tcPr>
            <w:tcW w:type="dxa" w:w="96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Nivel</w:t>
            </w:r>
          </w:p>
        </w:tc>
        <w:tc>
          <w:tcPr>
            <w:tcW w:type="dxa" w:w="286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Control principal</w:t>
            </w:r>
          </w:p>
        </w:tc>
        <w:tc>
          <w:tcPr>
            <w:tcW w:type="dxa" w:w="1008"/>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Riesgo residual</w:t>
            </w:r>
          </w:p>
        </w:tc>
      </w:tr>
      <w:tr>
        <w:trPr>
          <w:cantSplit/>
        </w:trPr>
        <w:tc>
          <w:tcPr>
            <w:tcW w:type="dxa" w:w="4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A1</w:t>
            </w:r>
          </w:p>
        </w:tc>
        <w:tc>
          <w:tcPr>
            <w:tcW w:type="dxa" w:w="19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Copia, descarga o publicación sin permiso de materiales de cursos, videos, boletines o pódcast</w:t>
            </w:r>
          </w:p>
        </w:tc>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Media</w:t>
            </w:r>
          </w:p>
        </w:tc>
        <w:tc>
          <w:tcPr>
            <w:tcW w:type="dxa" w:w="8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Medio</w:t>
            </w:r>
          </w:p>
        </w:tc>
        <w:tc>
          <w:tcPr>
            <w:tcW w:type="dxa" w:w="9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Medio (4)</w:t>
            </w:r>
          </w:p>
        </w:tc>
        <w:tc>
          <w:tcPr>
            <w:tcW w:type="dxa" w:w="28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Aviso de derechos o licencia visible; acceso por cuenta; marcas de agua y PDF protegidos (MTP y DRM); alertas por descargas masivas; vigilancia mensual</w:t>
            </w:r>
          </w:p>
        </w:tc>
        <w:tc>
          <w:tcPr>
            <w:tcW w:type="dxa" w:w="100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Bajo (2)</w:t>
            </w:r>
          </w:p>
        </w:tc>
      </w:tr>
      <w:tr>
        <w:trPr>
          <w:cantSplit/>
        </w:trPr>
        <w:tc>
          <w:tcPr>
            <w:tcW w:type="dxa" w:w="4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A2</w:t>
            </w:r>
          </w:p>
        </w:tc>
        <w:tc>
          <w:tcPr>
            <w:tcW w:type="dxa" w:w="19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Uso indebido de la marca, el logotipo o la interfaz: sitios o cursos falsos, suplantación en redes o </w:t>
            </w:r>
            <w:r>
              <w:rPr>
                <w:rFonts w:ascii="Arial" w:cs="Arial" w:eastAsia="Arial" w:hAnsi="Arial"/>
                <w:i/>
                <w:iCs/>
                <w:sz w:val="18"/>
                <w:szCs w:val="18"/>
              </w:rPr>
              <w:t xml:space="preserve">phishing</w:t>
            </w:r>
          </w:p>
        </w:tc>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Media</w:t>
            </w:r>
          </w:p>
        </w:tc>
        <w:tc>
          <w:tcPr>
            <w:tcW w:type="dxa" w:w="8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Alto</w:t>
            </w:r>
          </w:p>
        </w:tc>
        <w:tc>
          <w:tcPr>
            <w:tcW w:type="dxa" w:w="9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Alto (6)</w:t>
            </w:r>
          </w:p>
        </w:tc>
        <w:tc>
          <w:tcPr>
            <w:tcW w:type="dxa" w:w="28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Confirmación de la titularidad de las marcas (CIESS o CISS) y su registro ante el IMPI; guía de uso de marca; autenticación del correo institucional; vigilancia de dominios, de la Gaceta de la Propiedad Industrial y de redes; aviso de cese y reporte a la plataforma</w:t>
            </w:r>
          </w:p>
        </w:tc>
        <w:tc>
          <w:tcPr>
            <w:tcW w:type="dxa" w:w="100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Medio (3)</w:t>
            </w:r>
          </w:p>
        </w:tc>
      </w:tr>
      <w:tr>
        <w:trPr>
          <w:cantSplit/>
        </w:trPr>
        <w:tc>
          <w:tcPr>
            <w:tcW w:type="dxa" w:w="4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A3</w:t>
            </w:r>
          </w:p>
        </w:tc>
        <w:tc>
          <w:tcPr>
            <w:tcW w:type="dxa" w:w="19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Fuga de secretos industriales por personal, proveedores, </w:t>
            </w:r>
            <w:r>
              <w:rPr>
                <w:rFonts w:ascii="Arial" w:cs="Arial" w:eastAsia="Arial" w:hAnsi="Arial"/>
                <w:i/>
                <w:iCs/>
                <w:sz w:val="18"/>
                <w:szCs w:val="18"/>
              </w:rPr>
              <w:t xml:space="preserve">phishing</w:t>
            </w:r>
            <w:r>
              <w:rPr>
                <w:rFonts w:ascii="Arial" w:cs="Arial" w:eastAsia="Arial" w:hAnsi="Arial"/>
                <w:sz w:val="18"/>
                <w:szCs w:val="18"/>
              </w:rPr>
              <w:t xml:space="preserve"> o herramientas de IA: código no publicado, bases de datos o informes</w:t>
            </w:r>
          </w:p>
        </w:tc>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Baja</w:t>
            </w:r>
          </w:p>
        </w:tc>
        <w:tc>
          <w:tcPr>
            <w:tcW w:type="dxa" w:w="8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Alto</w:t>
            </w:r>
          </w:p>
        </w:tc>
        <w:tc>
          <w:tcPr>
            <w:tcW w:type="dxa" w:w="9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Medio (3)</w:t>
            </w:r>
          </w:p>
        </w:tc>
        <w:tc>
          <w:tcPr>
            <w:tcW w:type="dxa" w:w="28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Acuerdos de confidencialidad (NDA, por </w:t>
            </w:r>
            <w:r>
              <w:rPr>
                <w:rFonts w:ascii="Arial" w:cs="Arial" w:eastAsia="Arial" w:hAnsi="Arial"/>
                <w:i/>
                <w:iCs/>
                <w:sz w:val="18"/>
                <w:szCs w:val="18"/>
              </w:rPr>
              <w:t xml:space="preserve">non-disclosure agreement</w:t>
            </w:r>
            <w:r>
              <w:rPr>
                <w:rFonts w:ascii="Arial" w:cs="Arial" w:eastAsia="Arial" w:hAnsi="Arial"/>
                <w:sz w:val="18"/>
                <w:szCs w:val="18"/>
              </w:rPr>
              <w:t xml:space="preserve">), mínimo privilegio, cifrado, revocación de accesos al concluir la relación y controles de prevención de pérdida de datos (DLP) para bloquear envíos a cuentas o servicios en la nube externos</w:t>
            </w:r>
          </w:p>
        </w:tc>
        <w:tc>
          <w:tcPr>
            <w:tcW w:type="dxa" w:w="100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Bajo (2)</w:t>
            </w:r>
          </w:p>
        </w:tc>
      </w:tr>
      <w:tr>
        <w:trPr>
          <w:cantSplit/>
        </w:trPr>
        <w:tc>
          <w:tcPr>
            <w:tcW w:type="dxa" w:w="4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A4</w:t>
            </w:r>
          </w:p>
        </w:tc>
        <w:tc>
          <w:tcPr>
            <w:tcW w:type="dxa" w:w="19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Obras del CIESS sin titularidad documentada, por contratos sin cláusula de derechos</w:t>
            </w:r>
          </w:p>
        </w:tc>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Alta</w:t>
            </w:r>
          </w:p>
        </w:tc>
        <w:tc>
          <w:tcPr>
            <w:tcW w:type="dxa" w:w="8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Alto</w:t>
            </w:r>
          </w:p>
        </w:tc>
        <w:tc>
          <w:tcPr>
            <w:tcW w:type="dxa" w:w="9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Alto (9)</w:t>
            </w:r>
          </w:p>
        </w:tc>
        <w:tc>
          <w:tcPr>
            <w:tcW w:type="dxa" w:w="28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Cesión de derechos, ley aplicable y mención de autoría en los contratos, y pacto con el personal (Tabla 2)</w:t>
            </w:r>
          </w:p>
        </w:tc>
        <w:tc>
          <w:tcPr>
            <w:tcW w:type="dxa" w:w="100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Medio (3)</w:t>
            </w:r>
          </w:p>
        </w:tc>
      </w:tr>
      <w:tr>
        <w:trPr>
          <w:cantSplit/>
        </w:trPr>
        <w:tc>
          <w:tcPr>
            <w:tcW w:type="dxa" w:w="4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A5</w:t>
            </w:r>
          </w:p>
        </w:tc>
        <w:tc>
          <w:tcPr>
            <w:tcW w:type="dxa" w:w="19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No poder demostrar quién creó una obra ni cuándo</w:t>
            </w:r>
          </w:p>
        </w:tc>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Media</w:t>
            </w:r>
          </w:p>
        </w:tc>
        <w:tc>
          <w:tcPr>
            <w:tcW w:type="dxa" w:w="8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Medio</w:t>
            </w:r>
          </w:p>
        </w:tc>
        <w:tc>
          <w:tcPr>
            <w:tcW w:type="dxa" w:w="9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Medio (4)</w:t>
            </w:r>
          </w:p>
        </w:tc>
        <w:tc>
          <w:tcPr>
            <w:tcW w:type="dxa" w:w="28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Archivos fuente con fecha y control de versiones; registro de obras clave ante INDAUTOR</w:t>
            </w:r>
          </w:p>
        </w:tc>
        <w:tc>
          <w:tcPr>
            <w:tcW w:type="dxa" w:w="100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Bajo (2)</w:t>
            </w:r>
          </w:p>
        </w:tc>
      </w:tr>
      <w:tr>
        <w:trPr>
          <w:cantSplit/>
        </w:trPr>
        <w:tc>
          <w:tcPr>
            <w:tcW w:type="dxa" w:w="4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A6</w:t>
            </w:r>
          </w:p>
        </w:tc>
        <w:tc>
          <w:tcPr>
            <w:tcW w:type="dxa" w:w="19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Marcas protegidas solo en México mientras se opera en otros países</w:t>
            </w:r>
          </w:p>
        </w:tc>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Media</w:t>
            </w:r>
          </w:p>
        </w:tc>
        <w:tc>
          <w:tcPr>
            <w:tcW w:type="dxa" w:w="8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Medio</w:t>
            </w:r>
          </w:p>
        </w:tc>
        <w:tc>
          <w:tcPr>
            <w:tcW w:type="dxa" w:w="9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Medio (4)</w:t>
            </w:r>
          </w:p>
        </w:tc>
        <w:tc>
          <w:tcPr>
            <w:tcW w:type="dxa" w:w="28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Valorar el Sistema de Madrid solo donde haya actividad y presupuesto</w:t>
            </w:r>
          </w:p>
        </w:tc>
        <w:tc>
          <w:tcPr>
            <w:tcW w:type="dxa" w:w="100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Bajo (2)</w:t>
            </w:r>
          </w:p>
        </w:tc>
      </w:tr>
      <w:tr>
        <w:trPr>
          <w:cantSplit/>
        </w:trPr>
        <w:tc>
          <w:tcPr>
            <w:tcW w:type="dxa" w:w="4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A7</w:t>
            </w:r>
          </w:p>
        </w:tc>
        <w:tc>
          <w:tcPr>
            <w:tcW w:type="dxa" w:w="19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Invertir en proteger contenido hecho solo con IA, que INDAUTOR no registra</w:t>
            </w:r>
          </w:p>
        </w:tc>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Media</w:t>
            </w:r>
          </w:p>
        </w:tc>
        <w:tc>
          <w:tcPr>
            <w:tcW w:type="dxa" w:w="8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Bajo</w:t>
            </w:r>
          </w:p>
        </w:tc>
        <w:tc>
          <w:tcPr>
            <w:tcW w:type="dxa" w:w="9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Bajo (2)</w:t>
            </w:r>
          </w:p>
        </w:tc>
        <w:tc>
          <w:tcPr>
            <w:tcW w:type="dxa" w:w="28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Intervención humana sustancial y documentada en lo que se quiera proteger</w:t>
            </w:r>
          </w:p>
        </w:tc>
        <w:tc>
          <w:tcPr>
            <w:tcW w:type="dxa" w:w="100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Bajo (1)</w:t>
            </w:r>
          </w:p>
        </w:tc>
      </w:tr>
    </w:tbl>
    <w:p>
      <w:pPr>
        <w:spacing w:after="80" w:before="80" w:line="240" w:lineRule="auto"/>
        <w:jc w:val="center"/>
      </w:pPr>
      <w:r>
        <w:rPr>
          <w:rFonts w:ascii="Arial" w:cs="Arial" w:eastAsia="Arial" w:hAnsi="Arial"/>
          <w:color w:val="7F7F7F"/>
          <w:sz w:val="16"/>
          <w:szCs w:val="16"/>
        </w:rPr>
        <w:t xml:space="preserve">Tabla 7. Riesgos de que otras personas usen la propiedad intelectual del CIESS.</w:t>
      </w:r>
    </w:p>
    <w:p>
      <w:pPr>
        <w:spacing w:after="240" w:before="60" w:line="240" w:lineRule="auto"/>
      </w:pPr>
      <w:r>
        <w:rPr>
          <w:rFonts w:ascii="Arial" w:cs="Arial" w:eastAsia="Arial" w:hAnsi="Arial"/>
          <w:i/>
          <w:iCs/>
          <w:sz w:val="18"/>
          <w:szCs w:val="18"/>
        </w:rPr>
        <w:t xml:space="preserve">Nota.</w:t>
      </w:r>
      <w:r>
        <w:rPr>
          <w:rFonts w:ascii="Arial" w:cs="Arial" w:eastAsia="Arial" w:hAnsi="Arial"/>
          <w:sz w:val="18"/>
          <w:szCs w:val="18"/>
        </w:rPr>
        <w:t xml:space="preserve"> Prob. = probabilidad. Los valores entre paréntesis son el producto de probabilidad por impacto. Elaboración propia con base en la Lección 10 (UVEG, s.f.), Uceda Carrillo (2025) y Jalife (2025).</w:t>
      </w:r>
    </w:p>
    <w:p>
      <w:pPr>
        <w:spacing w:after="0" w:before="0" w:line="360" w:lineRule="auto"/>
        <w:ind w:firstLine="720"/>
        <w:jc w:val="both"/>
      </w:pPr>
      <w:r>
        <w:rPr>
          <w:rFonts w:ascii="Arial" w:cs="Arial" w:eastAsia="Arial" w:hAnsi="Arial"/>
          <w:sz w:val="24"/>
          <w:szCs w:val="24"/>
        </w:rPr>
        <w:t xml:space="preserve">Propongo cinco controles técnicos, que priorizan la protección del código, las bases de datos y los cursos. El control de acceso por cuenta se basa en roles y en autenticación de dos factores para quienes administran el sitio y el campus, con revisión trimestral de quiénes tienen acceso al código y a los reportes. El cifrado cubre la conexión (HTTPS), los respaldos y los archivos con datos personales.</w:t>
      </w:r>
    </w:p>
    <w:p>
      <w:pPr>
        <w:spacing w:after="0" w:before="0" w:line="360" w:lineRule="auto"/>
        <w:ind w:firstLine="720"/>
        <w:jc w:val="both"/>
      </w:pPr>
      <w:r>
        <w:rPr>
          <w:rFonts w:ascii="Arial" w:cs="Arial" w:eastAsia="Arial" w:hAnsi="Arial"/>
          <w:sz w:val="24"/>
          <w:szCs w:val="24"/>
        </w:rPr>
        <w:t xml:space="preserve">Las marcas de agua permiten rastrear copias. El DRM limita quién accede al contenido y si puede copiarse o descargarse, y las MTP se apoyan en el artículo 11 del WCT (OMPI, 1996; UVEG, s.f.). Los controles DLP (</w:t>
      </w:r>
      <w:r>
        <w:rPr>
          <w:rFonts w:ascii="Arial" w:cs="Arial" w:eastAsia="Arial" w:hAnsi="Arial"/>
          <w:i/>
          <w:iCs/>
          <w:sz w:val="24"/>
          <w:szCs w:val="24"/>
        </w:rPr>
        <w:t xml:space="preserve">Data Loss Prevention</w:t>
      </w:r>
      <w:r>
        <w:rPr>
          <w:rFonts w:ascii="Arial" w:cs="Arial" w:eastAsia="Arial" w:hAnsi="Arial"/>
          <w:sz w:val="24"/>
          <w:szCs w:val="24"/>
        </w:rPr>
        <w:t xml:space="preserve">) bloquean la salida de información sensible por correo electrónico, dispositivos USB o servicios en la nube.</w:t>
      </w:r>
    </w:p>
    <w:p>
      <w:pPr>
        <w:spacing w:after="0" w:before="0" w:line="360" w:lineRule="auto"/>
        <w:ind w:firstLine="720"/>
        <w:jc w:val="both"/>
      </w:pPr>
      <w:r>
        <w:rPr>
          <w:rFonts w:ascii="Arial" w:cs="Arial" w:eastAsia="Arial" w:hAnsi="Arial"/>
          <w:sz w:val="24"/>
          <w:szCs w:val="24"/>
        </w:rPr>
        <w:t xml:space="preserve">Estos controles se apoyan en cinco políticas internas de una página sobre quién puede acceder, modificar o compartir documentos, diseños, bases de datos y código: acceso y uso compartido (con el mínimo privilegio del Reto 4), material de terceros, uso de IA, uso de la marca y confidencialidad.</w:t>
      </w:r>
    </w:p>
    <w:p>
      <w:pPr>
        <w:spacing w:after="0" w:before="0" w:line="360" w:lineRule="auto"/>
        <w:ind w:firstLine="720"/>
        <w:jc w:val="both"/>
      </w:pPr>
      <w:r>
        <w:rPr>
          <w:rFonts w:ascii="Arial" w:cs="Arial" w:eastAsia="Arial" w:hAnsi="Arial"/>
          <w:sz w:val="24"/>
          <w:szCs w:val="24"/>
        </w:rPr>
        <w:t xml:space="preserve">Los mecanismos legales completan esa protección. Cada material publicado lleva el aviso que exige la LFDA (2026, art. 17): “Derechos Reservados” o “D. R.”, el símbolo ©, el nombre y la dirección de la persona titular de los derechos y el año de la primera publicación (Uceda Carrillo, 2025). Si se desea compartir el material, se usa una licencia Creative Commons, por ejemplo CC BY-NC-ND (Creative Commons, s.f.). También propongo acuerdos de confidencialidad, cláusulas de PI en los contratos y acuerdos de licencia con las universidades de la RIUSS.</w:t>
      </w:r>
    </w:p>
    <w:p>
      <w:pPr>
        <w:spacing w:after="0" w:before="0" w:line="360" w:lineRule="auto"/>
        <w:ind w:firstLine="720"/>
        <w:jc w:val="both"/>
      </w:pPr>
      <w:r>
        <w:rPr>
          <w:rFonts w:ascii="Arial" w:cs="Arial" w:eastAsia="Arial" w:hAnsi="Arial"/>
          <w:sz w:val="24"/>
          <w:szCs w:val="24"/>
        </w:rPr>
        <w:t xml:space="preserve">Registrar la obra facilita la prueba en una controversia, pero las plataformas privadas de depósito solo acreditan la fecha, no la autoría. Los derechos de una marca, en cambio, nacen con el registro, y confiar en la notoriedad de una marca no registrada constituye una práctica de alto riesgo (Uceda Carrillo, 2025).</w:t>
      </w:r>
    </w:p>
    <w:p>
      <w:pPr>
        <w:spacing w:after="0" w:before="0" w:line="360" w:lineRule="auto"/>
        <w:ind w:firstLine="720"/>
        <w:jc w:val="both"/>
      </w:pPr>
      <w:r>
        <w:rPr>
          <w:rFonts w:ascii="Arial" w:cs="Arial" w:eastAsia="Arial" w:hAnsi="Arial"/>
          <w:sz w:val="24"/>
          <w:szCs w:val="24"/>
        </w:rPr>
        <w:t xml:space="preserve">Para proteger las marcas, revisaré al menos una vez al mes la Gaceta de la Propiedad Industrial del IMPI, equivalente al boletín oficial que Uceda Carrillo (2025) recomienda vigilar en España, así como las redes y los dominios similares al del CIESS. Para mitigar el </w:t>
      </w:r>
      <w:r>
        <w:rPr>
          <w:rFonts w:ascii="Arial" w:cs="Arial" w:eastAsia="Arial" w:hAnsi="Arial"/>
          <w:i/>
          <w:iCs/>
          <w:sz w:val="24"/>
          <w:szCs w:val="24"/>
        </w:rPr>
        <w:t xml:space="preserve">phishing</w:t>
      </w:r>
      <w:r>
        <w:rPr>
          <w:rFonts w:ascii="Arial" w:cs="Arial" w:eastAsia="Arial" w:hAnsi="Arial"/>
          <w:sz w:val="24"/>
          <w:szCs w:val="24"/>
        </w:rPr>
        <w:t xml:space="preserve"> y la suplantación de identidad, propongo autenticar el correo institucional (protocolos SPF, DKIM y DMARC), mantener cuentas oficiales verificadas y conservar evidencia para solicitar el retiro del contenido a la plataforma o al registrador. Los costos de registro deben cotizarse con las tarifas vigentes del IMPI y de INDAUTOR, porque no se dispone de cifras confirmadas.</w:t>
      </w:r>
    </w:p>
    <w:p>
      <w:pPr>
        <w:pStyle w:val="Heading3"/>
        <w:keepNext/>
        <w:spacing w:after="0" w:before="120" w:line="360" w:lineRule="auto"/>
        <w:jc w:val="left"/>
      </w:pPr>
      <w:r>
        <w:rPr>
          <w:rFonts w:ascii="Arial" w:cs="Arial" w:eastAsia="Arial" w:hAnsi="Arial"/>
          <w:b/>
          <w:bCs/>
          <w:i/>
          <w:iCs/>
          <w:color w:val="000000"/>
          <w:sz w:val="24"/>
          <w:szCs w:val="24"/>
        </w:rPr>
        <w:t xml:space="preserve">6.3 Control del uso de propiedad intelectual de terceros</w:t>
      </w:r>
    </w:p>
    <w:p>
      <w:pPr>
        <w:spacing w:after="0" w:before="0" w:line="360" w:lineRule="auto"/>
        <w:ind w:firstLine="720"/>
        <w:jc w:val="both"/>
      </w:pPr>
      <w:r>
        <w:rPr>
          <w:rFonts w:ascii="Arial" w:cs="Arial" w:eastAsia="Arial" w:hAnsi="Arial"/>
          <w:sz w:val="24"/>
          <w:szCs w:val="24"/>
        </w:rPr>
        <w:t xml:space="preserve">La Tabla 8 reúne los riesgos de que el CIESS use PI de otras personas sin permiso.</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420"/>
        <w:gridCol w:w="1950"/>
        <w:gridCol w:w="760"/>
        <w:gridCol w:w="880"/>
        <w:gridCol w:w="960"/>
        <w:gridCol w:w="2860"/>
        <w:gridCol w:w="1008"/>
      </w:tblGrid>
      <w:tr>
        <w:trPr>
          <w:cantSplit/>
          <w:tblHeader/>
        </w:trPr>
        <w:tc>
          <w:tcPr>
            <w:tcW w:type="dxa" w:w="42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ID</w:t>
            </w:r>
          </w:p>
        </w:tc>
        <w:tc>
          <w:tcPr>
            <w:tcW w:type="dxa" w:w="195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Riesgo</w:t>
            </w:r>
          </w:p>
        </w:tc>
        <w:tc>
          <w:tcPr>
            <w:tcW w:type="dxa" w:w="76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Prob.</w:t>
            </w:r>
          </w:p>
        </w:tc>
        <w:tc>
          <w:tcPr>
            <w:tcW w:type="dxa" w:w="88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Impacto</w:t>
            </w:r>
          </w:p>
        </w:tc>
        <w:tc>
          <w:tcPr>
            <w:tcW w:type="dxa" w:w="96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Nivel</w:t>
            </w:r>
          </w:p>
        </w:tc>
        <w:tc>
          <w:tcPr>
            <w:tcW w:type="dxa" w:w="286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Control principal</w:t>
            </w:r>
          </w:p>
        </w:tc>
        <w:tc>
          <w:tcPr>
            <w:tcW w:type="dxa" w:w="1008"/>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Riesgo residual</w:t>
            </w:r>
          </w:p>
        </w:tc>
      </w:tr>
      <w:tr>
        <w:trPr>
          <w:cantSplit/>
        </w:trPr>
        <w:tc>
          <w:tcPr>
            <w:tcW w:type="dxa" w:w="4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B1</w:t>
            </w:r>
          </w:p>
        </w:tc>
        <w:tc>
          <w:tcPr>
            <w:tcW w:type="dxa" w:w="19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Imágenes, ilustraciones o videos tomados de internet o de redes sociales sin licencia</w:t>
            </w:r>
          </w:p>
        </w:tc>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Alta</w:t>
            </w:r>
          </w:p>
        </w:tc>
        <w:tc>
          <w:tcPr>
            <w:tcW w:type="dxa" w:w="8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Medio</w:t>
            </w:r>
          </w:p>
        </w:tc>
        <w:tc>
          <w:tcPr>
            <w:tcW w:type="dxa" w:w="9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Alto (6)</w:t>
            </w:r>
          </w:p>
        </w:tc>
        <w:tc>
          <w:tcPr>
            <w:tcW w:type="dxa" w:w="28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Inventario con fuente y licencia; solo bancos con licencia o material propio; revisión antes de publicar</w:t>
            </w:r>
          </w:p>
        </w:tc>
        <w:tc>
          <w:tcPr>
            <w:tcW w:type="dxa" w:w="100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Bajo (2)</w:t>
            </w:r>
          </w:p>
        </w:tc>
      </w:tr>
      <w:tr>
        <w:trPr>
          <w:cantSplit/>
        </w:trPr>
        <w:tc>
          <w:tcPr>
            <w:tcW w:type="dxa" w:w="4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B2</w:t>
            </w:r>
          </w:p>
        </w:tc>
        <w:tc>
          <w:tcPr>
            <w:tcW w:type="dxa" w:w="19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Fuentes tipográficas, música, íconos o plantillas con una licencia que no cubre el uso institucional</w:t>
            </w:r>
          </w:p>
        </w:tc>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Media</w:t>
            </w:r>
          </w:p>
        </w:tc>
        <w:tc>
          <w:tcPr>
            <w:tcW w:type="dxa" w:w="8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Medio</w:t>
            </w:r>
          </w:p>
        </w:tc>
        <w:tc>
          <w:tcPr>
            <w:tcW w:type="dxa" w:w="9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Medio (4)</w:t>
            </w:r>
          </w:p>
        </w:tc>
        <w:tc>
          <w:tcPr>
            <w:tcW w:type="dxa" w:w="28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Revisar la licencia al adquirir y guardar los comprobantes</w:t>
            </w:r>
          </w:p>
        </w:tc>
        <w:tc>
          <w:tcPr>
            <w:tcW w:type="dxa" w:w="100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Bajo (2)</w:t>
            </w:r>
          </w:p>
        </w:tc>
      </w:tr>
      <w:tr>
        <w:trPr>
          <w:cantSplit/>
        </w:trPr>
        <w:tc>
          <w:tcPr>
            <w:tcW w:type="dxa" w:w="4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B3</w:t>
            </w:r>
          </w:p>
        </w:tc>
        <w:tc>
          <w:tcPr>
            <w:tcW w:type="dxa" w:w="19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Software de terceros: incumplimiento de las condiciones de licencias de código abierto o uso de </w:t>
            </w:r>
            <w:r>
              <w:rPr>
                <w:rFonts w:ascii="Arial" w:cs="Arial" w:eastAsia="Arial" w:hAnsi="Arial"/>
                <w:i/>
                <w:iCs/>
                <w:sz w:val="18"/>
                <w:szCs w:val="18"/>
              </w:rPr>
              <w:t xml:space="preserve">plugins</w:t>
            </w:r>
            <w:r>
              <w:rPr>
                <w:rFonts w:ascii="Arial" w:cs="Arial" w:eastAsia="Arial" w:hAnsi="Arial"/>
                <w:sz w:val="18"/>
                <w:szCs w:val="18"/>
              </w:rPr>
              <w:t xml:space="preserve"> sin licencia</w:t>
            </w:r>
          </w:p>
        </w:tc>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Media</w:t>
            </w:r>
          </w:p>
        </w:tc>
        <w:tc>
          <w:tcPr>
            <w:tcW w:type="dxa" w:w="8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Medio</w:t>
            </w:r>
          </w:p>
        </w:tc>
        <w:tc>
          <w:tcPr>
            <w:tcW w:type="dxa" w:w="9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Medio (4)</w:t>
            </w:r>
          </w:p>
        </w:tc>
        <w:tc>
          <w:tcPr>
            <w:tcW w:type="dxa" w:w="28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Inventario de bibliotecas y licencias; uso exclusivo de repositorios oficiales; prohibición de software sin licencia</w:t>
            </w:r>
          </w:p>
        </w:tc>
        <w:tc>
          <w:tcPr>
            <w:tcW w:type="dxa" w:w="100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Bajo (2)</w:t>
            </w:r>
          </w:p>
        </w:tc>
      </w:tr>
      <w:tr>
        <w:trPr>
          <w:cantSplit/>
        </w:trPr>
        <w:tc>
          <w:tcPr>
            <w:tcW w:type="dxa" w:w="4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B4</w:t>
            </w:r>
          </w:p>
        </w:tc>
        <w:tc>
          <w:tcPr>
            <w:tcW w:type="dxa" w:w="19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Textos, tablas o datos de otras personas sin cita ni permiso en materiales académicos</w:t>
            </w:r>
          </w:p>
        </w:tc>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Media</w:t>
            </w:r>
          </w:p>
        </w:tc>
        <w:tc>
          <w:tcPr>
            <w:tcW w:type="dxa" w:w="8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Medio</w:t>
            </w:r>
          </w:p>
        </w:tc>
        <w:tc>
          <w:tcPr>
            <w:tcW w:type="dxa" w:w="9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Medio (4)</w:t>
            </w:r>
          </w:p>
        </w:tc>
        <w:tc>
          <w:tcPr>
            <w:tcW w:type="dxa" w:w="28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Citar con la fuente y pedir permiso si la parte tomada es importante (LFDA, 2026, art. 148); revisión editorial</w:t>
            </w:r>
          </w:p>
        </w:tc>
        <w:tc>
          <w:tcPr>
            <w:tcW w:type="dxa" w:w="100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Bajo (2)</w:t>
            </w:r>
          </w:p>
        </w:tc>
      </w:tr>
      <w:tr>
        <w:trPr>
          <w:cantSplit/>
        </w:trPr>
        <w:tc>
          <w:tcPr>
            <w:tcW w:type="dxa" w:w="4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B5</w:t>
            </w:r>
          </w:p>
        </w:tc>
        <w:tc>
          <w:tcPr>
            <w:tcW w:type="dxa" w:w="19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Grabar o publicar presentaciones, voz o imagen de ponentes y docentes sin autorización</w:t>
            </w:r>
          </w:p>
        </w:tc>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Media</w:t>
            </w:r>
          </w:p>
        </w:tc>
        <w:tc>
          <w:tcPr>
            <w:tcW w:type="dxa" w:w="8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Alto</w:t>
            </w:r>
          </w:p>
        </w:tc>
        <w:tc>
          <w:tcPr>
            <w:tcW w:type="dxa" w:w="9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Alto (6)</w:t>
            </w:r>
          </w:p>
        </w:tc>
        <w:tc>
          <w:tcPr>
            <w:tcW w:type="dxa" w:w="28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Formato de autorización firmado para obra, voz e imagen; retirar el contenido cuando la persona lo solicite</w:t>
            </w:r>
          </w:p>
        </w:tc>
        <w:tc>
          <w:tcPr>
            <w:tcW w:type="dxa" w:w="100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Medio (3)</w:t>
            </w:r>
          </w:p>
        </w:tc>
      </w:tr>
      <w:tr>
        <w:trPr>
          <w:cantSplit/>
        </w:trPr>
        <w:tc>
          <w:tcPr>
            <w:tcW w:type="dxa" w:w="4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B6</w:t>
            </w:r>
          </w:p>
        </w:tc>
        <w:tc>
          <w:tcPr>
            <w:tcW w:type="dxa" w:w="19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IA generativa que reproduce obras protegidas o se entrena con bases de datos sin licencia o con datos personales</w:t>
            </w:r>
          </w:p>
        </w:tc>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Media</w:t>
            </w:r>
          </w:p>
        </w:tc>
        <w:tc>
          <w:tcPr>
            <w:tcW w:type="dxa" w:w="8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Medio</w:t>
            </w:r>
          </w:p>
        </w:tc>
        <w:tc>
          <w:tcPr>
            <w:tcW w:type="dxa" w:w="9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Medio (4)</w:t>
            </w:r>
          </w:p>
        </w:tc>
        <w:tc>
          <w:tcPr>
            <w:tcW w:type="dxa" w:w="28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Política de uso de IA: revisión humana y prohibición de ingresar material ajeno o datos personales</w:t>
            </w:r>
          </w:p>
        </w:tc>
        <w:tc>
          <w:tcPr>
            <w:tcW w:type="dxa" w:w="100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Bajo (2)</w:t>
            </w:r>
          </w:p>
        </w:tc>
      </w:tr>
      <w:tr>
        <w:trPr>
          <w:cantSplit/>
        </w:trPr>
        <w:tc>
          <w:tcPr>
            <w:tcW w:type="dxa" w:w="4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B7</w:t>
            </w:r>
          </w:p>
        </w:tc>
        <w:tc>
          <w:tcPr>
            <w:tcW w:type="dxa" w:w="19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Licencias Creative Commons incumplidas: falta de atribución o uso comercial de material NC</w:t>
            </w:r>
          </w:p>
        </w:tc>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Media</w:t>
            </w:r>
          </w:p>
        </w:tc>
        <w:tc>
          <w:tcPr>
            <w:tcW w:type="dxa" w:w="8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Bajo</w:t>
            </w:r>
          </w:p>
        </w:tc>
        <w:tc>
          <w:tcPr>
            <w:tcW w:type="dxa" w:w="9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Bajo (2)</w:t>
            </w:r>
          </w:p>
        </w:tc>
        <w:tc>
          <w:tcPr>
            <w:tcW w:type="dxa" w:w="28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Guía de atribución y revisión de la condición NC</w:t>
            </w:r>
          </w:p>
        </w:tc>
        <w:tc>
          <w:tcPr>
            <w:tcW w:type="dxa" w:w="100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Bajo (1)</w:t>
            </w:r>
          </w:p>
        </w:tc>
      </w:tr>
      <w:tr>
        <w:trPr>
          <w:cantSplit/>
        </w:trPr>
        <w:tc>
          <w:tcPr>
            <w:tcW w:type="dxa" w:w="4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B8</w:t>
            </w:r>
          </w:p>
        </w:tc>
        <w:tc>
          <w:tcPr>
            <w:tcW w:type="dxa" w:w="19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Uso, para un curso o evento, de un nombre ya registrado por otra persona</w:t>
            </w:r>
          </w:p>
        </w:tc>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Baja</w:t>
            </w:r>
          </w:p>
        </w:tc>
        <w:tc>
          <w:tcPr>
            <w:tcW w:type="dxa" w:w="8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Alto</w:t>
            </w:r>
          </w:p>
        </w:tc>
        <w:tc>
          <w:tcPr>
            <w:tcW w:type="dxa" w:w="9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Medio (3)</w:t>
            </w:r>
          </w:p>
        </w:tc>
        <w:tc>
          <w:tcPr>
            <w:tcW w:type="dxa" w:w="28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Búsqueda de nombres registrados en el IMPI antes del lanzamiento</w:t>
            </w:r>
          </w:p>
        </w:tc>
        <w:tc>
          <w:tcPr>
            <w:tcW w:type="dxa" w:w="100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Bajo (2)</w:t>
            </w:r>
          </w:p>
        </w:tc>
      </w:tr>
    </w:tbl>
    <w:p>
      <w:pPr>
        <w:spacing w:after="80" w:before="80" w:line="240" w:lineRule="auto"/>
        <w:jc w:val="center"/>
      </w:pPr>
      <w:r>
        <w:rPr>
          <w:rFonts w:ascii="Arial" w:cs="Arial" w:eastAsia="Arial" w:hAnsi="Arial"/>
          <w:color w:val="7F7F7F"/>
          <w:sz w:val="16"/>
          <w:szCs w:val="16"/>
        </w:rPr>
        <w:t xml:space="preserve">Tabla 8. Riesgos de que el CIESS use propiedad intelectual de otras personas.</w:t>
      </w:r>
    </w:p>
    <w:p>
      <w:pPr>
        <w:spacing w:after="240" w:before="60" w:line="240" w:lineRule="auto"/>
      </w:pPr>
      <w:r>
        <w:rPr>
          <w:rFonts w:ascii="Arial" w:cs="Arial" w:eastAsia="Arial" w:hAnsi="Arial"/>
          <w:i/>
          <w:iCs/>
          <w:sz w:val="18"/>
          <w:szCs w:val="18"/>
        </w:rPr>
        <w:t xml:space="preserve">Nota.</w:t>
      </w:r>
      <w:r>
        <w:rPr>
          <w:rFonts w:ascii="Arial" w:cs="Arial" w:eastAsia="Arial" w:hAnsi="Arial"/>
          <w:sz w:val="18"/>
          <w:szCs w:val="18"/>
        </w:rPr>
        <w:t xml:space="preserve"> Prob. = probabilidad. Los valores entre paréntesis son el producto de probabilidad por impacto. Elaboración propia con base en la Lección 10 (UVEG, s.f.), Uceda Carrillo (2025), Bernal Guzmán (2025) y la LFDA (2026).</w:t>
      </w:r>
    </w:p>
    <w:p>
      <w:pPr>
        <w:spacing w:after="0" w:before="0" w:line="360" w:lineRule="auto"/>
        <w:ind w:firstLine="720"/>
        <w:jc w:val="both"/>
      </w:pPr>
      <w:r>
        <w:rPr>
          <w:rFonts w:ascii="Arial" w:cs="Arial" w:eastAsia="Arial" w:hAnsi="Arial"/>
          <w:sz w:val="24"/>
          <w:szCs w:val="24"/>
        </w:rPr>
        <w:t xml:space="preserve">El control principal es el inventario: un listado de cada imagen, tipografía, música, </w:t>
      </w:r>
      <w:r>
        <w:rPr>
          <w:rFonts w:ascii="Arial" w:cs="Arial" w:eastAsia="Arial" w:hAnsi="Arial"/>
          <w:i/>
          <w:iCs/>
          <w:sz w:val="24"/>
          <w:szCs w:val="24"/>
        </w:rPr>
        <w:t xml:space="preserve">plugin</w:t>
      </w:r>
      <w:r>
        <w:rPr>
          <w:rFonts w:ascii="Arial" w:cs="Arial" w:eastAsia="Arial" w:hAnsi="Arial"/>
          <w:sz w:val="24"/>
          <w:szCs w:val="24"/>
        </w:rPr>
        <w:t xml:space="preserve"> y biblioteca de código, con su origen, su licencia y la persona que autorizó su uso. Con base en él, rige una regla: ningún material se publica sin haber verificado su origen. Para textos se cita indicando la fuente y sin sustituir la obra, porque México no tiene un “uso justo” abierto (LFDA, 2026, art. 148), y para imágenes, tablas y videos se solicita autorización o licencia. Para Creative Commons se otorga la atribución (título, autoría, fuente y licencia) y se verifica si la condición NC impide su uso en cursos de pago (Creative Commons, s.f.).</w:t>
      </w:r>
    </w:p>
    <w:p>
      <w:pPr>
        <w:spacing w:after="0" w:before="0" w:line="360" w:lineRule="auto"/>
        <w:ind w:firstLine="720"/>
        <w:jc w:val="both"/>
      </w:pPr>
      <w:r>
        <w:rPr>
          <w:rFonts w:ascii="Arial" w:cs="Arial" w:eastAsia="Arial" w:hAnsi="Arial"/>
          <w:sz w:val="24"/>
          <w:szCs w:val="24"/>
        </w:rPr>
        <w:t xml:space="preserve">Antes de grabar o publicar la participación de ponentes y docentes, se firma un formato de autorización que cubra la obra, la voz y la imagen (LFDA, 2026, art. 87; LFPDPPP, 2025). Como el CIESS ya usa asistentes de IA para programar (apartado 8), la política de uso de IA exigirá revisar lo que estos generan, no ingresar material ajeno ni datos personales y no usar bases de datos sin licencia para entrenar los sistemas de IA, aspecto que Bernal Guzmán (2025) señala como un reto que la normativa actual aún no resuelve.</w:t>
      </w:r>
    </w:p>
    <w:p>
      <w:pPr>
        <w:pStyle w:val="Heading3"/>
        <w:keepNext/>
        <w:spacing w:after="0" w:before="120" w:line="360" w:lineRule="auto"/>
        <w:jc w:val="left"/>
      </w:pPr>
      <w:r>
        <w:rPr>
          <w:rFonts w:ascii="Arial" w:cs="Arial" w:eastAsia="Arial" w:hAnsi="Arial"/>
          <w:b/>
          <w:bCs/>
          <w:i/>
          <w:iCs/>
          <w:color w:val="000000"/>
          <w:sz w:val="24"/>
          <w:szCs w:val="24"/>
        </w:rPr>
        <w:t xml:space="preserve">6.4 Respuesta ante incidentes</w:t>
      </w:r>
    </w:p>
    <w:p>
      <w:pPr>
        <w:spacing w:after="0" w:before="0" w:line="360" w:lineRule="auto"/>
        <w:ind w:firstLine="720"/>
        <w:jc w:val="both"/>
      </w:pPr>
      <w:r>
        <w:rPr>
          <w:rFonts w:ascii="Arial" w:cs="Arial" w:eastAsia="Arial" w:hAnsi="Arial"/>
          <w:sz w:val="24"/>
          <w:szCs w:val="24"/>
        </w:rPr>
        <w:t xml:space="preserve">Si detecto que un tercero utiliza material del CIESS sin autorización, seguiré estos pasos:</w:t>
      </w:r>
    </w:p>
    <w:p>
      <w:pPr>
        <w:pStyle w:val="ListParagraph"/>
        <w:numPr>
          <w:ilvl w:val="0"/>
          <w:numId w:val="3"/>
        </w:numPr>
        <w:spacing w:after="0" w:before="0" w:line="360" w:lineRule="auto"/>
        <w:jc w:val="both"/>
      </w:pPr>
      <w:r>
        <w:rPr>
          <w:rFonts w:ascii="Arial" w:cs="Arial" w:eastAsia="Arial" w:hAnsi="Arial"/>
          <w:sz w:val="24"/>
          <w:szCs w:val="24"/>
        </w:rPr>
        <w:t xml:space="preserve">Guardar evidencia: capturas con fecha, dirección y descripción.</w:t>
      </w:r>
    </w:p>
    <w:p>
      <w:pPr>
        <w:pStyle w:val="ListParagraph"/>
        <w:numPr>
          <w:ilvl w:val="0"/>
          <w:numId w:val="3"/>
        </w:numPr>
        <w:spacing w:after="0" w:before="0" w:line="360" w:lineRule="auto"/>
        <w:jc w:val="both"/>
      </w:pPr>
      <w:r>
        <w:rPr>
          <w:rFonts w:ascii="Arial" w:cs="Arial" w:eastAsia="Arial" w:hAnsi="Arial"/>
          <w:sz w:val="24"/>
          <w:szCs w:val="24"/>
        </w:rPr>
        <w:t xml:space="preserve">Informar a la persona responsable de PI y al área jurídica.</w:t>
      </w:r>
    </w:p>
    <w:p>
      <w:pPr>
        <w:pStyle w:val="ListParagraph"/>
        <w:numPr>
          <w:ilvl w:val="0"/>
          <w:numId w:val="3"/>
        </w:numPr>
        <w:spacing w:after="0" w:before="0" w:line="360" w:lineRule="auto"/>
        <w:jc w:val="both"/>
      </w:pPr>
      <w:r>
        <w:rPr>
          <w:rFonts w:ascii="Arial" w:cs="Arial" w:eastAsia="Arial" w:hAnsi="Arial"/>
          <w:sz w:val="24"/>
          <w:szCs w:val="24"/>
        </w:rPr>
        <w:t xml:space="preserve">Enviar una carta certificada con acuse de recibo, o un aviso de cese, a quien lo publicó y pedir el retiro a la plataforma (Uceda Carrillo, 2025).</w:t>
      </w:r>
    </w:p>
    <w:p>
      <w:pPr>
        <w:pStyle w:val="ListParagraph"/>
        <w:numPr>
          <w:ilvl w:val="0"/>
          <w:numId w:val="3"/>
        </w:numPr>
        <w:spacing w:after="0" w:before="0" w:line="360" w:lineRule="auto"/>
        <w:jc w:val="both"/>
      </w:pPr>
      <w:r>
        <w:rPr>
          <w:rFonts w:ascii="Arial" w:cs="Arial" w:eastAsia="Arial" w:hAnsi="Arial"/>
          <w:sz w:val="24"/>
          <w:szCs w:val="24"/>
        </w:rPr>
        <w:t xml:space="preserve">Si no hay respuesta, valorar con el área jurídica la mediación, el arbitraje o los tribunales (Uceda Carrillo, 2025), o una vía administrativa ante el IMPI o INDAUTOR (LFPPI, 2026; LFDA, 2026).</w:t>
      </w:r>
    </w:p>
    <w:p>
      <w:pPr>
        <w:spacing w:after="0" w:before="0" w:line="360" w:lineRule="auto"/>
        <w:ind w:firstLine="720"/>
        <w:jc w:val="both"/>
      </w:pPr>
      <w:r>
        <w:rPr>
          <w:rFonts w:ascii="Arial" w:cs="Arial" w:eastAsia="Arial" w:hAnsi="Arial"/>
          <w:sz w:val="24"/>
          <w:szCs w:val="24"/>
        </w:rPr>
        <w:t xml:space="preserve">Si el CIESS recibe una reclamación, el procedimiento es inverso: retirar de inmediato el contenido señalado, revisar la licencia o la cesión que lo respalda, responder por escrito con apoyo jurídico y corregir el inventario.</w:t>
      </w:r>
    </w:p>
    <w:p>
      <w:pPr>
        <w:pStyle w:val="Heading2"/>
        <w:keepNext/>
        <w:spacing w:after="0" w:before="160" w:line="360" w:lineRule="auto"/>
        <w:jc w:val="left"/>
      </w:pPr>
      <w:r>
        <w:rPr>
          <w:rFonts w:ascii="Arial" w:cs="Arial" w:eastAsia="Arial" w:hAnsi="Arial"/>
          <w:b/>
          <w:bCs/>
          <w:color w:val="000000"/>
          <w:sz w:val="24"/>
          <w:szCs w:val="24"/>
        </w:rPr>
        <w:t xml:space="preserve">7. Gestión del plan</w:t>
      </w:r>
    </w:p>
    <w:p>
      <w:pPr>
        <w:pStyle w:val="Heading3"/>
        <w:keepNext/>
        <w:spacing w:after="0" w:before="120" w:line="360" w:lineRule="auto"/>
        <w:jc w:val="left"/>
      </w:pPr>
      <w:r>
        <w:rPr>
          <w:rFonts w:ascii="Arial" w:cs="Arial" w:eastAsia="Arial" w:hAnsi="Arial"/>
          <w:b/>
          <w:bCs/>
          <w:i/>
          <w:iCs/>
          <w:color w:val="000000"/>
          <w:sz w:val="24"/>
          <w:szCs w:val="24"/>
        </w:rPr>
        <w:t xml:space="preserve">7.1 Responsables, plazos e indicadores</w:t>
      </w:r>
    </w:p>
    <w:p>
      <w:pPr>
        <w:spacing w:after="0" w:before="0" w:line="360" w:lineRule="auto"/>
        <w:ind w:firstLine="720"/>
        <w:jc w:val="both"/>
      </w:pPr>
      <w:r>
        <w:rPr>
          <w:rFonts w:ascii="Arial" w:cs="Arial" w:eastAsia="Arial" w:hAnsi="Arial"/>
          <w:sz w:val="24"/>
          <w:szCs w:val="24"/>
        </w:rPr>
        <w:t xml:space="preserve">La Tabla 9 asigna a cada riesgo un responsable, un plazo en meses desde la aprobación del plan y un indicador. Las personas responsables son la Dirección, que aprueba políticas y presupuesto; yo, como responsable de PI; el área jurídica, que revisa contratos y formatos; y los responsables de cada área, que piden autorización y licencia antes de publicar material de terceros.</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760"/>
        <w:gridCol w:w="2600"/>
        <w:gridCol w:w="1500"/>
        <w:gridCol w:w="3978"/>
      </w:tblGrid>
      <w:tr>
        <w:trPr>
          <w:cantSplit/>
          <w:tblHeader/>
        </w:trPr>
        <w:tc>
          <w:tcPr>
            <w:tcW w:type="dxa" w:w="76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ID</w:t>
            </w:r>
          </w:p>
        </w:tc>
        <w:tc>
          <w:tcPr>
            <w:tcW w:type="dxa" w:w="26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Responsable</w:t>
            </w:r>
          </w:p>
        </w:tc>
        <w:tc>
          <w:tcPr>
            <w:tcW w:type="dxa" w:w="15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Plazo</w:t>
            </w:r>
          </w:p>
        </w:tc>
        <w:tc>
          <w:tcPr>
            <w:tcW w:type="dxa" w:w="3978"/>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Indicador</w:t>
            </w:r>
          </w:p>
        </w:tc>
      </w:tr>
      <w:tr>
        <w:trPr>
          <w:cantSplit/>
        </w:trPr>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A1</w:t>
            </w:r>
          </w:p>
        </w:tc>
        <w:tc>
          <w:tcPr>
            <w:tcW w:type="dxa" w:w="26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Yo, como responsable de PI</w:t>
            </w:r>
          </w:p>
        </w:tc>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Mes 3</w:t>
            </w:r>
          </w:p>
        </w:tc>
        <w:tc>
          <w:tcPr>
            <w:tcW w:type="dxa" w:w="39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100 % de los materiales nuevos con aviso de derechos o licencia</w:t>
            </w:r>
          </w:p>
        </w:tc>
      </w:tr>
      <w:tr>
        <w:trPr>
          <w:cantSplit/>
        </w:trPr>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A2</w:t>
            </w:r>
          </w:p>
        </w:tc>
        <w:tc>
          <w:tcPr>
            <w:tcW w:type="dxa" w:w="26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Yo, con el área jurídica</w:t>
            </w:r>
          </w:p>
        </w:tc>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Mes 5</w:t>
            </w:r>
          </w:p>
        </w:tc>
        <w:tc>
          <w:tcPr>
            <w:tcW w:type="dxa" w:w="39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Estatus de las marcas conocido; una revisión mensual de la Gaceta del IMPI y de las redes</w:t>
            </w:r>
          </w:p>
        </w:tc>
      </w:tr>
      <w:tr>
        <w:trPr>
          <w:cantSplit/>
        </w:trPr>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A3</w:t>
            </w:r>
          </w:p>
        </w:tc>
        <w:tc>
          <w:tcPr>
            <w:tcW w:type="dxa" w:w="26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Yo y la segunda persona administradora</w:t>
            </w:r>
          </w:p>
        </w:tc>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Mes 4</w:t>
            </w:r>
          </w:p>
        </w:tc>
        <w:tc>
          <w:tcPr>
            <w:tcW w:type="dxa" w:w="39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Cero envíos de código o bases a cuentas externas no autorizadas detectados por las reglas DLP; accesos revisados cada trimestre</w:t>
            </w:r>
          </w:p>
        </w:tc>
      </w:tr>
      <w:tr>
        <w:trPr>
          <w:cantSplit/>
        </w:trPr>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A4</w:t>
            </w:r>
          </w:p>
        </w:tc>
        <w:tc>
          <w:tcPr>
            <w:tcW w:type="dxa" w:w="26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Área jurídica y Dirección</w:t>
            </w:r>
          </w:p>
        </w:tc>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Mes 4</w:t>
            </w:r>
          </w:p>
        </w:tc>
        <w:tc>
          <w:tcPr>
            <w:tcW w:type="dxa" w:w="39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100 % de los contratos nuevos con cláusula de derechos; los vigentes del logotipo, el sistema de registro y el campus, regularizados en el mes 4, y el resto, al renovarse</w:t>
            </w:r>
          </w:p>
        </w:tc>
      </w:tr>
      <w:tr>
        <w:trPr>
          <w:cantSplit/>
        </w:trPr>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A5</w:t>
            </w:r>
          </w:p>
        </w:tc>
        <w:tc>
          <w:tcPr>
            <w:tcW w:type="dxa" w:w="26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Yo</w:t>
            </w:r>
          </w:p>
        </w:tc>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Mes 3</w:t>
            </w:r>
          </w:p>
        </w:tc>
        <w:tc>
          <w:tcPr>
            <w:tcW w:type="dxa" w:w="39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Expediente de creación del logotipo, del sistema de registro y de tres materiales clave</w:t>
            </w:r>
          </w:p>
        </w:tc>
      </w:tr>
      <w:tr>
        <w:trPr>
          <w:cantSplit/>
        </w:trPr>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A6</w:t>
            </w:r>
          </w:p>
        </w:tc>
        <w:tc>
          <w:tcPr>
            <w:tcW w:type="dxa" w:w="26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Dirección</w:t>
            </w:r>
          </w:p>
        </w:tc>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Mes 5</w:t>
            </w:r>
          </w:p>
        </w:tc>
        <w:tc>
          <w:tcPr>
            <w:tcW w:type="dxa" w:w="39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Decisión por escrito sobre el registro de marcas en otros países</w:t>
            </w:r>
          </w:p>
        </w:tc>
      </w:tr>
      <w:tr>
        <w:trPr>
          <w:cantSplit/>
        </w:trPr>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A7 y B6</w:t>
            </w:r>
          </w:p>
        </w:tc>
        <w:tc>
          <w:tcPr>
            <w:tcW w:type="dxa" w:w="26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Responsables de área, con mi apoyo</w:t>
            </w:r>
          </w:p>
        </w:tc>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Mes 5</w:t>
            </w:r>
          </w:p>
        </w:tc>
        <w:tc>
          <w:tcPr>
            <w:tcW w:type="dxa" w:w="39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Política de uso de IA aprobada y conocida por el equipo</w:t>
            </w:r>
          </w:p>
        </w:tc>
      </w:tr>
      <w:tr>
        <w:trPr>
          <w:cantSplit/>
        </w:trPr>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B1</w:t>
            </w:r>
          </w:p>
        </w:tc>
        <w:tc>
          <w:tcPr>
            <w:tcW w:type="dxa" w:w="26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Yo, con los responsables de área</w:t>
            </w:r>
          </w:p>
        </w:tc>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Mes 2 (imágenes nuevas) y mes 4 (ya publicadas)</w:t>
            </w:r>
          </w:p>
        </w:tc>
        <w:tc>
          <w:tcPr>
            <w:tcW w:type="dxa" w:w="39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100 % de las imágenes nuevas con origen y licencia desde el mes 2; al menos 80 % de las ya publicadas en el mes 4, y el resto se sustituye o se retira</w:t>
            </w:r>
          </w:p>
        </w:tc>
      </w:tr>
      <w:tr>
        <w:trPr>
          <w:cantSplit/>
        </w:trPr>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B2 y B3</w:t>
            </w:r>
          </w:p>
        </w:tc>
        <w:tc>
          <w:tcPr>
            <w:tcW w:type="dxa" w:w="26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Yo</w:t>
            </w:r>
          </w:p>
        </w:tc>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Mes 4</w:t>
            </w:r>
          </w:p>
        </w:tc>
        <w:tc>
          <w:tcPr>
            <w:tcW w:type="dxa" w:w="39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Inventario de fuentes, música, plantillas, bibliotecas y </w:t>
            </w:r>
            <w:r>
              <w:rPr>
                <w:rFonts w:ascii="Arial" w:cs="Arial" w:eastAsia="Arial" w:hAnsi="Arial"/>
                <w:i/>
                <w:iCs/>
                <w:sz w:val="18"/>
                <w:szCs w:val="18"/>
              </w:rPr>
              <w:t xml:space="preserve">plugins</w:t>
            </w:r>
            <w:r>
              <w:rPr>
                <w:rFonts w:ascii="Arial" w:cs="Arial" w:eastAsia="Arial" w:hAnsi="Arial"/>
                <w:sz w:val="18"/>
                <w:szCs w:val="18"/>
              </w:rPr>
              <w:t xml:space="preserve"> con su licencia</w:t>
            </w:r>
          </w:p>
        </w:tc>
      </w:tr>
      <w:tr>
        <w:trPr>
          <w:cantSplit/>
        </w:trPr>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B4 y B7</w:t>
            </w:r>
          </w:p>
        </w:tc>
        <w:tc>
          <w:tcPr>
            <w:tcW w:type="dxa" w:w="26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Responsables editoriales</w:t>
            </w:r>
          </w:p>
        </w:tc>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Mes 4</w:t>
            </w:r>
          </w:p>
        </w:tc>
        <w:tc>
          <w:tcPr>
            <w:tcW w:type="dxa" w:w="39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Guía de atribución publicada y citas revisadas en el 100 % de los materiales nuevos</w:t>
            </w:r>
          </w:p>
        </w:tc>
      </w:tr>
      <w:tr>
        <w:trPr>
          <w:cantSplit/>
        </w:trPr>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B5</w:t>
            </w:r>
          </w:p>
        </w:tc>
        <w:tc>
          <w:tcPr>
            <w:tcW w:type="dxa" w:w="26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Responsables de área</w:t>
            </w:r>
          </w:p>
        </w:tc>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Mes 4</w:t>
            </w:r>
          </w:p>
        </w:tc>
        <w:tc>
          <w:tcPr>
            <w:tcW w:type="dxa" w:w="39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100 % de ponentes y docentes con formato firmado antes de grabar</w:t>
            </w:r>
          </w:p>
        </w:tc>
      </w:tr>
      <w:tr>
        <w:trPr>
          <w:cantSplit/>
        </w:trPr>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B8</w:t>
            </w:r>
          </w:p>
        </w:tc>
        <w:tc>
          <w:tcPr>
            <w:tcW w:type="dxa" w:w="26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Yo</w:t>
            </w:r>
          </w:p>
        </w:tc>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Antes de cada lanzamiento</w:t>
            </w:r>
          </w:p>
        </w:tc>
        <w:tc>
          <w:tcPr>
            <w:tcW w:type="dxa" w:w="39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100 % de los nombres nuevos buscados en el IMPI</w:t>
            </w:r>
          </w:p>
        </w:tc>
      </w:tr>
    </w:tbl>
    <w:p>
      <w:pPr>
        <w:spacing w:after="80" w:before="80" w:line="240" w:lineRule="auto"/>
        <w:jc w:val="center"/>
      </w:pPr>
      <w:r>
        <w:rPr>
          <w:rFonts w:ascii="Arial" w:cs="Arial" w:eastAsia="Arial" w:hAnsi="Arial"/>
          <w:color w:val="7F7F7F"/>
          <w:sz w:val="16"/>
          <w:szCs w:val="16"/>
        </w:rPr>
        <w:t xml:space="preserve">Tabla 9. Responsables, plazos e indicadores por riesgo.</w:t>
      </w:r>
    </w:p>
    <w:p>
      <w:pPr>
        <w:spacing w:after="240" w:before="60" w:line="240" w:lineRule="auto"/>
      </w:pPr>
      <w:r>
        <w:rPr>
          <w:rFonts w:ascii="Arial" w:cs="Arial" w:eastAsia="Arial" w:hAnsi="Arial"/>
          <w:i/>
          <w:iCs/>
          <w:sz w:val="18"/>
          <w:szCs w:val="18"/>
        </w:rPr>
        <w:t xml:space="preserve">Nota.</w:t>
      </w:r>
      <w:r>
        <w:rPr>
          <w:rFonts w:ascii="Arial" w:cs="Arial" w:eastAsia="Arial" w:hAnsi="Arial"/>
          <w:sz w:val="18"/>
          <w:szCs w:val="18"/>
        </w:rPr>
        <w:t xml:space="preserve"> Elaboración propia. El mes 1 empieza cuando la Dirección aprueba el plan.</w:t>
      </w:r>
    </w:p>
    <w:p>
      <w:pPr>
        <w:spacing w:after="0" w:before="0" w:line="360" w:lineRule="auto"/>
        <w:ind w:firstLine="720"/>
        <w:jc w:val="both"/>
      </w:pPr>
      <w:r>
        <w:rPr>
          <w:rFonts w:ascii="Arial" w:cs="Arial" w:eastAsia="Arial" w:hAnsi="Arial"/>
          <w:sz w:val="24"/>
          <w:szCs w:val="24"/>
        </w:rPr>
        <w:t xml:space="preserve">Al final del mes 6 evaluaré el resultado general: los riesgos A2, A4, B1 y B5, que actualmente se clasifican como altos, deben reducirse a nivel medio o bajo, conforme a la columna de riesgo residual.</w:t>
      </w:r>
    </w:p>
    <w:p>
      <w:pPr>
        <w:pStyle w:val="Heading3"/>
        <w:keepNext/>
        <w:spacing w:after="0" w:before="120" w:line="360" w:lineRule="auto"/>
        <w:jc w:val="left"/>
      </w:pPr>
      <w:r>
        <w:rPr>
          <w:rFonts w:ascii="Arial" w:cs="Arial" w:eastAsia="Arial" w:hAnsi="Arial"/>
          <w:b/>
          <w:bCs/>
          <w:i/>
          <w:iCs/>
          <w:color w:val="000000"/>
          <w:sz w:val="24"/>
          <w:szCs w:val="24"/>
        </w:rPr>
        <w:t xml:space="preserve">7.2 Cronograma</w:t>
      </w:r>
    </w:p>
    <w:p>
      <w:pPr>
        <w:spacing w:after="0" w:before="0" w:line="360" w:lineRule="auto"/>
        <w:ind w:firstLine="720"/>
        <w:jc w:val="both"/>
      </w:pPr>
      <w:r>
        <w:rPr>
          <w:rFonts w:ascii="Arial" w:cs="Arial" w:eastAsia="Arial" w:hAnsi="Arial"/>
          <w:sz w:val="24"/>
          <w:szCs w:val="24"/>
        </w:rPr>
        <w:t xml:space="preserve">El plan dura 6 meses y comienza con el inventario (mes 1) y con los formatos y contratos (desde el mes 2), que constituyen la base de las demás actividades (Tabla 10). Después del mes 6 mantendré tres revisiones: cada mes, la vigilancia de usos indebidos y de la Gaceta del IMPI; cada tres meses, el inventario y las licencias próximas a vencer; y cada año, las renovaciones (las marcas tienen una vigencia de 10 años) y la matriz de riesgos.</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4998"/>
        <w:gridCol w:w="640"/>
        <w:gridCol w:w="640"/>
        <w:gridCol w:w="640"/>
        <w:gridCol w:w="640"/>
        <w:gridCol w:w="640"/>
        <w:gridCol w:w="640"/>
      </w:tblGrid>
      <w:tr>
        <w:trPr>
          <w:cantSplit/>
          <w:tblHeader/>
        </w:trPr>
        <w:tc>
          <w:tcPr>
            <w:tcW w:type="dxa" w:w="4998"/>
            <w:tcBorders>
              <w:top w:val="single" w:color="7F7F7F" w:sz="4"/>
              <w:left w:val="single" w:color="7F7F7F" w:sz="4"/>
              <w:bottom w:val="single" w:color="7F7F7F" w:sz="4"/>
              <w:right w:val="single" w:color="7F7F7F" w:sz="4"/>
            </w:tcBorders>
            <w:shd w:fill="D9E2F3" w:color="auto" w:val="clear"/>
            <w:tcMar>
              <w:top w:type="dxa" w:w="40"/>
              <w:left w:type="dxa" w:w="60"/>
              <w:bottom w:type="dxa" w:w="40"/>
              <w:right w:type="dxa" w:w="60"/>
            </w:tcMar>
            <w:vAlign w:val="center"/>
          </w:tcPr>
          <w:p>
            <w:pPr>
              <w:keepNext w:val="false"/>
              <w:spacing w:after="40" w:before="40" w:line="240" w:lineRule="auto"/>
              <w:jc w:val="left"/>
            </w:pPr>
            <w:r>
              <w:rPr>
                <w:rFonts w:ascii="Arial" w:cs="Arial" w:eastAsia="Arial" w:hAnsi="Arial"/>
                <w:b/>
                <w:bCs/>
                <w:sz w:val="18"/>
                <w:szCs w:val="18"/>
              </w:rPr>
              <w:t xml:space="preserve">Actividad (mes)</w:t>
            </w:r>
          </w:p>
        </w:tc>
        <w:tc>
          <w:tcPr>
            <w:tcW w:type="dxa" w:w="640"/>
            <w:tcBorders>
              <w:top w:val="single" w:color="7F7F7F" w:sz="4"/>
              <w:left w:val="single" w:color="7F7F7F" w:sz="4"/>
              <w:bottom w:val="single" w:color="7F7F7F" w:sz="4"/>
              <w:right w:val="single" w:color="7F7F7F" w:sz="4"/>
            </w:tcBorders>
            <w:shd w:fill="D9E2F3" w:color="auto" w:val="clear"/>
            <w:tcMar>
              <w:top w:type="dxa" w:w="40"/>
              <w:left w:type="dxa" w:w="60"/>
              <w:bottom w:type="dxa" w:w="40"/>
              <w:right w:type="dxa" w:w="60"/>
            </w:tcMar>
            <w:vAlign w:val="center"/>
          </w:tcPr>
          <w:p>
            <w:pPr>
              <w:keepNext w:val="false"/>
              <w:spacing w:after="40" w:before="40" w:line="240" w:lineRule="auto"/>
              <w:jc w:val="center"/>
            </w:pPr>
            <w:r>
              <w:rPr>
                <w:rFonts w:ascii="Arial" w:cs="Arial" w:eastAsia="Arial" w:hAnsi="Arial"/>
                <w:b/>
                <w:bCs/>
                <w:sz w:val="18"/>
                <w:szCs w:val="18"/>
              </w:rPr>
              <w:t xml:space="preserve">1</w:t>
            </w:r>
          </w:p>
        </w:tc>
        <w:tc>
          <w:tcPr>
            <w:tcW w:type="dxa" w:w="640"/>
            <w:tcBorders>
              <w:top w:val="single" w:color="7F7F7F" w:sz="4"/>
              <w:left w:val="single" w:color="7F7F7F" w:sz="4"/>
              <w:bottom w:val="single" w:color="7F7F7F" w:sz="4"/>
              <w:right w:val="single" w:color="7F7F7F" w:sz="4"/>
            </w:tcBorders>
            <w:shd w:fill="D9E2F3" w:color="auto" w:val="clear"/>
            <w:tcMar>
              <w:top w:type="dxa" w:w="40"/>
              <w:left w:type="dxa" w:w="60"/>
              <w:bottom w:type="dxa" w:w="40"/>
              <w:right w:type="dxa" w:w="60"/>
            </w:tcMar>
            <w:vAlign w:val="center"/>
          </w:tcPr>
          <w:p>
            <w:pPr>
              <w:keepNext w:val="false"/>
              <w:spacing w:after="40" w:before="40" w:line="240" w:lineRule="auto"/>
              <w:jc w:val="center"/>
            </w:pPr>
            <w:r>
              <w:rPr>
                <w:rFonts w:ascii="Arial" w:cs="Arial" w:eastAsia="Arial" w:hAnsi="Arial"/>
                <w:b/>
                <w:bCs/>
                <w:sz w:val="18"/>
                <w:szCs w:val="18"/>
              </w:rPr>
              <w:t xml:space="preserve">2</w:t>
            </w:r>
          </w:p>
        </w:tc>
        <w:tc>
          <w:tcPr>
            <w:tcW w:type="dxa" w:w="640"/>
            <w:tcBorders>
              <w:top w:val="single" w:color="7F7F7F" w:sz="4"/>
              <w:left w:val="single" w:color="7F7F7F" w:sz="4"/>
              <w:bottom w:val="single" w:color="7F7F7F" w:sz="4"/>
              <w:right w:val="single" w:color="7F7F7F" w:sz="4"/>
            </w:tcBorders>
            <w:shd w:fill="D9E2F3" w:color="auto" w:val="clear"/>
            <w:tcMar>
              <w:top w:type="dxa" w:w="40"/>
              <w:left w:type="dxa" w:w="60"/>
              <w:bottom w:type="dxa" w:w="40"/>
              <w:right w:type="dxa" w:w="60"/>
            </w:tcMar>
            <w:vAlign w:val="center"/>
          </w:tcPr>
          <w:p>
            <w:pPr>
              <w:keepNext w:val="false"/>
              <w:spacing w:after="40" w:before="40" w:line="240" w:lineRule="auto"/>
              <w:jc w:val="center"/>
            </w:pPr>
            <w:r>
              <w:rPr>
                <w:rFonts w:ascii="Arial" w:cs="Arial" w:eastAsia="Arial" w:hAnsi="Arial"/>
                <w:b/>
                <w:bCs/>
                <w:sz w:val="18"/>
                <w:szCs w:val="18"/>
              </w:rPr>
              <w:t xml:space="preserve">3</w:t>
            </w:r>
          </w:p>
        </w:tc>
        <w:tc>
          <w:tcPr>
            <w:tcW w:type="dxa" w:w="640"/>
            <w:tcBorders>
              <w:top w:val="single" w:color="7F7F7F" w:sz="4"/>
              <w:left w:val="single" w:color="7F7F7F" w:sz="4"/>
              <w:bottom w:val="single" w:color="7F7F7F" w:sz="4"/>
              <w:right w:val="single" w:color="7F7F7F" w:sz="4"/>
            </w:tcBorders>
            <w:shd w:fill="D9E2F3" w:color="auto" w:val="clear"/>
            <w:tcMar>
              <w:top w:type="dxa" w:w="40"/>
              <w:left w:type="dxa" w:w="60"/>
              <w:bottom w:type="dxa" w:w="40"/>
              <w:right w:type="dxa" w:w="60"/>
            </w:tcMar>
            <w:vAlign w:val="center"/>
          </w:tcPr>
          <w:p>
            <w:pPr>
              <w:keepNext w:val="false"/>
              <w:spacing w:after="40" w:before="40" w:line="240" w:lineRule="auto"/>
              <w:jc w:val="center"/>
            </w:pPr>
            <w:r>
              <w:rPr>
                <w:rFonts w:ascii="Arial" w:cs="Arial" w:eastAsia="Arial" w:hAnsi="Arial"/>
                <w:b/>
                <w:bCs/>
                <w:sz w:val="18"/>
                <w:szCs w:val="18"/>
              </w:rPr>
              <w:t xml:space="preserve">4</w:t>
            </w:r>
          </w:p>
        </w:tc>
        <w:tc>
          <w:tcPr>
            <w:tcW w:type="dxa" w:w="640"/>
            <w:tcBorders>
              <w:top w:val="single" w:color="7F7F7F" w:sz="4"/>
              <w:left w:val="single" w:color="7F7F7F" w:sz="4"/>
              <w:bottom w:val="single" w:color="7F7F7F" w:sz="4"/>
              <w:right w:val="single" w:color="7F7F7F" w:sz="4"/>
            </w:tcBorders>
            <w:shd w:fill="D9E2F3" w:color="auto" w:val="clear"/>
            <w:tcMar>
              <w:top w:type="dxa" w:w="40"/>
              <w:left w:type="dxa" w:w="60"/>
              <w:bottom w:type="dxa" w:w="40"/>
              <w:right w:type="dxa" w:w="60"/>
            </w:tcMar>
            <w:vAlign w:val="center"/>
          </w:tcPr>
          <w:p>
            <w:pPr>
              <w:keepNext w:val="false"/>
              <w:spacing w:after="40" w:before="40" w:line="240" w:lineRule="auto"/>
              <w:jc w:val="center"/>
            </w:pPr>
            <w:r>
              <w:rPr>
                <w:rFonts w:ascii="Arial" w:cs="Arial" w:eastAsia="Arial" w:hAnsi="Arial"/>
                <w:b/>
                <w:bCs/>
                <w:sz w:val="18"/>
                <w:szCs w:val="18"/>
              </w:rPr>
              <w:t xml:space="preserve">5</w:t>
            </w:r>
          </w:p>
        </w:tc>
        <w:tc>
          <w:tcPr>
            <w:tcW w:type="dxa" w:w="640"/>
            <w:tcBorders>
              <w:top w:val="single" w:color="7F7F7F" w:sz="4"/>
              <w:left w:val="single" w:color="7F7F7F" w:sz="4"/>
              <w:bottom w:val="single" w:color="7F7F7F" w:sz="4"/>
              <w:right w:val="single" w:color="7F7F7F" w:sz="4"/>
            </w:tcBorders>
            <w:shd w:fill="D9E2F3" w:color="auto" w:val="clear"/>
            <w:tcMar>
              <w:top w:type="dxa" w:w="40"/>
              <w:left w:type="dxa" w:w="60"/>
              <w:bottom w:type="dxa" w:w="40"/>
              <w:right w:type="dxa" w:w="60"/>
            </w:tcMar>
            <w:vAlign w:val="center"/>
          </w:tcPr>
          <w:p>
            <w:pPr>
              <w:keepNext w:val="false"/>
              <w:spacing w:after="40" w:before="40" w:line="240" w:lineRule="auto"/>
              <w:jc w:val="center"/>
            </w:pPr>
            <w:r>
              <w:rPr>
                <w:rFonts w:ascii="Arial" w:cs="Arial" w:eastAsia="Arial" w:hAnsi="Arial"/>
                <w:b/>
                <w:bCs/>
                <w:sz w:val="18"/>
                <w:szCs w:val="18"/>
              </w:rPr>
              <w:t xml:space="preserve">6</w:t>
            </w:r>
          </w:p>
        </w:tc>
      </w:tr>
      <w:tr>
        <w:trPr>
          <w:cantSplit/>
        </w:trPr>
        <w:tc>
          <w:tcPr>
            <w:tcW w:type="dxa" w:w="4998"/>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r>
              <w:rPr>
                <w:rFonts w:ascii="Arial" w:cs="Arial" w:eastAsia="Arial" w:hAnsi="Arial"/>
                <w:sz w:val="18"/>
                <w:szCs w:val="18"/>
              </w:rPr>
              <w:t xml:space="preserve">1. Inventario de contenidos, marcas, software y licencias</w:t>
            </w: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r>
      <w:tr>
        <w:trPr>
          <w:cantSplit/>
        </w:trPr>
        <w:tc>
          <w:tcPr>
            <w:tcW w:type="dxa" w:w="4998"/>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r>
              <w:rPr>
                <w:rFonts w:ascii="Arial" w:cs="Arial" w:eastAsia="Arial" w:hAnsi="Arial"/>
                <w:sz w:val="18"/>
                <w:szCs w:val="18"/>
              </w:rPr>
              <w:t xml:space="preserve">2. Formatos y cláusulas (cesión, autorización de voz e imagen, NDA) con revisión jurídica</w:t>
            </w: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r>
      <w:tr>
        <w:trPr>
          <w:cantSplit/>
        </w:trPr>
        <w:tc>
          <w:tcPr>
            <w:tcW w:type="dxa" w:w="4998"/>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r>
              <w:rPr>
                <w:rFonts w:ascii="Arial" w:cs="Arial" w:eastAsia="Arial" w:hAnsi="Arial"/>
                <w:sz w:val="18"/>
                <w:szCs w:val="18"/>
              </w:rPr>
              <w:t xml:space="preserve">3. Avisos de derechos, licencias y controles técnicos (accesos, cifrado, marcas de agua y DLP)</w:t>
            </w: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r>
      <w:tr>
        <w:trPr>
          <w:cantSplit/>
        </w:trPr>
        <w:tc>
          <w:tcPr>
            <w:tcW w:type="dxa" w:w="4998"/>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r>
              <w:rPr>
                <w:rFonts w:ascii="Arial" w:cs="Arial" w:eastAsia="Arial" w:hAnsi="Arial"/>
                <w:sz w:val="18"/>
                <w:szCs w:val="18"/>
              </w:rPr>
              <w:t xml:space="preserve">4. Búsqueda y solicitudes de registro (marcas ante el IMPI y obras clave ante INDAUTOR)</w:t>
            </w: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r>
      <w:tr>
        <w:trPr>
          <w:cantSplit/>
        </w:trPr>
        <w:tc>
          <w:tcPr>
            <w:tcW w:type="dxa" w:w="4998"/>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r>
              <w:rPr>
                <w:rFonts w:ascii="Arial" w:cs="Arial" w:eastAsia="Arial" w:hAnsi="Arial"/>
                <w:sz w:val="18"/>
                <w:szCs w:val="18"/>
              </w:rPr>
              <w:t xml:space="preserve">5. Políticas cortas (uso de IA, material de terceros, uso de la marca) y guía de atribución</w:t>
            </w: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r>
      <w:tr>
        <w:trPr>
          <w:cantSplit/>
        </w:trPr>
        <w:tc>
          <w:tcPr>
            <w:tcW w:type="dxa" w:w="4998"/>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r>
              <w:rPr>
                <w:rFonts w:ascii="Arial" w:cs="Arial" w:eastAsia="Arial" w:hAnsi="Arial"/>
                <w:sz w:val="18"/>
                <w:szCs w:val="18"/>
              </w:rPr>
              <w:t xml:space="preserve">6. Capacitación breve</w:t>
            </w: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r>
      <w:tr>
        <w:trPr>
          <w:cantSplit/>
        </w:trPr>
        <w:tc>
          <w:tcPr>
            <w:tcW w:type="dxa" w:w="4998"/>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r>
              <w:rPr>
                <w:rFonts w:ascii="Arial" w:cs="Arial" w:eastAsia="Arial" w:hAnsi="Arial"/>
                <w:sz w:val="18"/>
                <w:szCs w:val="18"/>
              </w:rPr>
              <w:t xml:space="preserve">7. Vigilancia mensual de usos indebidos</w:t>
            </w: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r>
      <w:tr>
        <w:trPr>
          <w:cantSplit/>
        </w:trPr>
        <w:tc>
          <w:tcPr>
            <w:tcW w:type="dxa" w:w="4998"/>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r>
              <w:rPr>
                <w:rFonts w:ascii="Arial" w:cs="Arial" w:eastAsia="Arial" w:hAnsi="Arial"/>
                <w:sz w:val="18"/>
                <w:szCs w:val="18"/>
              </w:rPr>
              <w:t xml:space="preserve">8. Medición final e informe a la Dirección</w:t>
            </w: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r>
    </w:tbl>
    <w:p>
      <w:pPr>
        <w:spacing w:after="80" w:before="80" w:line="240" w:lineRule="auto"/>
        <w:jc w:val="center"/>
      </w:pPr>
      <w:r>
        <w:rPr>
          <w:rFonts w:ascii="Arial" w:cs="Arial" w:eastAsia="Arial" w:hAnsi="Arial"/>
          <w:color w:val="7F7F7F"/>
          <w:sz w:val="16"/>
          <w:szCs w:val="16"/>
        </w:rPr>
        <w:t xml:space="preserve">Tabla 10. Cronograma de implementación a 6 meses.</w:t>
      </w:r>
    </w:p>
    <w:p>
      <w:pPr>
        <w:spacing w:after="240" w:before="60" w:line="240" w:lineRule="auto"/>
      </w:pPr>
      <w:r>
        <w:rPr>
          <w:rFonts w:ascii="Arial" w:cs="Arial" w:eastAsia="Arial" w:hAnsi="Arial"/>
          <w:i/>
          <w:iCs/>
          <w:sz w:val="18"/>
          <w:szCs w:val="18"/>
        </w:rPr>
        <w:t xml:space="preserve">Nota.</w:t>
      </w:r>
      <w:r>
        <w:rPr>
          <w:rFonts w:ascii="Arial" w:cs="Arial" w:eastAsia="Arial" w:hAnsi="Arial"/>
          <w:sz w:val="18"/>
          <w:szCs w:val="18"/>
        </w:rPr>
        <w:t xml:space="preserve"> Los meses se cuentan desde la aprobación del plan. La capacitación breve va dirigida a quien publica contenido o contrata proveedores; su meta es una asistencia de al menos 80 %. Elaboración propia.</w:t>
      </w:r>
    </w:p>
    <w:p>
      <w:pPr>
        <w:pStyle w:val="Heading2"/>
        <w:keepNext/>
        <w:spacing w:after="0" w:before="160" w:line="360" w:lineRule="auto"/>
        <w:jc w:val="left"/>
      </w:pPr>
      <w:r>
        <w:rPr>
          <w:rFonts w:ascii="Arial" w:cs="Arial" w:eastAsia="Arial" w:hAnsi="Arial"/>
          <w:b/>
          <w:bCs/>
          <w:color w:val="000000"/>
          <w:sz w:val="24"/>
          <w:szCs w:val="24"/>
        </w:rPr>
        <w:t xml:space="preserve">8. Relación del plan con mi trabajo actual</w:t>
      </w:r>
    </w:p>
    <w:p>
      <w:pPr>
        <w:spacing w:after="0" w:before="0" w:line="360" w:lineRule="auto"/>
        <w:ind w:firstLine="720"/>
        <w:jc w:val="both"/>
      </w:pPr>
      <w:r>
        <w:rPr>
          <w:rFonts w:ascii="Arial" w:cs="Arial" w:eastAsia="Arial" w:hAnsi="Arial"/>
          <w:sz w:val="24"/>
          <w:szCs w:val="24"/>
        </w:rPr>
        <w:t xml:space="preserve">Cada acción del plan se fundamenta en las funciones que desempeño actualmente. La Tabla 11 indica, por función, qué PI interviene, de quién es y qué propone el plan.</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400"/>
        <w:gridCol w:w="2638"/>
      </w:tblGrid>
      <w:tr>
        <w:trPr>
          <w:cantSplit/>
          <w:tblHeader/>
        </w:trPr>
        <w:tc>
          <w:tcPr>
            <w:tcW w:type="dxa" w:w="16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Mi función actual</w:t>
            </w:r>
          </w:p>
        </w:tc>
        <w:tc>
          <w:tcPr>
            <w:tcW w:type="dxa" w:w="22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PI involucrada</w:t>
            </w:r>
          </w:p>
        </w:tc>
        <w:tc>
          <w:tcPr>
            <w:tcW w:type="dxa" w:w="24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Titularidad (según la información disponible)</w:t>
            </w:r>
          </w:p>
        </w:tc>
        <w:tc>
          <w:tcPr>
            <w:tcW w:type="dxa" w:w="2638"/>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Acción propuesta por el plan</w:t>
            </w:r>
          </w:p>
        </w:tc>
      </w:tr>
      <w:tr>
        <w:trPr>
          <w:cantSplit/>
        </w:trPr>
        <w:tc>
          <w:tcPr>
            <w:tcW w:type="dxa" w:w="16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Logotipo actual, que diseñé, y rediseño de identidad 2020–2022, en el que participé</w:t>
            </w:r>
          </w:p>
        </w:tc>
        <w:tc>
          <w:tcPr>
            <w:tcW w:type="dxa" w:w="22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Derechos de autor, diseño industrial y marca</w:t>
            </w:r>
          </w:p>
        </w:tc>
        <w:tc>
          <w:tcPr>
            <w:tcW w:type="dxa" w:w="24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Los derechos morales del logotipo me corresponden como autor. Los patrimoniales dependen de mi contrato (LFDA, 2026, art. 84)</w:t>
            </w:r>
          </w:p>
        </w:tc>
        <w:tc>
          <w:tcPr>
            <w:tcW w:type="dxa" w:w="2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Cesión por escrito de los derechos patrimoniales, verificar el registro de la marca y guía de uso</w:t>
            </w:r>
          </w:p>
        </w:tc>
      </w:tr>
      <w:tr>
        <w:trPr>
          <w:cantSplit/>
        </w:trPr>
        <w:tc>
          <w:tcPr>
            <w:tcW w:type="dxa" w:w="16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Sitio web y micrositios</w:t>
            </w:r>
          </w:p>
        </w:tc>
        <w:tc>
          <w:tcPr>
            <w:tcW w:type="dxa" w:w="22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Derechos de autor (textos, imágenes, código), diseño industrial (interfaz) y licencias de terceros</w:t>
            </w:r>
          </w:p>
        </w:tc>
        <w:tc>
          <w:tcPr>
            <w:tcW w:type="dxa" w:w="24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El CIESS y las personas autoras o proveedoras de cada elemento</w:t>
            </w:r>
          </w:p>
        </w:tc>
        <w:tc>
          <w:tcPr>
            <w:tcW w:type="dxa" w:w="2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Inventario de imágenes, fuentes, </w:t>
            </w:r>
            <w:r>
              <w:rPr>
                <w:rFonts w:ascii="Arial" w:cs="Arial" w:eastAsia="Arial" w:hAnsi="Arial"/>
                <w:i/>
                <w:iCs/>
                <w:sz w:val="18"/>
                <w:szCs w:val="18"/>
              </w:rPr>
              <w:t xml:space="preserve">plugins</w:t>
            </w:r>
            <w:r>
              <w:rPr>
                <w:rFonts w:ascii="Arial" w:cs="Arial" w:eastAsia="Arial" w:hAnsi="Arial"/>
                <w:sz w:val="18"/>
                <w:szCs w:val="18"/>
              </w:rPr>
              <w:t xml:space="preserve"> y temas con su licencia, y avisos de derechos</w:t>
            </w:r>
          </w:p>
        </w:tc>
      </w:tr>
      <w:tr>
        <w:trPr>
          <w:cantSplit/>
        </w:trPr>
        <w:tc>
          <w:tcPr>
            <w:tcW w:type="dxa" w:w="16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Campus virtual, constancias y actas</w:t>
            </w:r>
          </w:p>
        </w:tc>
        <w:tc>
          <w:tcPr>
            <w:tcW w:type="dxa" w:w="22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Derechos de autor del código, secreto industrial y datos personales</w:t>
            </w:r>
          </w:p>
        </w:tc>
        <w:tc>
          <w:tcPr>
            <w:tcW w:type="dxa" w:w="24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El CIESS, respecto de lo que desarrollo como empleado (LFDA, 2026, art. 103), salvo pacto</w:t>
            </w:r>
          </w:p>
        </w:tc>
        <w:tc>
          <w:tcPr>
            <w:tcW w:type="dxa" w:w="2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Dejar constancia del pacto, NDA con terceros y control de accesos</w:t>
            </w:r>
          </w:p>
        </w:tc>
      </w:tr>
      <w:tr>
        <w:trPr>
          <w:cantSplit/>
        </w:trPr>
        <w:tc>
          <w:tcPr>
            <w:tcW w:type="dxa" w:w="16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Sistema de registro del congreso y su base de datos</w:t>
            </w:r>
          </w:p>
        </w:tc>
        <w:tc>
          <w:tcPr>
            <w:tcW w:type="dxa" w:w="22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Código, base de datos, modelo de datos y secreto industrial</w:t>
            </w:r>
          </w:p>
        </w:tc>
        <w:tc>
          <w:tcPr>
            <w:tcW w:type="dxa" w:w="24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El CIESS (LFDA, 2026, art. 103), salvo pacto</w:t>
            </w:r>
          </w:p>
        </w:tc>
        <w:tc>
          <w:tcPr>
            <w:tcW w:type="dxa" w:w="2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Mantener el código y el modelo de datos como secreto, revisar licencias de bibliotecas de código abierto y no publicar sin una licencia elegida</w:t>
            </w:r>
          </w:p>
        </w:tc>
      </w:tr>
      <w:tr>
        <w:trPr>
          <w:cantSplit/>
        </w:trPr>
        <w:tc>
          <w:tcPr>
            <w:tcW w:type="dxa" w:w="16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Materiales editoriales y multimedia</w:t>
            </w:r>
          </w:p>
        </w:tc>
        <w:tc>
          <w:tcPr>
            <w:tcW w:type="dxa" w:w="22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Derechos de autor, derechos conexos, voz e imagen</w:t>
            </w:r>
          </w:p>
        </w:tc>
        <w:tc>
          <w:tcPr>
            <w:tcW w:type="dxa" w:w="24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La persona autora o ponente, salvo cesión</w:t>
            </w:r>
          </w:p>
        </w:tc>
        <w:tc>
          <w:tcPr>
            <w:tcW w:type="dxa" w:w="2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Formato de autorización y licencia clara por tipo de material</w:t>
            </w:r>
          </w:p>
        </w:tc>
      </w:tr>
      <w:tr>
        <w:trPr>
          <w:cantSplit/>
        </w:trPr>
        <w:tc>
          <w:tcPr>
            <w:tcW w:type="dxa" w:w="16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Asistentes de IA para programar y </w:t>
            </w:r>
            <w:r>
              <w:rPr>
                <w:rFonts w:ascii="Arial" w:cs="Arial" w:eastAsia="Arial" w:hAnsi="Arial"/>
                <w:i/>
                <w:iCs/>
                <w:sz w:val="18"/>
                <w:szCs w:val="18"/>
              </w:rPr>
              <w:t xml:space="preserve">chatbot</w:t>
            </w:r>
            <w:r>
              <w:rPr>
                <w:rFonts w:ascii="Arial" w:cs="Arial" w:eastAsia="Arial" w:hAnsi="Arial"/>
                <w:sz w:val="18"/>
                <w:szCs w:val="18"/>
              </w:rPr>
              <w:t xml:space="preserve"> en pruebas</w:t>
            </w:r>
          </w:p>
        </w:tc>
        <w:tc>
          <w:tcPr>
            <w:tcW w:type="dxa" w:w="22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Derechos de autor del código generado y de los datos de entrenamiento</w:t>
            </w:r>
          </w:p>
        </w:tc>
        <w:tc>
          <w:tcPr>
            <w:tcW w:type="dxa" w:w="24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Sin intervención humana sustancial no hay obra registrable (Jalife, 2025)</w:t>
            </w:r>
          </w:p>
        </w:tc>
        <w:tc>
          <w:tcPr>
            <w:tcW w:type="dxa" w:w="2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Política de uso de IA y revisión humana de lo que se publique</w:t>
            </w:r>
          </w:p>
        </w:tc>
      </w:tr>
    </w:tbl>
    <w:p>
      <w:pPr>
        <w:spacing w:after="80" w:before="80" w:line="240" w:lineRule="auto"/>
        <w:jc w:val="center"/>
      </w:pPr>
      <w:r>
        <w:rPr>
          <w:rFonts w:ascii="Arial" w:cs="Arial" w:eastAsia="Arial" w:hAnsi="Arial"/>
          <w:color w:val="7F7F7F"/>
          <w:sz w:val="16"/>
          <w:szCs w:val="16"/>
        </w:rPr>
        <w:t xml:space="preserve">Tabla 11. Relación entre mi trabajo actual y el plan.</w:t>
      </w:r>
    </w:p>
    <w:p>
      <w:pPr>
        <w:spacing w:after="240" w:before="60" w:line="240" w:lineRule="auto"/>
      </w:pPr>
      <w:r>
        <w:rPr>
          <w:rFonts w:ascii="Arial" w:cs="Arial" w:eastAsia="Arial" w:hAnsi="Arial"/>
          <w:i/>
          <w:iCs/>
          <w:sz w:val="18"/>
          <w:szCs w:val="18"/>
        </w:rPr>
        <w:t xml:space="preserve">Nota.</w:t>
      </w:r>
      <w:r>
        <w:rPr>
          <w:rFonts w:ascii="Arial" w:cs="Arial" w:eastAsia="Arial" w:hAnsi="Arial"/>
          <w:sz w:val="18"/>
          <w:szCs w:val="18"/>
        </w:rPr>
        <w:t xml:space="preserve"> Elaboración propia a partir de mis funciones en el CIESS. La titularidad debe confirmarse con mi contrato y con el área jurídica.</w:t>
      </w:r>
    </w:p>
    <w:p>
      <w:pPr>
        <w:spacing w:after="0" w:before="0" w:line="360" w:lineRule="auto"/>
        <w:ind w:firstLine="720"/>
        <w:jc w:val="both"/>
      </w:pPr>
      <w:r>
        <w:rPr>
          <w:rFonts w:ascii="Arial" w:cs="Arial" w:eastAsia="Arial" w:hAnsi="Arial"/>
          <w:b/>
          <w:bCs/>
          <w:sz w:val="24"/>
          <w:szCs w:val="24"/>
        </w:rPr>
        <w:t xml:space="preserve">Caso 1: el logotipo.</w:t>
      </w:r>
      <w:r>
        <w:rPr>
          <w:rFonts w:ascii="Arial" w:cs="Arial" w:eastAsia="Arial" w:hAnsi="Arial"/>
          <w:sz w:val="24"/>
          <w:szCs w:val="24"/>
        </w:rPr>
        <w:t xml:space="preserve"> Soy autor del diseño, por lo que mis derechos morales (el reconocimiento como autor y la integridad de la obra) no pueden cederse. Según la LFDA (2026, art. 84), si mi contrato es individual y está por escrito, y no hay otro pacto, se presume que los derechos patrimoniales se dividen por partes iguales entre el CIESS y yo. Si no hay contrato por escrito, corresponden a la persona empleada. Para que el CIESS pueda registrar y defender la marca con certeza jurídica, lo adecuado es formalizar por escrito la cesión de los derechos patrimoniales.</w:t>
      </w:r>
    </w:p>
    <w:p>
      <w:pPr>
        <w:spacing w:after="0" w:before="0" w:line="360" w:lineRule="auto"/>
        <w:ind w:firstLine="720"/>
        <w:jc w:val="both"/>
      </w:pPr>
      <w:r>
        <w:rPr>
          <w:rFonts w:ascii="Arial" w:cs="Arial" w:eastAsia="Arial" w:hAnsi="Arial"/>
          <w:b/>
          <w:bCs/>
          <w:sz w:val="24"/>
          <w:szCs w:val="24"/>
        </w:rPr>
        <w:t xml:space="preserve">Caso 2: el sistema del congreso.</w:t>
      </w:r>
      <w:r>
        <w:rPr>
          <w:rFonts w:ascii="Arial" w:cs="Arial" w:eastAsia="Arial" w:hAnsi="Arial"/>
          <w:sz w:val="24"/>
          <w:szCs w:val="24"/>
        </w:rPr>
        <w:t xml:space="preserve"> Desarrollé el sistema y su base de datos de participantes. El código se protege como obra y, en principio, corresponde al CIESS, por haberlo creado yo en el ejercicio de mis funciones (LFDA, 2026, art. 103). La lista de participantes probablemente no sea una obra original (Bernal Guzmán, 2025), por lo que se protege como secreto industrial, con accesos limitados, y recibe un tratamiento reforzado debido a que contiene datos personales. Antes de publicar cualquier parte del código, revisaré las licencias de las bibliotecas de código abierto que este utiliza.</w:t>
      </w:r>
    </w:p>
    <w:p>
      <w:pPr>
        <w:pStyle w:val="Heading1"/>
        <w:keepNext/>
        <w:spacing w:after="0" w:before="0" w:line="360" w:lineRule="auto"/>
        <w:jc w:val="center"/>
      </w:pPr>
      <w:r>
        <w:rPr>
          <w:rFonts w:ascii="Arial" w:cs="Arial" w:eastAsia="Arial" w:hAnsi="Arial"/>
          <w:b/>
          <w:bCs/>
          <w:color w:val="000000"/>
          <w:sz w:val="24"/>
          <w:szCs w:val="24"/>
        </w:rPr>
        <w:t xml:space="preserve">Conclusión</w:t>
      </w:r>
    </w:p>
    <w:p>
      <w:pPr>
        <w:spacing w:after="0" w:before="0" w:line="360" w:lineRule="auto"/>
        <w:ind w:firstLine="720"/>
        <w:jc w:val="both"/>
      </w:pPr>
      <w:r>
        <w:rPr>
          <w:rFonts w:ascii="Arial" w:cs="Arial" w:eastAsia="Arial" w:hAnsi="Arial"/>
          <w:sz w:val="24"/>
          <w:szCs w:val="24"/>
        </w:rPr>
        <w:t xml:space="preserve">Este plan aplica los contenidos de la Lección 10, del capítulo 1 de Uceda Carrillo (2025) y del artículo de Bernal Guzmán (2025) al contexto operativo del CIESS. Define la titularidad, los tipos de PI y las normas aplicables, y propone controles, responsables, plazos e indicadores en ambos sentidos: proteger la PI propia y no utilizar la PI ajena sin autorización. Una conclusión central es que los derechos de autor surgen sin trámite, pero sin contratos, registros y vigilancia una organización difícilmente puede acreditar o defender su titularidad. En consecuencia, el plan inicia con el inventario y los contratos.</w:t>
      </w:r>
    </w:p>
    <w:p>
      <w:pPr>
        <w:pStyle w:val="Heading1"/>
        <w:keepNext/>
        <w:spacing w:after="0" w:before="0" w:line="360" w:lineRule="auto"/>
        <w:jc w:val="center"/>
      </w:pPr>
      <w:r>
        <w:rPr>
          <w:rFonts w:ascii="Arial" w:cs="Arial" w:eastAsia="Arial" w:hAnsi="Arial"/>
          <w:b/>
          <w:bCs/>
          <w:color w:val="000000"/>
          <w:sz w:val="24"/>
          <w:szCs w:val="24"/>
        </w:rPr>
        <w:t xml:space="preserve">Referencias</w:t>
      </w:r>
    </w:p>
    <w:p>
      <w:pPr>
        <w:spacing w:after="0" w:before="0" w:line="360" w:lineRule="auto"/>
        <w:ind w:left="720" w:hanging="720"/>
        <w:jc w:val="left"/>
      </w:pPr>
      <w:r>
        <w:rPr>
          <w:rFonts w:ascii="Arial" w:cs="Arial" w:eastAsia="Arial" w:hAnsi="Arial"/>
          <w:sz w:val="24"/>
          <w:szCs w:val="24"/>
        </w:rPr>
        <w:t xml:space="preserve">Bernal Guzmán, J. M. (2025). La protección de las bases de datos a la luz de la propiedad intelectual en el marco de la Cuarta Revolución Industrial. </w:t>
      </w:r>
      <w:r>
        <w:rPr>
          <w:rFonts w:ascii="Arial" w:cs="Arial" w:eastAsia="Arial" w:hAnsi="Arial"/>
          <w:i/>
          <w:iCs/>
          <w:sz w:val="24"/>
          <w:szCs w:val="24"/>
        </w:rPr>
        <w:t xml:space="preserve">Revista e-Mercatoria</w:t>
      </w:r>
      <w:r>
        <w:rPr>
          <w:rFonts w:ascii="Arial" w:cs="Arial" w:eastAsia="Arial" w:hAnsi="Arial"/>
          <w:sz w:val="24"/>
          <w:szCs w:val="24"/>
        </w:rPr>
        <w:t xml:space="preserve">, </w:t>
      </w:r>
      <w:r>
        <w:rPr>
          <w:rFonts w:ascii="Arial" w:cs="Arial" w:eastAsia="Arial" w:hAnsi="Arial"/>
          <w:i/>
          <w:iCs/>
          <w:sz w:val="24"/>
          <w:szCs w:val="24"/>
        </w:rPr>
        <w:t xml:space="preserve">24</w:t>
      </w:r>
      <w:r>
        <w:rPr>
          <w:rFonts w:ascii="Arial" w:cs="Arial" w:eastAsia="Arial" w:hAnsi="Arial"/>
          <w:sz w:val="24"/>
          <w:szCs w:val="24"/>
        </w:rPr>
        <w:t xml:space="preserve">(1), 3–35. </w:t>
      </w:r>
      <w:hyperlink w:history="1" r:id="rIdzbpz1assahsv1r2vi6axx">
        <w:r>
          <w:rPr>
            <w:rStyle w:val="Hyperlink"/>
            <w:rFonts w:ascii="Arial" w:cs="Arial" w:eastAsia="Arial" w:hAnsi="Arial"/>
            <w:sz w:val="24"/>
            <w:szCs w:val="24"/>
          </w:rPr>
          <w:t xml:space="preserve">https://doi.org/10.18601/16923960.v24n1.01</w:t>
        </w:r>
      </w:hyperlink>
    </w:p>
    <w:p>
      <w:pPr>
        <w:spacing w:after="0" w:before="0" w:line="360" w:lineRule="auto"/>
        <w:ind w:left="720" w:hanging="720"/>
        <w:jc w:val="left"/>
      </w:pPr>
      <w:r>
        <w:rPr>
          <w:rFonts w:ascii="Arial" w:cs="Arial" w:eastAsia="Arial" w:hAnsi="Arial"/>
          <w:sz w:val="24"/>
          <w:szCs w:val="24"/>
        </w:rPr>
        <w:t xml:space="preserve">Cámara de Diputados del Honorable Congreso de la Unión [CDHCU]. (20 de marzo de 2025). </w:t>
      </w:r>
      <w:r>
        <w:rPr>
          <w:rFonts w:ascii="Arial" w:cs="Arial" w:eastAsia="Arial" w:hAnsi="Arial"/>
          <w:i/>
          <w:iCs/>
          <w:sz w:val="24"/>
          <w:szCs w:val="24"/>
        </w:rPr>
        <w:t xml:space="preserve">Ley Federal de Protección de Datos Personales en Posesión de los Particulares</w:t>
      </w:r>
      <w:r>
        <w:rPr>
          <w:rFonts w:ascii="Arial" w:cs="Arial" w:eastAsia="Arial" w:hAnsi="Arial"/>
          <w:sz w:val="24"/>
          <w:szCs w:val="24"/>
        </w:rPr>
        <w:t xml:space="preserve">. Diario Oficial de la Federación. México: Cámara de Diputados del Honorable Congreso de la Unión. Recuperada el 11 de octubre de 2026, de </w:t>
      </w:r>
      <w:hyperlink w:history="1" r:id="rId0oj3b3z2yipej6b72c9cd">
        <w:r>
          <w:rPr>
            <w:rStyle w:val="Hyperlink"/>
            <w:rFonts w:ascii="Arial" w:cs="Arial" w:eastAsia="Arial" w:hAnsi="Arial"/>
            <w:sz w:val="24"/>
            <w:szCs w:val="24"/>
          </w:rPr>
          <w:t xml:space="preserve">https://www.diputados.gob.mx/LeyesBiblio/pdf/LFPDPPP.pdf</w:t>
        </w:r>
      </w:hyperlink>
    </w:p>
    <w:p>
      <w:pPr>
        <w:spacing w:after="0" w:before="0" w:line="360" w:lineRule="auto"/>
        <w:ind w:left="720" w:hanging="720"/>
        <w:jc w:val="left"/>
      </w:pPr>
      <w:r>
        <w:rPr>
          <w:rFonts w:ascii="Arial" w:cs="Arial" w:eastAsia="Arial" w:hAnsi="Arial"/>
          <w:sz w:val="24"/>
          <w:szCs w:val="24"/>
        </w:rPr>
        <w:t xml:space="preserve">Cámara de Diputados del Honorable Congreso de la Unión [CDHCU]. (2026). </w:t>
      </w:r>
      <w:r>
        <w:rPr>
          <w:rFonts w:ascii="Arial" w:cs="Arial" w:eastAsia="Arial" w:hAnsi="Arial"/>
          <w:i/>
          <w:iCs/>
          <w:sz w:val="24"/>
          <w:szCs w:val="24"/>
        </w:rPr>
        <w:t xml:space="preserve">Ley Federal del Derecho de Autor</w:t>
      </w:r>
      <w:r>
        <w:rPr>
          <w:rFonts w:ascii="Arial" w:cs="Arial" w:eastAsia="Arial" w:hAnsi="Arial"/>
          <w:sz w:val="24"/>
          <w:szCs w:val="24"/>
        </w:rPr>
        <w:t xml:space="preserve">. Diario Oficial de la Federación. México: Cámara de Diputados del Honorable Congreso de la Unión. Recuperada el 11 de octubre de 2026, de </w:t>
      </w:r>
      <w:hyperlink w:history="1" r:id="rIdop05ftyza0z58t_vfyfii">
        <w:r>
          <w:rPr>
            <w:rStyle w:val="Hyperlink"/>
            <w:rFonts w:ascii="Arial" w:cs="Arial" w:eastAsia="Arial" w:hAnsi="Arial"/>
            <w:sz w:val="24"/>
            <w:szCs w:val="24"/>
          </w:rPr>
          <w:t xml:space="preserve">https://www.diputados.gob.mx/LeyesBiblio/pdf/LFDA.pdf</w:t>
        </w:r>
      </w:hyperlink>
    </w:p>
    <w:p>
      <w:pPr>
        <w:spacing w:after="0" w:before="0" w:line="360" w:lineRule="auto"/>
        <w:ind w:left="720" w:hanging="720"/>
        <w:jc w:val="left"/>
      </w:pPr>
      <w:r>
        <w:rPr>
          <w:rFonts w:ascii="Arial" w:cs="Arial" w:eastAsia="Arial" w:hAnsi="Arial"/>
          <w:sz w:val="24"/>
          <w:szCs w:val="24"/>
        </w:rPr>
        <w:t xml:space="preserve">Cámara de Diputados del Honorable Congreso de la Unión [CDHCU]. (2026). </w:t>
      </w:r>
      <w:r>
        <w:rPr>
          <w:rFonts w:ascii="Arial" w:cs="Arial" w:eastAsia="Arial" w:hAnsi="Arial"/>
          <w:i/>
          <w:iCs/>
          <w:sz w:val="24"/>
          <w:szCs w:val="24"/>
        </w:rPr>
        <w:t xml:space="preserve">Ley Federal de Protección a la Propiedad Industrial</w:t>
      </w:r>
      <w:r>
        <w:rPr>
          <w:rFonts w:ascii="Arial" w:cs="Arial" w:eastAsia="Arial" w:hAnsi="Arial"/>
          <w:sz w:val="24"/>
          <w:szCs w:val="24"/>
        </w:rPr>
        <w:t xml:space="preserve">. Diario Oficial de la Federación. México: Cámara de Diputados del Honorable Congreso de la Unión. Recuperada el 11 de octubre de 2026, de </w:t>
      </w:r>
      <w:hyperlink w:history="1" r:id="rIdlvdf-w3kuzpijruc3ogwt">
        <w:r>
          <w:rPr>
            <w:rStyle w:val="Hyperlink"/>
            <w:rFonts w:ascii="Arial" w:cs="Arial" w:eastAsia="Arial" w:hAnsi="Arial"/>
            <w:sz w:val="24"/>
            <w:szCs w:val="24"/>
          </w:rPr>
          <w:t xml:space="preserve">https://www.diputados.gob.mx/LeyesBiblio/pdf/LFPPI.pdf</w:t>
        </w:r>
      </w:hyperlink>
    </w:p>
    <w:p>
      <w:pPr>
        <w:spacing w:after="0" w:before="0" w:line="360" w:lineRule="auto"/>
        <w:ind w:left="720" w:hanging="720"/>
        <w:jc w:val="left"/>
      </w:pPr>
      <w:r>
        <w:rPr>
          <w:rFonts w:ascii="Arial" w:cs="Arial" w:eastAsia="Arial" w:hAnsi="Arial"/>
          <w:sz w:val="24"/>
          <w:szCs w:val="24"/>
        </w:rPr>
        <w:t xml:space="preserve">Centro Español de Derechos Reprográficos. (2024). </w:t>
      </w:r>
      <w:r>
        <w:rPr>
          <w:rFonts w:ascii="Arial" w:cs="Arial" w:eastAsia="Arial" w:hAnsi="Arial"/>
          <w:i/>
          <w:iCs/>
          <w:sz w:val="24"/>
          <w:szCs w:val="24"/>
        </w:rPr>
        <w:t xml:space="preserve">El Convenio de Berna y los derechos de autor</w:t>
      </w:r>
      <w:r>
        <w:rPr>
          <w:rFonts w:ascii="Arial" w:cs="Arial" w:eastAsia="Arial" w:hAnsi="Arial"/>
          <w:sz w:val="24"/>
          <w:szCs w:val="24"/>
        </w:rPr>
        <w:t xml:space="preserve">. </w:t>
      </w:r>
      <w:hyperlink w:history="1" r:id="rIdce1pnx3p4zkvvube617rz">
        <w:r>
          <w:rPr>
            <w:rStyle w:val="Hyperlink"/>
            <w:rFonts w:ascii="Arial" w:cs="Arial" w:eastAsia="Arial" w:hAnsi="Arial"/>
            <w:sz w:val="24"/>
            <w:szCs w:val="24"/>
          </w:rPr>
          <w:t xml:space="preserve">https://www.cedro.org/blog/articulo/blog.cedro.org/2021/05/18/convenio-berna-derechos-autor</w:t>
        </w:r>
      </w:hyperlink>
    </w:p>
    <w:p>
      <w:pPr>
        <w:spacing w:after="0" w:before="0" w:line="360" w:lineRule="auto"/>
        <w:ind w:left="720" w:hanging="720"/>
        <w:jc w:val="left"/>
      </w:pPr>
      <w:r>
        <w:rPr>
          <w:rFonts w:ascii="Arial" w:cs="Arial" w:eastAsia="Arial" w:hAnsi="Arial"/>
          <w:sz w:val="24"/>
          <w:szCs w:val="24"/>
        </w:rPr>
        <w:t xml:space="preserve">Centro Interamericano de Estudios de Seguridad Social. (s.f.-a). </w:t>
      </w:r>
      <w:r>
        <w:rPr>
          <w:rFonts w:ascii="Arial" w:cs="Arial" w:eastAsia="Arial" w:hAnsi="Arial"/>
          <w:i/>
          <w:iCs/>
          <w:sz w:val="24"/>
          <w:szCs w:val="24"/>
        </w:rPr>
        <w:t xml:space="preserve">1er Congreso de Estudios Interamericanos de Seguridad Social</w:t>
      </w:r>
      <w:r>
        <w:rPr>
          <w:rFonts w:ascii="Arial" w:cs="Arial" w:eastAsia="Arial" w:hAnsi="Arial"/>
          <w:sz w:val="24"/>
          <w:szCs w:val="24"/>
        </w:rPr>
        <w:t xml:space="preserve">. </w:t>
      </w:r>
      <w:hyperlink w:history="1" r:id="rId_kgpvqdg94b1wgfofzf4q">
        <w:r>
          <w:rPr>
            <w:rStyle w:val="Hyperlink"/>
            <w:rFonts w:ascii="Arial" w:cs="Arial" w:eastAsia="Arial" w:hAnsi="Arial"/>
            <w:sz w:val="24"/>
            <w:szCs w:val="24"/>
          </w:rPr>
          <w:t xml:space="preserve">https://congreso-dss.ciess.org/</w:t>
        </w:r>
      </w:hyperlink>
    </w:p>
    <w:p>
      <w:pPr>
        <w:spacing w:after="0" w:before="0" w:line="360" w:lineRule="auto"/>
        <w:ind w:left="720" w:hanging="720"/>
        <w:jc w:val="left"/>
      </w:pPr>
      <w:r>
        <w:rPr>
          <w:rFonts w:ascii="Arial" w:cs="Arial" w:eastAsia="Arial" w:hAnsi="Arial"/>
          <w:sz w:val="24"/>
          <w:szCs w:val="24"/>
        </w:rPr>
        <w:t xml:space="preserve">Centro Interamericano de Estudios de Seguridad Social. (s.f.-b). </w:t>
      </w:r>
      <w:r>
        <w:rPr>
          <w:rFonts w:ascii="Arial" w:cs="Arial" w:eastAsia="Arial" w:hAnsi="Arial"/>
          <w:i/>
          <w:iCs/>
          <w:sz w:val="24"/>
          <w:szCs w:val="24"/>
        </w:rPr>
        <w:t xml:space="preserve">CIESS · Centro Interamericano de Estudios de Seguridad Social</w:t>
      </w:r>
      <w:r>
        <w:rPr>
          <w:rFonts w:ascii="Arial" w:cs="Arial" w:eastAsia="Arial" w:hAnsi="Arial"/>
          <w:sz w:val="24"/>
          <w:szCs w:val="24"/>
        </w:rPr>
        <w:t xml:space="preserve">. </w:t>
      </w:r>
      <w:hyperlink w:history="1" r:id="rIdcw-zkdybflwyn0qeh2nph">
        <w:r>
          <w:rPr>
            <w:rStyle w:val="Hyperlink"/>
            <w:rFonts w:ascii="Arial" w:cs="Arial" w:eastAsia="Arial" w:hAnsi="Arial"/>
            <w:sz w:val="24"/>
            <w:szCs w:val="24"/>
          </w:rPr>
          <w:t xml:space="preserve">https://home.ciess.org/</w:t>
        </w:r>
      </w:hyperlink>
    </w:p>
    <w:p>
      <w:pPr>
        <w:spacing w:after="0" w:before="0" w:line="360" w:lineRule="auto"/>
        <w:ind w:left="720" w:hanging="720"/>
        <w:jc w:val="left"/>
      </w:pPr>
      <w:r>
        <w:rPr>
          <w:rFonts w:ascii="Arial" w:cs="Arial" w:eastAsia="Arial" w:hAnsi="Arial"/>
          <w:sz w:val="24"/>
          <w:szCs w:val="24"/>
        </w:rPr>
        <w:t xml:space="preserve">Centro Interamericano de Estudios de Seguridad Social. (s.f.-c). </w:t>
      </w:r>
      <w:r>
        <w:rPr>
          <w:rFonts w:ascii="Arial" w:cs="Arial" w:eastAsia="Arial" w:hAnsi="Arial"/>
          <w:i/>
          <w:iCs/>
          <w:sz w:val="24"/>
          <w:szCs w:val="24"/>
        </w:rPr>
        <w:t xml:space="preserve">RIUSS · Red Interamericana de Universidades para la Seguridad Social</w:t>
      </w:r>
      <w:r>
        <w:rPr>
          <w:rFonts w:ascii="Arial" w:cs="Arial" w:eastAsia="Arial" w:hAnsi="Arial"/>
          <w:sz w:val="24"/>
          <w:szCs w:val="24"/>
        </w:rPr>
        <w:t xml:space="preserve">. </w:t>
      </w:r>
      <w:hyperlink w:history="1" r:id="rId2yfbqfobuu4ym3dwnhlxg">
        <w:r>
          <w:rPr>
            <w:rStyle w:val="Hyperlink"/>
            <w:rFonts w:ascii="Arial" w:cs="Arial" w:eastAsia="Arial" w:hAnsi="Arial"/>
            <w:sz w:val="24"/>
            <w:szCs w:val="24"/>
          </w:rPr>
          <w:t xml:space="preserve">https://home.ciess.org/riuss/</w:t>
        </w:r>
      </w:hyperlink>
    </w:p>
    <w:p>
      <w:pPr>
        <w:spacing w:after="0" w:before="0" w:line="360" w:lineRule="auto"/>
        <w:ind w:left="720" w:hanging="720"/>
        <w:jc w:val="left"/>
      </w:pPr>
      <w:r>
        <w:rPr>
          <w:rFonts w:ascii="Arial" w:cs="Arial" w:eastAsia="Arial" w:hAnsi="Arial"/>
          <w:sz w:val="24"/>
          <w:szCs w:val="24"/>
        </w:rPr>
        <w:t xml:space="preserve">Creative Commons. (s.f.). </w:t>
      </w:r>
      <w:r>
        <w:rPr>
          <w:rFonts w:ascii="Arial" w:cs="Arial" w:eastAsia="Arial" w:hAnsi="Arial"/>
          <w:i/>
          <w:iCs/>
          <w:sz w:val="24"/>
          <w:szCs w:val="24"/>
        </w:rPr>
        <w:t xml:space="preserve">Atribución-NoComercial-SinDerivadas 4.0 Internacional (CC BY-NC-ND 4.0)</w:t>
      </w:r>
      <w:r>
        <w:rPr>
          <w:rFonts w:ascii="Arial" w:cs="Arial" w:eastAsia="Arial" w:hAnsi="Arial"/>
          <w:sz w:val="24"/>
          <w:szCs w:val="24"/>
        </w:rPr>
        <w:t xml:space="preserve">. </w:t>
      </w:r>
      <w:hyperlink w:history="1" r:id="rId1wwel5qlmvevnucivmjdm">
        <w:r>
          <w:rPr>
            <w:rStyle w:val="Hyperlink"/>
            <w:rFonts w:ascii="Arial" w:cs="Arial" w:eastAsia="Arial" w:hAnsi="Arial"/>
            <w:sz w:val="24"/>
            <w:szCs w:val="24"/>
          </w:rPr>
          <w:t xml:space="preserve">https://creativecommons.org/licenses/by-nc-nd/4.0/deed.es</w:t>
        </w:r>
      </w:hyperlink>
    </w:p>
    <w:p>
      <w:pPr>
        <w:spacing w:after="0" w:before="0" w:line="360" w:lineRule="auto"/>
        <w:ind w:left="720" w:hanging="720"/>
        <w:jc w:val="left"/>
      </w:pPr>
      <w:r>
        <w:rPr>
          <w:rFonts w:ascii="Arial" w:cs="Arial" w:eastAsia="Arial" w:hAnsi="Arial"/>
          <w:sz w:val="24"/>
          <w:szCs w:val="24"/>
        </w:rPr>
        <w:t xml:space="preserve">Instituto Mexicano de la Propiedad Industrial. (2025). </w:t>
      </w:r>
      <w:r>
        <w:rPr>
          <w:rFonts w:ascii="Arial" w:cs="Arial" w:eastAsia="Arial" w:hAnsi="Arial"/>
          <w:i/>
          <w:iCs/>
          <w:sz w:val="24"/>
          <w:szCs w:val="24"/>
        </w:rPr>
        <w:t xml:space="preserve">Página oficial del Instituto Mexicano de la Propiedad Industrial</w:t>
      </w:r>
      <w:r>
        <w:rPr>
          <w:rFonts w:ascii="Arial" w:cs="Arial" w:eastAsia="Arial" w:hAnsi="Arial"/>
          <w:sz w:val="24"/>
          <w:szCs w:val="24"/>
        </w:rPr>
        <w:t xml:space="preserve">. </w:t>
      </w:r>
      <w:hyperlink w:history="1" r:id="rIdi9pruqcyohiagzsoib_n5">
        <w:r>
          <w:rPr>
            <w:rStyle w:val="Hyperlink"/>
            <w:rFonts w:ascii="Arial" w:cs="Arial" w:eastAsia="Arial" w:hAnsi="Arial"/>
            <w:sz w:val="24"/>
            <w:szCs w:val="24"/>
          </w:rPr>
          <w:t xml:space="preserve">https://www.gob.mx/impi</w:t>
        </w:r>
      </w:hyperlink>
    </w:p>
    <w:p>
      <w:pPr>
        <w:spacing w:after="0" w:before="0" w:line="360" w:lineRule="auto"/>
        <w:ind w:left="720" w:hanging="720"/>
        <w:jc w:val="left"/>
      </w:pPr>
      <w:r>
        <w:rPr>
          <w:rFonts w:ascii="Arial" w:cs="Arial" w:eastAsia="Arial" w:hAnsi="Arial"/>
          <w:sz w:val="24"/>
          <w:szCs w:val="24"/>
        </w:rPr>
        <w:t xml:space="preserve">Instituto Nacional del Derecho de Autor. (2025). </w:t>
      </w:r>
      <w:r>
        <w:rPr>
          <w:rFonts w:ascii="Arial" w:cs="Arial" w:eastAsia="Arial" w:hAnsi="Arial"/>
          <w:i/>
          <w:iCs/>
          <w:sz w:val="24"/>
          <w:szCs w:val="24"/>
        </w:rPr>
        <w:t xml:space="preserve">Plataforma de trámites en línea – INDARELÍN</w:t>
      </w:r>
      <w:r>
        <w:rPr>
          <w:rFonts w:ascii="Arial" w:cs="Arial" w:eastAsia="Arial" w:hAnsi="Arial"/>
          <w:sz w:val="24"/>
          <w:szCs w:val="24"/>
        </w:rPr>
        <w:t xml:space="preserve">. </w:t>
      </w:r>
      <w:hyperlink w:history="1" r:id="rIdasljttvdp3rvowodfouvu">
        <w:r>
          <w:rPr>
            <w:rStyle w:val="Hyperlink"/>
            <w:rFonts w:ascii="Arial" w:cs="Arial" w:eastAsia="Arial" w:hAnsi="Arial"/>
            <w:sz w:val="24"/>
            <w:szCs w:val="24"/>
          </w:rPr>
          <w:t xml:space="preserve">https://sindautor.cultura.gob.mx/admin/</w:t>
        </w:r>
      </w:hyperlink>
    </w:p>
    <w:p>
      <w:pPr>
        <w:spacing w:after="0" w:before="0" w:line="360" w:lineRule="auto"/>
        <w:ind w:left="720" w:hanging="720"/>
        <w:jc w:val="left"/>
      </w:pPr>
      <w:r>
        <w:rPr>
          <w:rFonts w:ascii="Arial" w:cs="Arial" w:eastAsia="Arial" w:hAnsi="Arial"/>
          <w:sz w:val="24"/>
          <w:szCs w:val="24"/>
        </w:rPr>
        <w:t xml:space="preserve">Jalife, M. (8 de enero de 2025). Confirma Sala Especializada la no registrabilidad de obras de IA. </w:t>
      </w:r>
      <w:r>
        <w:rPr>
          <w:rFonts w:ascii="Arial" w:cs="Arial" w:eastAsia="Arial" w:hAnsi="Arial"/>
          <w:i/>
          <w:iCs/>
          <w:sz w:val="24"/>
          <w:szCs w:val="24"/>
        </w:rPr>
        <w:t xml:space="preserve">El Financiero</w:t>
      </w:r>
      <w:r>
        <w:rPr>
          <w:rFonts w:ascii="Arial" w:cs="Arial" w:eastAsia="Arial" w:hAnsi="Arial"/>
          <w:sz w:val="24"/>
          <w:szCs w:val="24"/>
        </w:rPr>
        <w:t xml:space="preserve">. </w:t>
      </w:r>
      <w:hyperlink w:history="1" r:id="rId79a-xakzzxdaoopwhk10z">
        <w:r>
          <w:rPr>
            <w:rStyle w:val="Hyperlink"/>
            <w:rFonts w:ascii="Arial" w:cs="Arial" w:eastAsia="Arial" w:hAnsi="Arial"/>
            <w:sz w:val="24"/>
            <w:szCs w:val="24"/>
          </w:rPr>
          <w:t xml:space="preserve">https://www.elfinanciero.com.mx/opinion/mauricio-jalife/2025/01/08/confirma-sala-especializada-la-no-registrabilidad-de-obras-de-ia/</w:t>
        </w:r>
      </w:hyperlink>
    </w:p>
    <w:p>
      <w:pPr>
        <w:spacing w:after="0" w:before="0" w:line="360" w:lineRule="auto"/>
        <w:ind w:left="720" w:hanging="720"/>
        <w:jc w:val="left"/>
      </w:pPr>
      <w:r>
        <w:rPr>
          <w:rFonts w:ascii="Arial" w:cs="Arial" w:eastAsia="Arial" w:hAnsi="Arial"/>
          <w:sz w:val="24"/>
          <w:szCs w:val="24"/>
        </w:rPr>
        <w:t xml:space="preserve">Organización Mundial de la Propiedad Intelectual. (s.f.). </w:t>
      </w:r>
      <w:r>
        <w:rPr>
          <w:rFonts w:ascii="Arial" w:cs="Arial" w:eastAsia="Arial" w:hAnsi="Arial"/>
          <w:i/>
          <w:iCs/>
          <w:sz w:val="24"/>
          <w:szCs w:val="24"/>
        </w:rPr>
        <w:t xml:space="preserve">Convenio de París para la Protección de la Propiedad Industrial</w:t>
      </w:r>
      <w:r>
        <w:rPr>
          <w:rFonts w:ascii="Arial" w:cs="Arial" w:eastAsia="Arial" w:hAnsi="Arial"/>
          <w:sz w:val="24"/>
          <w:szCs w:val="24"/>
        </w:rPr>
        <w:t xml:space="preserve">. </w:t>
      </w:r>
      <w:hyperlink w:history="1" r:id="rIdtuuv-vjm9agdtdw4ogdkt">
        <w:r>
          <w:rPr>
            <w:rStyle w:val="Hyperlink"/>
            <w:rFonts w:ascii="Arial" w:cs="Arial" w:eastAsia="Arial" w:hAnsi="Arial"/>
            <w:sz w:val="24"/>
            <w:szCs w:val="24"/>
          </w:rPr>
          <w:t xml:space="preserve">https://www.wipo.int/treaties/es/ip/paris/</w:t>
        </w:r>
      </w:hyperlink>
    </w:p>
    <w:p>
      <w:pPr>
        <w:spacing w:after="0" w:before="0" w:line="360" w:lineRule="auto"/>
        <w:ind w:left="720" w:hanging="720"/>
        <w:jc w:val="left"/>
      </w:pPr>
      <w:r>
        <w:rPr>
          <w:rFonts w:ascii="Arial" w:cs="Arial" w:eastAsia="Arial" w:hAnsi="Arial"/>
          <w:sz w:val="24"/>
          <w:szCs w:val="24"/>
        </w:rPr>
        <w:t xml:space="preserve">Organización Mundial de la Propiedad Intelectual. (1979). </w:t>
      </w:r>
      <w:r>
        <w:rPr>
          <w:rFonts w:ascii="Arial" w:cs="Arial" w:eastAsia="Arial" w:hAnsi="Arial"/>
          <w:i/>
          <w:iCs/>
          <w:sz w:val="24"/>
          <w:szCs w:val="24"/>
        </w:rPr>
        <w:t xml:space="preserve">Convenio de Berna para la Protección de las Obras Literarias y Artísticas</w:t>
      </w:r>
      <w:r>
        <w:rPr>
          <w:rFonts w:ascii="Arial" w:cs="Arial" w:eastAsia="Arial" w:hAnsi="Arial"/>
          <w:sz w:val="24"/>
          <w:szCs w:val="24"/>
        </w:rPr>
        <w:t xml:space="preserve"> (Acta de París de 1971, enmendado en 1979). </w:t>
      </w:r>
      <w:hyperlink w:history="1" r:id="rId-mhdlq3rgnyzoi0jcw_ea">
        <w:r>
          <w:rPr>
            <w:rStyle w:val="Hyperlink"/>
            <w:rFonts w:ascii="Arial" w:cs="Arial" w:eastAsia="Arial" w:hAnsi="Arial"/>
            <w:sz w:val="24"/>
            <w:szCs w:val="24"/>
          </w:rPr>
          <w:t xml:space="preserve">https://www.wipo.int/treaties/es/ip/berne/</w:t>
        </w:r>
      </w:hyperlink>
    </w:p>
    <w:p>
      <w:pPr>
        <w:spacing w:after="0" w:before="0" w:line="360" w:lineRule="auto"/>
        <w:ind w:left="720" w:hanging="720"/>
        <w:jc w:val="left"/>
      </w:pPr>
      <w:r>
        <w:rPr>
          <w:rFonts w:ascii="Arial" w:cs="Arial" w:eastAsia="Arial" w:hAnsi="Arial"/>
          <w:sz w:val="24"/>
          <w:szCs w:val="24"/>
        </w:rPr>
        <w:t xml:space="preserve">Organización Mundial de la Propiedad Intelectual. (1996). </w:t>
      </w:r>
      <w:r>
        <w:rPr>
          <w:rFonts w:ascii="Arial" w:cs="Arial" w:eastAsia="Arial" w:hAnsi="Arial"/>
          <w:i/>
          <w:iCs/>
          <w:sz w:val="24"/>
          <w:szCs w:val="24"/>
        </w:rPr>
        <w:t xml:space="preserve">Tratado de la OMPI sobre Derecho de Autor (WCT)</w:t>
      </w:r>
      <w:r>
        <w:rPr>
          <w:rFonts w:ascii="Arial" w:cs="Arial" w:eastAsia="Arial" w:hAnsi="Arial"/>
          <w:sz w:val="24"/>
          <w:szCs w:val="24"/>
        </w:rPr>
        <w:t xml:space="preserve">. </w:t>
      </w:r>
      <w:hyperlink w:history="1" r:id="rIdrdqucwdap8jsi5hybs7vt">
        <w:r>
          <w:rPr>
            <w:rStyle w:val="Hyperlink"/>
            <w:rFonts w:ascii="Arial" w:cs="Arial" w:eastAsia="Arial" w:hAnsi="Arial"/>
            <w:sz w:val="24"/>
            <w:szCs w:val="24"/>
          </w:rPr>
          <w:t xml:space="preserve">https://www.wipo.int/treaties/es/ip/wct/</w:t>
        </w:r>
      </w:hyperlink>
    </w:p>
    <w:p>
      <w:pPr>
        <w:spacing w:after="0" w:before="0" w:line="360" w:lineRule="auto"/>
        <w:ind w:left="720" w:hanging="720"/>
        <w:jc w:val="left"/>
      </w:pPr>
      <w:r>
        <w:rPr>
          <w:rFonts w:ascii="Arial" w:cs="Arial" w:eastAsia="Arial" w:hAnsi="Arial"/>
          <w:sz w:val="24"/>
          <w:szCs w:val="24"/>
        </w:rPr>
        <w:t xml:space="preserve">Organización Mundial de la Propiedad Intelectual. (2020). </w:t>
      </w:r>
      <w:r>
        <w:rPr>
          <w:rFonts w:ascii="Arial" w:cs="Arial" w:eastAsia="Arial" w:hAnsi="Arial"/>
          <w:i/>
          <w:iCs/>
          <w:sz w:val="24"/>
          <w:szCs w:val="24"/>
        </w:rPr>
        <w:t xml:space="preserve">¿Qué es la propiedad intelectual?</w:t>
      </w:r>
      <w:r>
        <w:rPr>
          <w:rFonts w:ascii="Arial" w:cs="Arial" w:eastAsia="Arial" w:hAnsi="Arial"/>
          <w:sz w:val="24"/>
          <w:szCs w:val="24"/>
        </w:rPr>
        <w:t xml:space="preserve"> </w:t>
      </w:r>
      <w:hyperlink w:history="1" r:id="rIdkqvckvvp5goa-gitg-v4b">
        <w:r>
          <w:rPr>
            <w:rStyle w:val="Hyperlink"/>
            <w:rFonts w:ascii="Arial" w:cs="Arial" w:eastAsia="Arial" w:hAnsi="Arial"/>
            <w:sz w:val="24"/>
            <w:szCs w:val="24"/>
          </w:rPr>
          <w:t xml:space="preserve">https://tind.wipo.int/record/44180?v=pdf</w:t>
        </w:r>
      </w:hyperlink>
    </w:p>
    <w:p>
      <w:pPr>
        <w:spacing w:after="0" w:before="0" w:line="360" w:lineRule="auto"/>
        <w:ind w:left="720" w:hanging="720"/>
        <w:jc w:val="left"/>
      </w:pPr>
      <w:r>
        <w:rPr>
          <w:rFonts w:ascii="Arial" w:cs="Arial" w:eastAsia="Arial" w:hAnsi="Arial"/>
          <w:sz w:val="24"/>
          <w:szCs w:val="24"/>
        </w:rPr>
        <w:t xml:space="preserve">Organización Mundial de la Propiedad Intelectual. (2025a). </w:t>
      </w:r>
      <w:r>
        <w:rPr>
          <w:rFonts w:ascii="Arial" w:cs="Arial" w:eastAsia="Arial" w:hAnsi="Arial"/>
          <w:i/>
          <w:iCs/>
          <w:sz w:val="24"/>
          <w:szCs w:val="24"/>
        </w:rPr>
        <w:t xml:space="preserve">Secretos comerciales</w:t>
      </w:r>
      <w:r>
        <w:rPr>
          <w:rFonts w:ascii="Arial" w:cs="Arial" w:eastAsia="Arial" w:hAnsi="Arial"/>
          <w:sz w:val="24"/>
          <w:szCs w:val="24"/>
        </w:rPr>
        <w:t xml:space="preserve">. </w:t>
      </w:r>
      <w:hyperlink w:history="1" r:id="rIdv6zzepxszoo5cntq828wj">
        <w:r>
          <w:rPr>
            <w:rStyle w:val="Hyperlink"/>
            <w:rFonts w:ascii="Arial" w:cs="Arial" w:eastAsia="Arial" w:hAnsi="Arial"/>
            <w:sz w:val="24"/>
            <w:szCs w:val="24"/>
          </w:rPr>
          <w:t xml:space="preserve">https://www.wipo.int/es/web/trade-secrets</w:t>
        </w:r>
      </w:hyperlink>
    </w:p>
    <w:p>
      <w:pPr>
        <w:spacing w:after="0" w:before="0" w:line="360" w:lineRule="auto"/>
        <w:ind w:left="720" w:hanging="720"/>
        <w:jc w:val="left"/>
      </w:pPr>
      <w:r>
        <w:rPr>
          <w:rFonts w:ascii="Arial" w:cs="Arial" w:eastAsia="Arial" w:hAnsi="Arial"/>
          <w:sz w:val="24"/>
          <w:szCs w:val="24"/>
        </w:rPr>
        <w:t xml:space="preserve">Organización Mundial de la Propiedad Intelectual. (2025b). </w:t>
      </w:r>
      <w:r>
        <w:rPr>
          <w:rFonts w:ascii="Arial" w:cs="Arial" w:eastAsia="Arial" w:hAnsi="Arial"/>
          <w:i/>
          <w:iCs/>
          <w:sz w:val="24"/>
          <w:szCs w:val="24"/>
        </w:rPr>
        <w:t xml:space="preserve">Sistema de Madrid: el sistema internacional de marcas</w:t>
      </w:r>
      <w:r>
        <w:rPr>
          <w:rFonts w:ascii="Arial" w:cs="Arial" w:eastAsia="Arial" w:hAnsi="Arial"/>
          <w:sz w:val="24"/>
          <w:szCs w:val="24"/>
        </w:rPr>
        <w:t xml:space="preserve">. </w:t>
      </w:r>
      <w:hyperlink w:history="1" r:id="rId-pswrquhtumwjtu36nygt">
        <w:r>
          <w:rPr>
            <w:rStyle w:val="Hyperlink"/>
            <w:rFonts w:ascii="Arial" w:cs="Arial" w:eastAsia="Arial" w:hAnsi="Arial"/>
            <w:sz w:val="24"/>
            <w:szCs w:val="24"/>
          </w:rPr>
          <w:t xml:space="preserve">https://www.wipo.int/es/web/madrid-system/</w:t>
        </w:r>
      </w:hyperlink>
    </w:p>
    <w:p>
      <w:pPr>
        <w:spacing w:after="0" w:before="0" w:line="360" w:lineRule="auto"/>
        <w:ind w:left="720" w:hanging="720"/>
        <w:jc w:val="left"/>
      </w:pPr>
      <w:r>
        <w:rPr>
          <w:rFonts w:ascii="Arial" w:cs="Arial" w:eastAsia="Arial" w:hAnsi="Arial"/>
          <w:sz w:val="24"/>
          <w:szCs w:val="24"/>
        </w:rPr>
        <w:t xml:space="preserve">Organización Mundial del Comercio. (1994). </w:t>
      </w:r>
      <w:r>
        <w:rPr>
          <w:rFonts w:ascii="Arial" w:cs="Arial" w:eastAsia="Arial" w:hAnsi="Arial"/>
          <w:i/>
          <w:iCs/>
          <w:sz w:val="24"/>
          <w:szCs w:val="24"/>
        </w:rPr>
        <w:t xml:space="preserve">Acuerdo sobre los aspectos de los derechos de propiedad intelectual relacionados con el comercio (ADPIC)</w:t>
      </w:r>
      <w:r>
        <w:rPr>
          <w:rFonts w:ascii="Arial" w:cs="Arial" w:eastAsia="Arial" w:hAnsi="Arial"/>
          <w:sz w:val="24"/>
          <w:szCs w:val="24"/>
        </w:rPr>
        <w:t xml:space="preserve">. </w:t>
      </w:r>
      <w:hyperlink w:history="1" r:id="rId6rxcmdjep4oxef1oblvhi">
        <w:r>
          <w:rPr>
            <w:rStyle w:val="Hyperlink"/>
            <w:rFonts w:ascii="Arial" w:cs="Arial" w:eastAsia="Arial" w:hAnsi="Arial"/>
            <w:sz w:val="24"/>
            <w:szCs w:val="24"/>
          </w:rPr>
          <w:t xml:space="preserve">https://www.wto.org/spanish/docs_s/legal_s/27-trips.pdf</w:t>
        </w:r>
      </w:hyperlink>
    </w:p>
    <w:p>
      <w:pPr>
        <w:spacing w:after="0" w:before="0" w:line="360" w:lineRule="auto"/>
        <w:ind w:left="720" w:hanging="720"/>
        <w:jc w:val="left"/>
      </w:pPr>
      <w:r>
        <w:rPr>
          <w:rFonts w:ascii="Arial" w:cs="Arial" w:eastAsia="Arial" w:hAnsi="Arial"/>
          <w:sz w:val="24"/>
          <w:szCs w:val="24"/>
        </w:rPr>
        <w:t xml:space="preserve">Parlamento Europeo y Consejo de la Unión Europea. (2016). </w:t>
      </w:r>
      <w:r>
        <w:rPr>
          <w:rFonts w:ascii="Arial" w:cs="Arial" w:eastAsia="Arial" w:hAnsi="Arial"/>
          <w:i/>
          <w:iCs/>
          <w:sz w:val="24"/>
          <w:szCs w:val="24"/>
        </w:rPr>
        <w:t xml:space="preserve">Reglamento (UE) 2016/679 relativo a la protección de las personas físicas en lo que respecta al tratamiento de datos personales y a la libre circulación de estos datos (Reglamento General de Protección de Datos)</w:t>
      </w:r>
      <w:r>
        <w:rPr>
          <w:rFonts w:ascii="Arial" w:cs="Arial" w:eastAsia="Arial" w:hAnsi="Arial"/>
          <w:sz w:val="24"/>
          <w:szCs w:val="24"/>
        </w:rPr>
        <w:t xml:space="preserve">. Diario Oficial de la Unión Europea. </w:t>
      </w:r>
      <w:hyperlink w:history="1" r:id="rIdy7dm_hidpwlf6smhpevwj">
        <w:r>
          <w:rPr>
            <w:rStyle w:val="Hyperlink"/>
            <w:rFonts w:ascii="Arial" w:cs="Arial" w:eastAsia="Arial" w:hAnsi="Arial"/>
            <w:sz w:val="24"/>
            <w:szCs w:val="24"/>
          </w:rPr>
          <w:t xml:space="preserve">https://eur-lex.europa.eu/legal-content/ES/TXT/?uri=CELEX:32016R0679</w:t>
        </w:r>
      </w:hyperlink>
    </w:p>
    <w:p>
      <w:pPr>
        <w:spacing w:after="0" w:before="0" w:line="360" w:lineRule="auto"/>
        <w:ind w:left="720" w:hanging="720"/>
        <w:jc w:val="left"/>
      </w:pPr>
      <w:r>
        <w:rPr>
          <w:rFonts w:ascii="Arial" w:cs="Arial" w:eastAsia="Arial" w:hAnsi="Arial"/>
          <w:sz w:val="24"/>
          <w:szCs w:val="24"/>
        </w:rPr>
        <w:t xml:space="preserve">Uceda Carrillo, P. P. (2025). </w:t>
      </w:r>
      <w:r>
        <w:rPr>
          <w:rFonts w:ascii="Arial" w:cs="Arial" w:eastAsia="Arial" w:hAnsi="Arial"/>
          <w:i/>
          <w:iCs/>
          <w:sz w:val="24"/>
          <w:szCs w:val="24"/>
        </w:rPr>
        <w:t xml:space="preserve">Manual práctico de propiedad industrial: cómo proteger la innovación sin perder la paciencia</w:t>
      </w:r>
      <w:r>
        <w:rPr>
          <w:rFonts w:ascii="Arial" w:cs="Arial" w:eastAsia="Arial" w:hAnsi="Arial"/>
          <w:sz w:val="24"/>
          <w:szCs w:val="24"/>
        </w:rPr>
        <w:t xml:space="preserve">. FC Editorial. </w:t>
      </w:r>
      <w:hyperlink w:history="1" r:id="rIdx_0gsnoc_tauax--j74z3">
        <w:r>
          <w:rPr>
            <w:rStyle w:val="Hyperlink"/>
            <w:rFonts w:ascii="Arial" w:cs="Arial" w:eastAsia="Arial" w:hAnsi="Arial"/>
            <w:sz w:val="24"/>
            <w:szCs w:val="24"/>
          </w:rPr>
          <w:t xml:space="preserve">https://elibro.net/es/ereader/bibliotecauveg/294209?page=18</w:t>
        </w:r>
      </w:hyperlink>
    </w:p>
    <w:p>
      <w:pPr>
        <w:spacing w:after="0" w:before="0" w:line="360" w:lineRule="auto"/>
        <w:ind w:left="720" w:hanging="720"/>
        <w:jc w:val="left"/>
      </w:pPr>
      <w:r>
        <w:rPr>
          <w:rFonts w:ascii="Arial" w:cs="Arial" w:eastAsia="Arial" w:hAnsi="Arial"/>
          <w:sz w:val="24"/>
          <w:szCs w:val="24"/>
        </w:rPr>
        <w:t xml:space="preserve">Universidad Virtual del Estado de Guanajuato. (s.f.). </w:t>
      </w:r>
      <w:r>
        <w:rPr>
          <w:rFonts w:ascii="Arial" w:cs="Arial" w:eastAsia="Arial" w:hAnsi="Arial"/>
          <w:i/>
          <w:iCs/>
          <w:sz w:val="24"/>
          <w:szCs w:val="24"/>
        </w:rPr>
        <w:t xml:space="preserve">Propiedad intelectual en la era digital</w:t>
      </w:r>
      <w:r>
        <w:rPr>
          <w:rFonts w:ascii="Arial" w:cs="Arial" w:eastAsia="Arial" w:hAnsi="Arial"/>
          <w:sz w:val="24"/>
          <w:szCs w:val="24"/>
        </w:rPr>
        <w:t xml:space="preserve"> [Texto de la Lección 10].</w:t>
      </w:r>
    </w:p>
    <w:sectPr>
      <w:headerReference w:type="default" r:id="rId7"/>
      <w:headerReference w:type="first" r:id="rId8"/>
      <w:pgSz w:w="12240" w:h="15840" w:orient="portrait"/>
      <w:pgMar w:top="1417" w:right="1701" w:bottom="1417"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MX"/>
      </w:rPr>
    </w:rPrDefault>
    <w:pPrDefault>
      <w:pPr>
        <w:spacing w:after="0" w:before="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0" w:line="360" w:lineRule="auto"/>
      <w:jc w:val="center"/>
      <w:outlineLvl w:val="0"/>
    </w:pPr>
    <w:rPr>
      <w:rFonts w:ascii="Arial" w:cs="Arial" w:eastAsia="Arial" w:hAnsi="Arial"/>
      <w:b/>
      <w:bCs/>
      <w:color w:val="000000"/>
      <w:sz w:val="24"/>
      <w:szCs w:val="24"/>
    </w:rPr>
  </w:style>
  <w:style w:type="paragraph" w:styleId="Heading2">
    <w:name w:val="Heading 2"/>
    <w:basedOn w:val="Normal"/>
    <w:next w:val="Normal"/>
    <w:qFormat/>
    <w:pPr>
      <w:spacing w:after="0" w:before="0" w:line="360" w:lineRule="auto"/>
      <w:outlineLvl w:val="1"/>
    </w:pPr>
    <w:rPr>
      <w:rFonts w:ascii="Arial" w:cs="Arial" w:eastAsia="Arial" w:hAnsi="Arial"/>
      <w:b/>
      <w:bCs/>
      <w:color w:val="000000"/>
      <w:sz w:val="24"/>
      <w:szCs w:val="24"/>
    </w:rPr>
  </w:style>
  <w:style w:type="paragraph" w:styleId="Heading3">
    <w:name w:val="Heading 3"/>
    <w:basedOn w:val="Normal"/>
    <w:next w:val="Normal"/>
    <w:qFormat/>
    <w:pPr>
      <w:spacing w:after="0" w:before="0" w:line="360" w:lineRule="auto"/>
      <w:outlineLvl w:val="2"/>
    </w:pPr>
    <w:rPr>
      <w:rFonts w:ascii="Arial" w:cs="Arial" w:eastAsia="Arial" w:hAnsi="Arial"/>
      <w:b/>
      <w:bCs/>
      <w:i/>
      <w:iCs/>
      <w:color w:val="000000"/>
      <w:sz w:val="24"/>
      <w:szCs w:val="24"/>
    </w:rPr>
  </w:style>
  <w:style w:type="character" w:styleId="Hyperlink">
    <w:name w:val="Hyperlink"/>
    <w:basedOn w:val="DefaultParagraph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zbpz1assahsv1r2vi6axx" Type="http://schemas.openxmlformats.org/officeDocument/2006/relationships/hyperlink" Target="https://doi.org/10.18601/16923960.v24n1.01" TargetMode="External"/><Relationship Id="rId0oj3b3z2yipej6b72c9cd" Type="http://schemas.openxmlformats.org/officeDocument/2006/relationships/hyperlink" Target="https://www.diputados.gob.mx/LeyesBiblio/pdf/LFPDPPP.pdf" TargetMode="External"/><Relationship Id="rIdop05ftyza0z58t_vfyfii" Type="http://schemas.openxmlformats.org/officeDocument/2006/relationships/hyperlink" Target="https://www.diputados.gob.mx/LeyesBiblio/pdf/LFDA.pdf" TargetMode="External"/><Relationship Id="rIdlvdf-w3kuzpijruc3ogwt" Type="http://schemas.openxmlformats.org/officeDocument/2006/relationships/hyperlink" Target="https://www.diputados.gob.mx/LeyesBiblio/pdf/LFPPI.pdf" TargetMode="External"/><Relationship Id="rIdce1pnx3p4zkvvube617rz" Type="http://schemas.openxmlformats.org/officeDocument/2006/relationships/hyperlink" Target="https://www.cedro.org/blog/articulo/blog.cedro.org/2021/05/18/convenio-berna-derechos-autor" TargetMode="External"/><Relationship Id="rId_kgpvqdg94b1wgfofzf4q" Type="http://schemas.openxmlformats.org/officeDocument/2006/relationships/hyperlink" Target="https://congreso-dss.ciess.org/" TargetMode="External"/><Relationship Id="rIdcw-zkdybflwyn0qeh2nph" Type="http://schemas.openxmlformats.org/officeDocument/2006/relationships/hyperlink" Target="https://home.ciess.org/" TargetMode="External"/><Relationship Id="rId2yfbqfobuu4ym3dwnhlxg" Type="http://schemas.openxmlformats.org/officeDocument/2006/relationships/hyperlink" Target="https://home.ciess.org/riuss/" TargetMode="External"/><Relationship Id="rId1wwel5qlmvevnucivmjdm" Type="http://schemas.openxmlformats.org/officeDocument/2006/relationships/hyperlink" Target="https://creativecommons.org/licenses/by-nc-nd/4.0/deed.es" TargetMode="External"/><Relationship Id="rIdi9pruqcyohiagzsoib_n5" Type="http://schemas.openxmlformats.org/officeDocument/2006/relationships/hyperlink" Target="https://www.gob.mx/impi" TargetMode="External"/><Relationship Id="rIdasljttvdp3rvowodfouvu" Type="http://schemas.openxmlformats.org/officeDocument/2006/relationships/hyperlink" Target="https://sindautor.cultura.gob.mx/admin/" TargetMode="External"/><Relationship Id="rId79a-xakzzxdaoopwhk10z" Type="http://schemas.openxmlformats.org/officeDocument/2006/relationships/hyperlink" Target="https://www.elfinanciero.com.mx/opinion/mauricio-jalife/2025/01/08/confirma-sala-especializada-la-no-registrabilidad-de-obras-de-ia/" TargetMode="External"/><Relationship Id="rIdtuuv-vjm9agdtdw4ogdkt" Type="http://schemas.openxmlformats.org/officeDocument/2006/relationships/hyperlink" Target="https://www.wipo.int/treaties/es/ip/paris/" TargetMode="External"/><Relationship Id="rId-mhdlq3rgnyzoi0jcw_ea" Type="http://schemas.openxmlformats.org/officeDocument/2006/relationships/hyperlink" Target="https://www.wipo.int/treaties/es/ip/berne/" TargetMode="External"/><Relationship Id="rIdrdqucwdap8jsi5hybs7vt" Type="http://schemas.openxmlformats.org/officeDocument/2006/relationships/hyperlink" Target="https://www.wipo.int/treaties/es/ip/wct/" TargetMode="External"/><Relationship Id="rIdkqvckvvp5goa-gitg-v4b" Type="http://schemas.openxmlformats.org/officeDocument/2006/relationships/hyperlink" Target="https://tind.wipo.int/record/44180?v=pdf" TargetMode="External"/><Relationship Id="rIdv6zzepxszoo5cntq828wj" Type="http://schemas.openxmlformats.org/officeDocument/2006/relationships/hyperlink" Target="https://www.wipo.int/es/web/trade-secrets" TargetMode="External"/><Relationship Id="rId-pswrquhtumwjtu36nygt" Type="http://schemas.openxmlformats.org/officeDocument/2006/relationships/hyperlink" Target="https://www.wipo.int/es/web/madrid-system/" TargetMode="External"/><Relationship Id="rId6rxcmdjep4oxef1oblvhi" Type="http://schemas.openxmlformats.org/officeDocument/2006/relationships/hyperlink" Target="https://www.wto.org/spanish/docs_s/legal_s/27-trips.pdf" TargetMode="External"/><Relationship Id="rIdy7dm_hidpwlf6smhpevwj" Type="http://schemas.openxmlformats.org/officeDocument/2006/relationships/hyperlink" Target="https://eur-lex.europa.eu/legal-content/ES/TXT/?uri=CELEX:32016R0679" TargetMode="External"/><Relationship Id="rIdx_0gsnoc_tauax--j74z3" Type="http://schemas.openxmlformats.org/officeDocument/2006/relationships/hyperlink" Target="https://elibro.net/es/ereader/bibliotecauveg/294209?page=18" TargetMode="External"/><Relationship Id="rId9" Type="http://schemas.openxmlformats.org/officeDocument/2006/relationships/image" Target="media/5951818202f0ae4061aa00d74cf0fca5c1ca172b.png"/><Relationship Id="rId10" Type="http://schemas.openxmlformats.org/officeDocument/2006/relationships/image" Target="media/759452d37c7609302b9d34d617285dd8479bc98c.jp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integral de gestión de riesgos informáticos relacionados con la violación de derechos de propiedad intelectual en el CIESS</dc:title>
  <dc:creator>Arturo David Navarrete Flores</dc:creator>
  <cp:lastModifiedBy>Un-named</cp:lastModifiedBy>
  <cp:revision>1</cp:revision>
  <dcterms:created xsi:type="dcterms:W3CDTF">2026-10-13T16:41:10.803Z</dcterms:created>
  <dcterms:modified xsi:type="dcterms:W3CDTF">2026-10-13T16:41:10.803Z</dcterms:modified>
</cp:coreProperties>
</file>

<file path=docProps/custom.xml><?xml version="1.0" encoding="utf-8"?>
<Properties xmlns="http://schemas.openxmlformats.org/officeDocument/2006/custom-properties" xmlns:vt="http://schemas.openxmlformats.org/officeDocument/2006/docPropsVTypes"/>
</file>