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line="276" w:lineRule="auto"/>
        <w:jc w:val="center"/>
      </w:pPr>
      <w:r>
        <w:drawing>
          <wp:inline distT="0" distB="0" distL="0" distR="0">
            <wp:extent cx="1714500" cy="819150"/>
            <wp:effectExtent t="0" r="0" b="0" l="0"/>
            <wp:docPr id="1" name="logo" descr="Logotipo de la Universidad Virtual del Estado de Guanajuato" title="UV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819150"/>
                    </a:xfrm>
                    <a:prstGeom prst="rect">
                      <a:avLst/>
                    </a:prstGeom>
                  </pic:spPr>
                </pic:pic>
              </a:graphicData>
            </a:graphic>
          </wp:inline>
        </w:drawing>
      </w:r>
    </w:p>
    <w:p>
      <w:pPr>
        <w:spacing w:after="0" w:before="0" w:line="276" w:lineRule="auto"/>
        <w:jc w:val="center"/>
      </w:pPr>
      <w:r>
        <w:rPr>
          <w:rFonts w:ascii="Arial" w:cs="Arial" w:eastAsia="Arial" w:hAnsi="Arial"/>
          <w:b/>
          <w:bCs/>
          <w:color w:val="1F4E79"/>
          <w:sz w:val="32"/>
          <w:szCs w:val="32"/>
        </w:rPr>
        <w:t xml:space="preserve">Universidad Virtual del Estado de Guanajuato</w:t>
      </w:r>
    </w:p>
    <w:p>
      <w:pPr>
        <w:spacing w:after="0" w:before="120" w:line="276" w:lineRule="auto"/>
        <w:jc w:val="center"/>
      </w:pPr>
      <w:r>
        <w:rPr>
          <w:rFonts w:ascii="Arial" w:cs="Arial" w:eastAsia="Arial" w:hAnsi="Arial"/>
          <w:b/>
          <w:bCs/>
          <w:color w:val="1F4E79"/>
          <w:sz w:val="32"/>
          <w:szCs w:val="32"/>
        </w:rPr>
        <w:t xml:space="preserve">Maestría en Inteligencia Artificial</w:t>
      </w:r>
    </w:p>
    <w:p>
      <w:pPr>
        <w:spacing w:after="0" w:before="360" w:line="276" w:lineRule="auto"/>
        <w:jc w:val="center"/>
      </w:pPr>
      <w:r>
        <w:rPr>
          <w:rFonts w:ascii="Arial" w:cs="Arial" w:eastAsia="Arial" w:hAnsi="Arial"/>
          <w:b/>
          <w:bCs/>
          <w:color w:val="1F4E79"/>
          <w:sz w:val="32"/>
          <w:szCs w:val="32"/>
        </w:rPr>
        <w:t xml:space="preserve">Módulo: </w:t>
      </w:r>
      <w:r>
        <w:rPr>
          <w:rFonts w:ascii="Arial" w:cs="Arial" w:eastAsia="Arial" w:hAnsi="Arial"/>
          <w:b/>
          <w:bCs/>
          <w:color w:val="1F4E79"/>
          <w:sz w:val="32"/>
          <w:szCs w:val="32"/>
        </w:rPr>
        <w:t xml:space="preserve">Aspectos éticos y normativos de la Ciencia de Datos e Inteligencia Artificial</w:t>
      </w:r>
    </w:p>
    <w:p>
      <w:pPr>
        <w:spacing w:after="0" w:before="360" w:line="276" w:lineRule="auto"/>
        <w:jc w:val="center"/>
      </w:pPr>
      <w:r>
        <w:rPr>
          <w:rFonts w:ascii="Arial" w:cs="Arial" w:eastAsia="Arial" w:hAnsi="Arial"/>
          <w:b/>
          <w:bCs/>
          <w:color w:val="1F4E79"/>
          <w:sz w:val="32"/>
          <w:szCs w:val="32"/>
        </w:rPr>
        <w:t xml:space="preserve">Reto 3: </w:t>
      </w:r>
      <w:r>
        <w:rPr>
          <w:rFonts w:ascii="Arial" w:cs="Arial" w:eastAsia="Arial" w:hAnsi="Arial"/>
          <w:b/>
          <w:bCs/>
          <w:color w:val="1F4E79"/>
          <w:sz w:val="32"/>
          <w:szCs w:val="32"/>
        </w:rPr>
        <w:t xml:space="preserve">Normatividad y políticas relacionadas con la ciencia de datos e IA</w:t>
      </w:r>
    </w:p>
    <w:p>
      <w:pPr>
        <w:spacing w:after="0" w:before="360" w:line="276" w:lineRule="auto"/>
        <w:jc w:val="center"/>
      </w:pPr>
      <w:r>
        <w:rPr>
          <w:rFonts w:ascii="Arial" w:cs="Arial" w:eastAsia="Arial" w:hAnsi="Arial"/>
          <w:b/>
          <w:bCs/>
          <w:color w:val="1F4E79"/>
          <w:sz w:val="32"/>
          <w:szCs w:val="32"/>
        </w:rPr>
        <w:t xml:space="preserve">Normatividad aplicable al uso de la ciencia de datos y la inteligencia artificial en el CIESS: evaluación y recomendaciones</w:t>
      </w:r>
    </w:p>
    <w:p>
      <w:pPr>
        <w:spacing w:after="0" w:before="600" w:line="276" w:lineRule="auto"/>
        <w:jc w:val="center"/>
      </w:pPr>
      <w:r>
        <w:rPr>
          <w:rFonts w:ascii="Arial" w:cs="Arial" w:eastAsia="Arial" w:hAnsi="Arial"/>
          <w:b/>
          <w:bCs/>
          <w:color w:val="1F4E79"/>
          <w:sz w:val="32"/>
          <w:szCs w:val="32"/>
        </w:rPr>
        <w:t xml:space="preserve">Nombre del alumno: </w:t>
      </w:r>
      <w:r>
        <w:rPr>
          <w:rFonts w:ascii="Arial" w:cs="Arial" w:eastAsia="Arial" w:hAnsi="Arial"/>
          <w:b/>
          <w:bCs/>
          <w:color w:val="1F4E79"/>
          <w:sz w:val="32"/>
          <w:szCs w:val="32"/>
        </w:rPr>
        <w:t xml:space="preserve">Arturo David Navarrete Flores</w:t>
      </w:r>
    </w:p>
    <w:p>
      <w:pPr>
        <w:spacing w:after="0" w:before="120" w:line="276" w:lineRule="auto"/>
        <w:jc w:val="center"/>
      </w:pPr>
      <w:r>
        <w:rPr>
          <w:rFonts w:ascii="Arial" w:cs="Arial" w:eastAsia="Arial" w:hAnsi="Arial"/>
          <w:b/>
          <w:bCs/>
          <w:color w:val="1F4E79"/>
          <w:sz w:val="32"/>
          <w:szCs w:val="32"/>
        </w:rPr>
        <w:t xml:space="preserve">Matrícula: </w:t>
      </w:r>
      <w:r>
        <w:rPr>
          <w:rFonts w:ascii="Arial" w:cs="Arial" w:eastAsia="Arial" w:hAnsi="Arial"/>
          <w:b/>
          <w:bCs/>
          <w:color w:val="1F4E79"/>
          <w:sz w:val="32"/>
          <w:szCs w:val="32"/>
        </w:rPr>
        <w:t xml:space="preserve">26014842</w:t>
      </w:r>
    </w:p>
    <w:p>
      <w:pPr>
        <w:spacing w:after="0" w:before="120" w:line="276" w:lineRule="auto"/>
        <w:jc w:val="center"/>
      </w:pPr>
      <w:r>
        <w:rPr>
          <w:rFonts w:ascii="Arial" w:cs="Arial" w:eastAsia="Arial" w:hAnsi="Arial"/>
          <w:b/>
          <w:bCs/>
          <w:color w:val="1F4E79"/>
          <w:sz w:val="32"/>
          <w:szCs w:val="32"/>
        </w:rPr>
        <w:t xml:space="preserve">Nombre del asesor: </w:t>
      </w:r>
      <w:r>
        <w:rPr>
          <w:rFonts w:ascii="Arial" w:cs="Arial" w:eastAsia="Arial" w:hAnsi="Arial"/>
          <w:b/>
          <w:bCs/>
          <w:color w:val="1F4E79"/>
          <w:sz w:val="32"/>
          <w:szCs w:val="32"/>
        </w:rPr>
        <w:t xml:space="preserve">Laura Antonia Aldana Ortiz</w:t>
      </w:r>
    </w:p>
    <w:p>
      <w:pPr>
        <w:spacing w:after="0" w:before="120" w:line="276" w:lineRule="auto"/>
        <w:jc w:val="center"/>
      </w:pPr>
      <w:r>
        <w:rPr>
          <w:rFonts w:ascii="Arial" w:cs="Arial" w:eastAsia="Arial" w:hAnsi="Arial"/>
          <w:b/>
          <w:bCs/>
          <w:color w:val="1F4E79"/>
          <w:sz w:val="32"/>
          <w:szCs w:val="32"/>
        </w:rPr>
        <w:t xml:space="preserve">Fecha de elaboración: </w:t>
      </w:r>
      <w:r>
        <w:rPr>
          <w:rFonts w:ascii="Arial" w:cs="Arial" w:eastAsia="Arial" w:hAnsi="Arial"/>
          <w:b/>
          <w:bCs/>
          <w:color w:val="1F4E79"/>
          <w:sz w:val="32"/>
          <w:szCs w:val="32"/>
        </w:rPr>
        <w:t xml:space="preserve">11 de octubre de 2026</w:t>
      </w:r>
    </w:p>
    <w:p>
      <w:pPr>
        <w:spacing w:after="0" w:before="120" w:line="276" w:lineRule="auto"/>
        <w:jc w:val="center"/>
      </w:pPr>
      <w:r>
        <w:rPr>
          <w:rFonts w:ascii="Arial" w:cs="Arial" w:eastAsia="Arial" w:hAnsi="Arial"/>
          <w:b/>
          <w:bCs/>
          <w:color w:val="1F4E79"/>
          <w:sz w:val="32"/>
          <w:szCs w:val="32"/>
        </w:rPr>
        <w:t xml:space="preserve">Declaratoria de originalidad: </w:t>
      </w:r>
      <w:r>
        <w:rPr>
          <w:rFonts w:ascii="Arial" w:cs="Arial" w:eastAsia="Arial" w:hAnsi="Arial"/>
          <w:b/>
          <w:bCs/>
          <w:color w:val="1F4E79"/>
          <w:sz w:val="32"/>
          <w:szCs w:val="32"/>
        </w:rPr>
        <w:t xml:space="preserve">se anexa en la página siguiente</w:t>
      </w:r>
    </w:p>
    <w:p>
      <w:pPr>
        <w:pageBreakBefore/>
        <w:spacing w:line="240" w:lineRule="auto"/>
        <w:jc w:val="center"/>
      </w:pPr>
      <w:r>
        <w:drawing>
          <wp:inline distT="0" distB="0" distL="0" distR="0">
            <wp:extent cx="5619750" cy="6981825"/>
            <wp:effectExtent t="0" r="0" b="0" l="0"/>
            <wp:docPr id="1" name="declaratoria" descr="Declaración del estudiante firmada (declaratoria de originalidad)" title="Decla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6981825"/>
                    </a:xfrm>
                    <a:prstGeom prst="rect">
                      <a:avLst/>
                    </a:prstGeom>
                  </pic:spPr>
                </pic:pic>
              </a:graphicData>
            </a:graphic>
          </wp:inline>
        </w:drawing>
      </w:r>
    </w:p>
    <w:p>
      <w:pPr>
        <w:pStyle w:val="Heading1"/>
        <w:keepNext/>
        <w:pageBreakBefore/>
        <w:spacing w:after="0" w:before="0" w:line="360" w:lineRule="auto"/>
        <w:jc w:val="center"/>
      </w:pPr>
      <w:r>
        <w:rPr>
          <w:rFonts w:ascii="Arial" w:cs="Arial" w:eastAsia="Arial" w:hAnsi="Arial"/>
          <w:b/>
          <w:bCs/>
          <w:color w:val="000000"/>
          <w:sz w:val="24"/>
          <w:szCs w:val="24"/>
        </w:rPr>
        <w:t xml:space="preserve">Normatividad aplicable al uso de la ciencia de datos y la inteligencia artificial en el CIESS: evaluación y recomendaciones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El Centro Interamericano de Estudios de Seguridad Social (CIESS) es el órgano de docencia, capacitación e investigación de la Conferencia Interamericana de Seguridad Social (CISS), un organismo internacional, técnico, especializado y sin fines de lucro que reúne a más de 80 instituciones de 36 países (Centro Interamericano de Estudios de Seguridad Social [CIESS], s.f.-d). Laboro en el CIESS desde 2014 como diseñador UX/UI y desarrollador de herramientas digitales. En esa función construyo sistemas que tratan datos de personas de numerosos países —constancias, el registro de un congreso internacional, un complemento del campus virtual— y, más recientemente, lo hago con apoyo de asistentes de inteligencia artificial (IA) generativa (Navarrete Flores, 2026a).</w:t>
      </w:r>
    </w:p>
    <w:p>
      <w:pPr>
        <w:spacing w:after="0" w:before="0" w:line="360" w:lineRule="auto"/>
        <w:ind w:firstLine="720"/>
        <w:jc w:val="both"/>
      </w:pPr>
      <w:r>
        <w:rPr>
          <w:rFonts w:ascii="Arial" w:cs="Arial" w:eastAsia="Arial" w:hAnsi="Arial"/>
          <w:sz w:val="24"/>
          <w:szCs w:val="24"/>
        </w:rPr>
        <w:t xml:space="preserve">Este reporte evalúa qué normatividad es aplicable al uso de la ciencia de datos y la IA en esa organización. Revisa la normatividad de las Lecciones, la nacional y la internacional con la que el CIESS se vincula por la procedencia de sus participantes y proveedores, e incluye las propuestas de ley en curso. Después describe el sistema de IA (información, función y uso), identifica qué actividades del CIESS caen dentro de cada instrumento y propone recomendaciones personales para prevenir riesgos futuros.</w:t>
      </w:r>
    </w:p>
    <w:p>
      <w:pPr>
        <w:spacing w:after="0" w:before="0" w:line="360" w:lineRule="auto"/>
        <w:ind w:firstLine="720"/>
        <w:jc w:val="both"/>
      </w:pPr>
      <w:r>
        <w:rPr>
          <w:rFonts w:ascii="Arial" w:cs="Arial" w:eastAsia="Arial" w:hAnsi="Arial"/>
          <w:sz w:val="24"/>
          <w:szCs w:val="24"/>
        </w:rPr>
        <w:t xml:space="preserve">Antes de afirmar que un documento “obliga”, lo clasifiqué como ley vigente, norma obligatoria, tratado, recomendación no vinculante, estándar voluntario, política pública o iniciativa, y verifiqué su estatus a la fecha de elaboración, el 11 de octubre de 2026. Los instrumentos que solo pude contrastar en fuentes especializadas, y no en el texto oficial, se señalan con la fuente que los respalda.</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0" w:line="360" w:lineRule="auto"/>
        <w:jc w:val="left"/>
      </w:pPr>
      <w:r>
        <w:rPr>
          <w:rFonts w:ascii="Arial" w:cs="Arial" w:eastAsia="Arial" w:hAnsi="Arial"/>
          <w:b/>
          <w:bCs/>
          <w:color w:val="000000"/>
          <w:sz w:val="24"/>
          <w:szCs w:val="24"/>
        </w:rPr>
        <w:t xml:space="preserve">1. La organización y sus actividades</w:t>
      </w:r>
    </w:p>
    <w:p>
      <w:pPr>
        <w:spacing w:after="0" w:before="0" w:line="360" w:lineRule="auto"/>
        <w:ind w:firstLine="720"/>
        <w:jc w:val="both"/>
      </w:pPr>
      <w:r>
        <w:rPr>
          <w:rFonts w:ascii="Arial" w:cs="Arial" w:eastAsia="Arial" w:hAnsi="Arial"/>
          <w:sz w:val="24"/>
          <w:szCs w:val="24"/>
        </w:rPr>
        <w:t xml:space="preserve">El CIESS no es una dependencia del Estado mexicano ni un particular ordinario. Es un órgano de un organismo internacional con sede en la Ciudad de México, cuya personalidad jurídica, según declara la propia CISS, le reconoce el Estado mexicano conforme a su acuerdo de sede (Conferencia Interamericana de Seguridad Social [CISS], s.f.). Esto condiciona la aplicación de las leyes mexicanas: la Ley Federal de Protección de Datos Personales en Posesión de los Particulares regula a las personas físicas o morales de carácter privado (Ley Federal de Protección de Datos Personales en Posesión de los Particulares [LFPDPPP], 2025, art. 2, fr. XVI), y la ley del sector público se dirige a sujetos obligados del Estado (Ley General de Protección de Datos Personales en Posesión de Sujetos Obligados [LGPDPPSO], 2025). No localicé el texto del acuerdo de sede ni un criterio de autoridad que resuelva si esas leyes obligan directamente al CIESS; por eso las trato como estándar mínimo de referencia y no como una obligación probada, y en el apartado 5 recomiendo solicitar una opinión jurídica formal.</w:t>
      </w:r>
    </w:p>
    <w:p>
      <w:pPr>
        <w:spacing w:after="0" w:before="0" w:line="360" w:lineRule="auto"/>
        <w:ind w:firstLine="720"/>
        <w:jc w:val="both"/>
      </w:pPr>
      <w:r>
        <w:rPr>
          <w:rFonts w:ascii="Arial" w:cs="Arial" w:eastAsia="Arial" w:hAnsi="Arial"/>
          <w:sz w:val="24"/>
          <w:szCs w:val="24"/>
        </w:rPr>
        <w:t xml:space="preserve">Hay razones prácticas para esa postura. El Reglamento Académico reconoce a las personas estudiantes el derecho a la protección de sus datos personales “conforme a la normativa vigente” (CIESS, 2025, art. 5, inciso h); el sistema de registro del congreso, desarrollado en mi área, se redactó conforme a la ley mexicana, la brasileña y la europea; y los proveedores tecnológicos y las personas participantes sí están sujetos a las leyes de sus propios países.</w:t>
      </w:r>
    </w:p>
    <w:p>
      <w:pPr>
        <w:spacing w:after="0" w:before="0" w:line="360" w:lineRule="auto"/>
        <w:ind w:firstLine="720"/>
        <w:jc w:val="both"/>
      </w:pPr>
      <w:r>
        <w:rPr>
          <w:rFonts w:ascii="Arial" w:cs="Arial" w:eastAsia="Arial" w:hAnsi="Arial"/>
          <w:sz w:val="24"/>
          <w:szCs w:val="24"/>
        </w:rPr>
        <w:t xml:space="preserve">El Cuadro 1 reúne las actividades del CIESS que identifiqué a partir de su sitio web, su Reglamento Académico y mi experiencia en el área (CIESS, s.f.-a, s.f.-b, s.f.-d, s.f.-e, 2025). Para cada una indica los datos que trata y si interviene la IA o la analítica de datos.</w:t>
      </w:r>
    </w:p>
    <w:p>
      <w:pPr>
        <w:keepNext/>
        <w:spacing w:after="0" w:before="0" w:line="360" w:lineRule="auto"/>
      </w:pPr>
      <w:r>
        <w:rPr>
          <w:rFonts w:ascii="Arial" w:cs="Arial" w:eastAsia="Arial" w:hAnsi="Arial"/>
          <w:b/>
          <w:bCs/>
          <w:sz w:val="24"/>
          <w:szCs w:val="24"/>
        </w:rPr>
        <w:t xml:space="preserve">Cuadro 1</w:t>
      </w:r>
    </w:p>
    <w:p>
      <w:pPr>
        <w:keepNext/>
        <w:spacing w:after="0" w:before="0" w:line="360" w:lineRule="auto"/>
      </w:pPr>
      <w:r>
        <w:rPr>
          <w:rFonts w:ascii="Arial" w:cs="Arial" w:eastAsia="Arial" w:hAnsi="Arial"/>
          <w:i/>
          <w:iCs/>
          <w:sz w:val="24"/>
          <w:szCs w:val="24"/>
        </w:rPr>
        <w:t xml:space="preserve">Actividades del CIESS, datos que tratan y presencia de IA</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338"/>
        <w:gridCol w:w="1900"/>
      </w:tblGrid>
      <w:tr>
        <w:trPr>
          <w:cantSplit/>
          <w:tblHeader/>
        </w:trPr>
        <w:tc>
          <w:tcPr>
            <w:tcW w:type="dxa" w:w="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Cód.</w:t>
            </w:r>
          </w:p>
        </w:tc>
        <w:tc>
          <w:tcPr>
            <w:tcW w:type="dxa" w:w="29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Actividad</w:t>
            </w:r>
          </w:p>
        </w:tc>
        <w:tc>
          <w:tcPr>
            <w:tcW w:type="dxa" w:w="33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Datos que trata</w:t>
            </w:r>
          </w:p>
        </w:tc>
        <w:tc>
          <w:tcPr>
            <w:tcW w:type="dxa" w:w="19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IA o analítica</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Formación: cursos, diplomados, seminarios, talleres y microaprendizajes en campus virtual y sesiones sincrónicas (Zoom, Meet)</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Nombre, correo, asistencia, calificaciones, grabaciones de voz e imagen; justificantes médicos y solicitudes alimentarias (sensibles)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Posible (A15)</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A2</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Inscripción y admisión de participantes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Nombre, nacionalidad, institución, CV, identificación oficial con fotografía, carta de motivación; recepción por correo y WhatsApp</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Posible (A15); sin evidencia de decisiones automatizadas</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A3</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Acreditación: calificaciones, actas y constancias con código QR</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Nombre, programa, calificación, asistencia, folio, URL pública, historial de versiones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Automatización por reglas, no IA; hecha con apoyo de IA (A13)</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A4</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Congresos y eventos internacionales: registro trilingüe, ponencias, transmisión</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Contacto, semblanza, fotografía, vuelo y hospedaje, régimen alimentario y accesibilidad (sensibles), huella irreversible de IP</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Regresión lineal simple; dictamen por personas; hecho con apoyo de IA (A13)</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A5</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Becas y gestión de docentes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Tipo de beca, institución postulante, datos y horarios de docentes, programación de sesiones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Analítica en hojas de cálculo; posible IA (A15)</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A6</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Sitio web institucional y micrositios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IP, navegación y cookies, mensajes de formularios, correos del boletín</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Analítica de uso; posible IA (A15); asistente propuesto (A14)</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A7</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Producción editorial y multimedia: boletines, revistas, libros, podcast, video, infografías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Imagen y voz de ponentes, semblanzas, obras de terceros, datos incidentales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Posible IA generativa para redactar, ilustrar o narrar</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A8</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Tableros y reportes académicos y financieros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Matrículas, pagos, becas, calificaciones, cifras por país e institución</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Ciencia de datos: automatización y visualización</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A9</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Directorio y relación con instituciones miembro (Red Interamericana de Universidades para la Seguridad Social [RIUSS], CISS, Junta Directiva)</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Nombre, cargo, institución, correo institucional, fotografía</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A10</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Biblioteca Digital en Seguridad Social (BIDISS) y catálogo</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Metadatos de obras, semblanzas; posibles datos de personas usuarias (no verificado)</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 verificado</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A11</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Investigación y asistencia técnica; registro de investigadores; estancias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CV y documentos probatorios, propuestas, posibles bases de instituciones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Posible; por confirmar</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A12</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Comunicación institucional: correo, WhatsApp, redes sociales, boletín</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Teléfonos, cuentas, mensajes, imágenes de participantes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IA integrada en plataformas (A15)</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A13</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Desarrollo y producción con asistentes de IA generativa</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Código, esquemas, textos institucionales; datos de prueba</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Sí: sistema S1 (en uso)</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A14</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Asistente virtual con generación aumentada por recuperación (RAG) para el sitio web (propuesta)</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Conversaciones libres que pueden incluir datos personales, idioma, sentimiento</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Sí: sistema S2 (propuesto)</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A15</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IA integrada en herramientas cotidianas: videoconferencia, suites en la nube, buscadores, mensajería</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Audio, video, transcripciones, documentos, mensajes, navegación</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Sí: sistema S3 (sin inventario)</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A16</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Cobranza y pagos de matrícula</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Comprobantes bancarios, datos de facturación, adeudos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w:t>
            </w:r>
          </w:p>
        </w:tc>
      </w:tr>
      <w:tr>
        <w:trPr>
          <w:cantSplit/>
        </w:trPr>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A17</w:t>
            </w:r>
          </w:p>
        </w:tc>
        <w:tc>
          <w:tcPr>
            <w:tcW w:type="dxa" w:w="2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Logística presencial: hospedaje, alimentación y traslados</w:t>
            </w:r>
          </w:p>
        </w:tc>
        <w:tc>
          <w:tcPr>
            <w:tcW w:type="dxa" w:w="3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Género (habitaciones), pasaporte, vuelos, contacto de emergencia, dietas (sensibles)</w:t>
            </w:r>
          </w:p>
        </w:tc>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w:t>
            </w:r>
          </w:p>
        </w:tc>
      </w:tr>
    </w:tbl>
    <w:p>
      <w:pPr>
        <w:spacing w:after="240" w:before="60" w:line="240" w:lineRule="auto"/>
      </w:pPr>
      <w:r>
        <w:rPr>
          <w:rFonts w:ascii="Arial" w:cs="Arial" w:eastAsia="Arial" w:hAnsi="Arial"/>
          <w:i/>
          <w:iCs/>
          <w:sz w:val="20"/>
          <w:szCs w:val="20"/>
        </w:rPr>
        <w:t xml:space="preserve">Nota.</w:t>
      </w:r>
      <w:r>
        <w:rPr>
          <w:rFonts w:ascii="Arial" w:cs="Arial" w:eastAsia="Arial" w:hAnsi="Arial"/>
          <w:sz w:val="20"/>
          <w:szCs w:val="20"/>
        </w:rPr>
        <w:t xml:space="preserve"> Elaboración propia. S1, S2 y S3 son los sistemas de IA descritos en el apartado 2. Las actividades A16 y A17 las añadí al contrastar el sitio con el Reglamento Académico.</w:t>
      </w:r>
    </w:p>
    <w:p>
      <w:pPr>
        <w:spacing w:after="0" w:before="0" w:line="360" w:lineRule="auto"/>
        <w:ind w:firstLine="720"/>
        <w:jc w:val="both"/>
      </w:pPr>
      <w:r>
        <w:rPr>
          <w:rFonts w:ascii="Arial" w:cs="Arial" w:eastAsia="Arial" w:hAnsi="Arial"/>
          <w:sz w:val="24"/>
          <w:szCs w:val="24"/>
        </w:rPr>
        <w:t xml:space="preserve">Salvo las actividades A13 a A15, ninguna usa IA de forma deliberada y documentada. Sin embargo, todas tratan datos personales y varias, datos sensibles (A1, A2, A4 y A17), por lo que el riesgo normativo dominante hoy es el de protección de datos y no el de la regulación específica de la IA. Esa lectura es consistente con el estado de la regulación en México, donde no existe una ley marco de IA y las reglas avanzan por sectores (ITSitio, 2026; Lara, 2024).</w:t>
      </w:r>
    </w:p>
    <w:p>
      <w:pPr>
        <w:pStyle w:val="Heading2"/>
        <w:keepNext/>
        <w:spacing w:after="0" w:before="0" w:line="360" w:lineRule="auto"/>
        <w:jc w:val="left"/>
      </w:pPr>
      <w:r>
        <w:rPr>
          <w:rFonts w:ascii="Arial" w:cs="Arial" w:eastAsia="Arial" w:hAnsi="Arial"/>
          <w:b/>
          <w:bCs/>
          <w:color w:val="000000"/>
          <w:sz w:val="24"/>
          <w:szCs w:val="24"/>
        </w:rPr>
        <w:t xml:space="preserve">2. Los sistemas de IA: información, función y uso</w:t>
      </w:r>
    </w:p>
    <w:p>
      <w:pPr>
        <w:spacing w:after="0" w:before="0" w:line="360" w:lineRule="auto"/>
        <w:ind w:firstLine="720"/>
        <w:jc w:val="both"/>
      </w:pPr>
      <w:r>
        <w:rPr>
          <w:rFonts w:ascii="Arial" w:cs="Arial" w:eastAsia="Arial" w:hAnsi="Arial"/>
          <w:sz w:val="24"/>
          <w:szCs w:val="24"/>
        </w:rPr>
        <w:t xml:space="preserve">Identifiqué tres sistemas de IA. S1 es el asistente de IA generativa que uso para desarrollar herramientas; S2 es un asistente virtual para el sitio web que propuse en otro módulo y que aún no se despliega (Navarrete Flores, 2026b); y S3 es la IA incorporada en herramientas de uso cotidiano. Los analizo juntos porque las normas aplican de forma distinta según el estado y el riesgo de cada uno. Aclaro que el motor de constancias y la proyección de inscripciones del congreso son automatización basada en reglas y estadística simple (regresión lineal), no aprendizaje automático (Navarrete Flores, 2026a); los incluyo porque tratan los mismos datos.</w:t>
      </w:r>
    </w:p>
    <w:p>
      <w:pPr>
        <w:pStyle w:val="Heading3"/>
        <w:keepNext/>
        <w:spacing w:after="0" w:before="0" w:line="360" w:lineRule="auto"/>
        <w:jc w:val="left"/>
      </w:pPr>
      <w:r>
        <w:rPr>
          <w:rFonts w:ascii="Arial" w:cs="Arial" w:eastAsia="Arial" w:hAnsi="Arial"/>
          <w:b/>
          <w:bCs/>
          <w:i/>
          <w:iCs/>
          <w:color w:val="000000"/>
          <w:sz w:val="24"/>
          <w:szCs w:val="24"/>
        </w:rPr>
        <w:t xml:space="preserve">2.1 Información del sistema de IA</w:t>
      </w:r>
    </w:p>
    <w:p>
      <w:pPr>
        <w:spacing w:after="0" w:before="0" w:line="360" w:lineRule="auto"/>
        <w:ind w:firstLine="720"/>
        <w:jc w:val="both"/>
      </w:pPr>
      <w:r>
        <w:rPr>
          <w:rFonts w:ascii="Arial" w:cs="Arial" w:eastAsia="Arial" w:hAnsi="Arial"/>
          <w:sz w:val="24"/>
          <w:szCs w:val="24"/>
        </w:rPr>
        <w:t xml:space="preserve">El Cuadro 2 resume la información de cada sistema. La versión del modelo cambia con las actualizaciones del proveedor, por lo que la ficha debe revisarse periódicamente.</w:t>
      </w:r>
    </w:p>
    <w:p>
      <w:pPr>
        <w:keepNext/>
        <w:spacing w:after="0" w:before="0" w:line="360" w:lineRule="auto"/>
      </w:pPr>
      <w:r>
        <w:rPr>
          <w:rFonts w:ascii="Arial" w:cs="Arial" w:eastAsia="Arial" w:hAnsi="Arial"/>
          <w:b/>
          <w:bCs/>
          <w:sz w:val="24"/>
          <w:szCs w:val="24"/>
        </w:rPr>
        <w:t xml:space="preserve">Cuadro 2</w:t>
      </w:r>
    </w:p>
    <w:p>
      <w:pPr>
        <w:keepNext/>
        <w:spacing w:after="0" w:before="0" w:line="360" w:lineRule="auto"/>
      </w:pPr>
      <w:r>
        <w:rPr>
          <w:rFonts w:ascii="Arial" w:cs="Arial" w:eastAsia="Arial" w:hAnsi="Arial"/>
          <w:i/>
          <w:iCs/>
          <w:sz w:val="24"/>
          <w:szCs w:val="24"/>
        </w:rPr>
        <w:t xml:space="preserve">Ficha de los sistemas de IA del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2446"/>
        <w:gridCol w:w="2446"/>
        <w:gridCol w:w="2446"/>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Aspecto</w:t>
            </w:r>
          </w:p>
        </w:tc>
        <w:tc>
          <w:tcPr>
            <w:tcW w:type="dxa" w:w="24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S1. Asistente de IA generativa para desarrollo</w:t>
            </w:r>
          </w:p>
        </w:tc>
        <w:tc>
          <w:tcPr>
            <w:tcW w:type="dxa" w:w="24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S2. Asistente virtual del sitio web</w:t>
            </w:r>
          </w:p>
        </w:tc>
        <w:tc>
          <w:tcPr>
            <w:tcW w:type="dxa" w:w="24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S3. IA integrada en herramientas cotidianas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Tipo de sistema</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Asistente de programación (Claude Code, de Anthropic): modelo de lenguaje de gran tamaño que lee y edita código, ejecuta pruebas y redacta documentación</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Chatbot conversacional con IA generativa y generación aumentada por recuperación (RAG) sobre el sitio, catálogos y reglamentos; modelo candidato: GPT-4 u otro de código abierto ajustado</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Funciones de IA de videoconferencia (resúmenes, transcripción), suites ofimáticas en la nube, buscadores y mensajería, y asistentes que usan las personas participantes en los cursos de IA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Estado</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En uso en mi área</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Propuesta; no desplegado</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En uso; funciones activadas sin documentar</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Proveedor y alojamiento</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Proveedor extranjero; servicio en la nube, de modo que el código y las instrucciones se procesan en servidores del proveedor</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Por decidir; se integraría como widget mediante API y dependería del proveedor del modelo y de la nube</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Proveedores de cada plataforma (Zoom, Google, Microsoft, Meta, Adobe, entre otros)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Datos de entrada</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Instrucciones, fragmentos de código, esquemas y textos institucionales; por criterio propio, solo datos de demostración, sin credenciales ni datos personales reales</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Preguntas libres de las personas usuarias, que pueden incluir nombres, correos, folios o datos de salud; idioma; historial</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Audio, video, documentos, mensajes y metadatos de participantes y personal</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Salidas</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Código, scripts, documentación y textos</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Respuestas informativas en español, portugués e inglés; resumen para la persona que atiende; clasificación de consultas (fase 2)</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Transcripciones, resúmenes, sugerencias y recomendaciones algorítmicas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Supervisión humana</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Revisión y pruebas en una copia antes de producción; una persona responde por el resultado</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Escalamiento a una persona cuando la consulta lo requiera</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Depende de la configuración de cada plataforma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Riesgo según la iniciativa mexicana (2025)</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Mínimo: uso interno, sin decisiones sobre personas</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Limitado: “asistentes virtuales informativos”; alto si interviniera en admisiones o becas</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Mínimo a limitado, según la función</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Riesgo según el Reglamento de IA de la Unión Europea (UE)</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Herramienta interna; sin obligaciones de alto riesgo</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Transparencia: informar que se interactúa con una IA (art. 50)</w:t>
            </w:r>
          </w:p>
        </w:tc>
        <w:tc>
          <w:tcPr>
            <w:tcW w:type="dxa" w:w="24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Variable según la función</w:t>
            </w:r>
          </w:p>
        </w:tc>
      </w:tr>
    </w:tbl>
    <w:p>
      <w:pPr>
        <w:spacing w:after="240" w:before="60" w:line="240" w:lineRule="auto"/>
      </w:pPr>
      <w:r>
        <w:rPr>
          <w:rFonts w:ascii="Arial" w:cs="Arial" w:eastAsia="Arial" w:hAnsi="Arial"/>
          <w:i/>
          <w:iCs/>
          <w:sz w:val="20"/>
          <w:szCs w:val="20"/>
        </w:rPr>
        <w:t xml:space="preserve">Nota.</w:t>
      </w:r>
      <w:r>
        <w:rPr>
          <w:rFonts w:ascii="Arial" w:cs="Arial" w:eastAsia="Arial" w:hAnsi="Arial"/>
          <w:sz w:val="20"/>
          <w:szCs w:val="20"/>
        </w:rPr>
        <w:t xml:space="preserve"> Elaboración propia con base en Navarrete Flores (2026a, 2026b), la iniciativa de Jiménez Godoy et al. (2025) y el Reglamento (UE) 2024/1689 (Parlamento Europeo y Consejo de la Unión Europea [PE y CUE], 2024).</w:t>
      </w:r>
    </w:p>
    <w:p>
      <w:pPr>
        <w:pStyle w:val="Heading3"/>
        <w:keepNext/>
        <w:spacing w:after="0" w:before="0" w:line="360" w:lineRule="auto"/>
        <w:jc w:val="left"/>
      </w:pPr>
      <w:r>
        <w:rPr>
          <w:rFonts w:ascii="Arial" w:cs="Arial" w:eastAsia="Arial" w:hAnsi="Arial"/>
          <w:b/>
          <w:bCs/>
          <w:i/>
          <w:iCs/>
          <w:color w:val="000000"/>
          <w:sz w:val="24"/>
          <w:szCs w:val="24"/>
        </w:rPr>
        <w:t xml:space="preserve">2.2 Función del sistema de IA</w:t>
      </w:r>
    </w:p>
    <w:p>
      <w:pPr>
        <w:spacing w:after="0" w:before="0" w:line="360" w:lineRule="auto"/>
        <w:ind w:firstLine="720"/>
        <w:jc w:val="both"/>
      </w:pPr>
      <w:r>
        <w:rPr>
          <w:rFonts w:ascii="Arial" w:cs="Arial" w:eastAsia="Arial" w:hAnsi="Arial"/>
          <w:sz w:val="24"/>
          <w:szCs w:val="24"/>
        </w:rPr>
        <w:t xml:space="preserve">La función de S1 es acelerar el desarrollo y el mantenimiento de herramientas digitales: generar y revisar código, depurar errores, proponer pruebas y documentar. Con este apoyo se construyeron el sistema de constancias, el sistema de registro del congreso y el complemento del campus virtual (Navarrete Flores, 2026a). S1 no toma decisiones sobre personas: produce código y textos que una persona revisa, prueba en una copia y publica.</w:t>
      </w:r>
    </w:p>
    <w:p>
      <w:pPr>
        <w:spacing w:after="0" w:before="0" w:line="360" w:lineRule="auto"/>
        <w:ind w:firstLine="720"/>
        <w:jc w:val="both"/>
      </w:pPr>
      <w:r>
        <w:rPr>
          <w:rFonts w:ascii="Arial" w:cs="Arial" w:eastAsia="Arial" w:hAnsi="Arial"/>
          <w:sz w:val="24"/>
          <w:szCs w:val="24"/>
        </w:rPr>
        <w:t xml:space="preserve">La función de S2 sería atender de forma ininterrumpida las consultas frecuentes de las personas interesadas en español, portugués e inglés, recuperando la respuesta de los documentos oficiales del CIESS mediante RAG y escalando a una persona cuando la consulta lo requiera (Navarrete Flores, 2026b). La función de S3 es auxiliar: transcribir y resumir sesiones, sugerir textos y ordenar contenidos dentro de las plataformas que ya se usan.</w:t>
      </w:r>
    </w:p>
    <w:p>
      <w:pPr>
        <w:pStyle w:val="Heading3"/>
        <w:keepNext/>
        <w:spacing w:after="0" w:before="0" w:line="360" w:lineRule="auto"/>
        <w:jc w:val="left"/>
      </w:pPr>
      <w:r>
        <w:rPr>
          <w:rFonts w:ascii="Arial" w:cs="Arial" w:eastAsia="Arial" w:hAnsi="Arial"/>
          <w:b/>
          <w:bCs/>
          <w:i/>
          <w:iCs/>
          <w:color w:val="000000"/>
          <w:sz w:val="24"/>
          <w:szCs w:val="24"/>
        </w:rPr>
        <w:t xml:space="preserve">2.3 Uso que le da el CIESS al sistema de IA</w:t>
      </w:r>
    </w:p>
    <w:p>
      <w:pPr>
        <w:spacing w:after="0" w:before="0" w:line="360" w:lineRule="auto"/>
        <w:ind w:firstLine="720"/>
        <w:jc w:val="both"/>
      </w:pPr>
      <w:r>
        <w:rPr>
          <w:rFonts w:ascii="Arial" w:cs="Arial" w:eastAsia="Arial" w:hAnsi="Arial"/>
          <w:sz w:val="24"/>
          <w:szCs w:val="24"/>
        </w:rPr>
        <w:t xml:space="preserve">En el CIESS el uso de la IA es, hasta donde pude documentar, informal y centrado en personas. Mi área emplea S1 en el desarrollo, con validación humana en cada etapa (Navarrete Flores, 2026a). La institución, además, forma a personal de instituciones de seguridad social en el uso efectivo y responsable de asistentes de IA generativa mediante un microaprendizaje que incluye un módulo sobre uso responsable, ética y privacidad (CIESS, s.f.-c). S2 sigue como propuesta y S3 se usa sin inventario de las funciones activadas.</w:t>
      </w:r>
    </w:p>
    <w:p>
      <w:pPr>
        <w:spacing w:after="0" w:before="0" w:line="360" w:lineRule="auto"/>
        <w:ind w:firstLine="720"/>
        <w:jc w:val="both"/>
      </w:pPr>
      <w:r>
        <w:rPr>
          <w:rFonts w:ascii="Arial" w:cs="Arial" w:eastAsia="Arial" w:hAnsi="Arial"/>
          <w:sz w:val="24"/>
          <w:szCs w:val="24"/>
        </w:rPr>
        <w:t xml:space="preserve">No encontré una política institucional sobre IA ni un aviso de privacidad propio en el sitio: su pie de página remite a la política de privacidad de la CISS (CISS, s.f.) y el Reglamento Académico no menciona la IA (CIESS, 2025). Esa ausencia no prueba que no existan documentos internos, pero sí que no son públicos ni visibles para quienes participan.</w:t>
      </w:r>
    </w:p>
    <w:p>
      <w:pPr>
        <w:pStyle w:val="Heading2"/>
        <w:keepNext/>
        <w:spacing w:after="0" w:before="0" w:line="360" w:lineRule="auto"/>
        <w:jc w:val="left"/>
      </w:pPr>
      <w:r>
        <w:rPr>
          <w:rFonts w:ascii="Arial" w:cs="Arial" w:eastAsia="Arial" w:hAnsi="Arial"/>
          <w:b/>
          <w:bCs/>
          <w:color w:val="000000"/>
          <w:sz w:val="24"/>
          <w:szCs w:val="24"/>
        </w:rPr>
        <w:t xml:space="preserve">3. Normatividad revisada</w:t>
      </w:r>
    </w:p>
    <w:p>
      <w:pPr>
        <w:spacing w:after="0" w:before="0" w:line="360" w:lineRule="auto"/>
        <w:ind w:firstLine="720"/>
        <w:jc w:val="both"/>
      </w:pPr>
      <w:r>
        <w:rPr>
          <w:rFonts w:ascii="Arial" w:cs="Arial" w:eastAsia="Arial" w:hAnsi="Arial"/>
          <w:sz w:val="24"/>
          <w:szCs w:val="24"/>
        </w:rPr>
        <w:t xml:space="preserve">Antes de evaluar la aplicabilidad clasifiqué cada instrumento. Solo la ley vigente y la norma obligatoria obligan a sus destinatarios; el tratado obliga a los Estados que lo ratifican; la recomendación, el estándar voluntario y la política pública orientan, y la iniciativa o el proyecto de ley no producen efectos jurídicos hasta su publicación. Respecto del CIESS uso cuatro categorías de aplicabilidad: directa, condicionada (obliga si se cumple una condición, como tener participantes o servicios en otro país), por analogía o estándar (no obliga, pero es la referencia razonable) y no aplica.</w:t>
      </w:r>
    </w:p>
    <w:p>
      <w:pPr>
        <w:pStyle w:val="Heading3"/>
        <w:keepNext/>
        <w:spacing w:after="0" w:before="0" w:line="360" w:lineRule="auto"/>
        <w:jc w:val="left"/>
      </w:pPr>
      <w:r>
        <w:rPr>
          <w:rFonts w:ascii="Arial" w:cs="Arial" w:eastAsia="Arial" w:hAnsi="Arial"/>
          <w:b/>
          <w:bCs/>
          <w:i/>
          <w:iCs/>
          <w:color w:val="000000"/>
          <w:sz w:val="24"/>
          <w:szCs w:val="24"/>
        </w:rPr>
        <w:t xml:space="preserve">3.1 Normatividad y políticas de México</w:t>
      </w:r>
    </w:p>
    <w:p>
      <w:pPr>
        <w:spacing w:after="0" w:before="0" w:line="360" w:lineRule="auto"/>
        <w:ind w:firstLine="720"/>
        <w:jc w:val="both"/>
      </w:pPr>
      <w:r>
        <w:rPr>
          <w:rFonts w:ascii="Arial" w:cs="Arial" w:eastAsia="Arial" w:hAnsi="Arial"/>
          <w:sz w:val="24"/>
          <w:szCs w:val="24"/>
        </w:rPr>
        <w:t xml:space="preserve">En México no existe una ley marco de IA. Lo vigente son leyes transversales sobre datos personales, propiedad intelectual y delitos informáticos, y lo específico sobre IA son políticas públicas, declaraciones y propuestas de ley (ITSitio, 2026). El Cuadro 3 las clasifica. Sobre la iniciativa de 2025 destaco dos elementos. Su clasificación de riesgos pone como ejemplo de riesgo limitado a los “asistentes virtuales informativos” (Jiménez Godoy et al., 2025, p. 8), que es exactamente lo que sería S2. Y entre sus principios exige que “toda decisión automatizada que tenga consecuencias jurídicas, sociales o personales relevantes deberá contar con supervisión humana efectiva” (Jiménez Godoy et al., 2025, p. 14), una regla coherente con mi práctica de mantener a una persona en el circuito.</w:t>
      </w:r>
    </w:p>
    <w:p>
      <w:pPr>
        <w:keepNext/>
        <w:spacing w:after="0" w:before="0" w:line="360" w:lineRule="auto"/>
      </w:pPr>
      <w:r>
        <w:rPr>
          <w:rFonts w:ascii="Arial" w:cs="Arial" w:eastAsia="Arial" w:hAnsi="Arial"/>
          <w:b/>
          <w:bCs/>
          <w:sz w:val="24"/>
          <w:szCs w:val="24"/>
        </w:rPr>
        <w:t xml:space="preserve">Cuadro 3</w:t>
      </w:r>
    </w:p>
    <w:p>
      <w:pPr>
        <w:keepNext/>
        <w:spacing w:after="0" w:before="0" w:line="360" w:lineRule="auto"/>
      </w:pPr>
      <w:r>
        <w:rPr>
          <w:rFonts w:ascii="Arial" w:cs="Arial" w:eastAsia="Arial" w:hAnsi="Arial"/>
          <w:i/>
          <w:iCs/>
          <w:sz w:val="24"/>
          <w:szCs w:val="24"/>
        </w:rPr>
        <w:t xml:space="preserve">Normatividad y políticas de México revisadas y su aplicabilidad al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038"/>
      </w:tblGrid>
      <w:tr>
        <w:trPr>
          <w:cantSplit/>
          <w:tblHeader/>
        </w:trPr>
        <w:tc>
          <w:tcPr>
            <w:tcW w:type="dxa" w:w="23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Instrumento</w:t>
            </w:r>
          </w:p>
        </w:tc>
        <w:tc>
          <w:tcPr>
            <w:tcW w:type="dxa" w:w="3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Tipo y estatus a octubre de 2026</w:t>
            </w:r>
          </w:p>
        </w:tc>
        <w:tc>
          <w:tcPr>
            <w:tcW w:type="dxa" w:w="30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Aplicabilidad al CIESS y actividades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Constitución Política de los Estados Unidos Mexicanos [CPEUM] (1917), arts. 1, 6 y 16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Ley vigente.</w:t>
            </w:r>
            <w:r>
              <w:rPr>
                <w:rFonts w:ascii="Arial" w:cs="Arial" w:eastAsia="Arial" w:hAnsi="Arial"/>
                <w:sz w:val="20"/>
                <w:szCs w:val="20"/>
              </w:rPr>
              <w:t xml:space="preserve"> Reconoce el derecho a la protección de datos personales y a los derechos de acceso, rectificación, cancelación y oposición (ARCO) (art. 16, párr. 2) y da rango constitucional a los derechos humanos de los tratados internacionales (art. 1).</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Condicionada.</w:t>
            </w:r>
            <w:r>
              <w:rPr>
                <w:rFonts w:ascii="Arial" w:cs="Arial" w:eastAsia="Arial" w:hAnsi="Arial"/>
                <w:sz w:val="20"/>
                <w:szCs w:val="20"/>
              </w:rPr>
              <w:t xml:space="preserve"> Obliga al Estado y funda las leyes que se aplican; en el CIESS es el principio de referencia para todas las actividades.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Ley Federal de Protección de Datos Personales en Posesión de los Particulares (LFPDPPP,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Ley vigente.</w:t>
            </w:r>
            <w:r>
              <w:rPr>
                <w:rFonts w:ascii="Arial" w:cs="Arial" w:eastAsia="Arial" w:hAnsi="Arial"/>
                <w:sz w:val="20"/>
                <w:szCs w:val="20"/>
              </w:rPr>
              <w:t xml:space="preserve"> Publicada en el Diario Oficial de la Federación (DOF) el 20-mar-2025, en vigor desde el 21-mar-2025; última reforma, 14-nov-2025. La autoridad es la Secretaría Anticorrupción y Buen Gobierno, que asumió las funciones del Instituto Nacional de Transparencia, Acceso a la Información y Protección de Datos Personales (INAI). Regula principios (art. 5), consentimiento (arts. 7 y 8), aviso de privacidad (arts. 14 a 16), seguridad y vulneraciones (arts. 18 y 19), derechos ARCO (arts. 21 a 34), oposición al tratamiento automatizado (art. 26, fr. II), transferencias (arts. 35 y 36) y multas de hasta 320,000 Unidades de Medida y Actualización (UMA) (art. 59).</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Directa para sus proveedores privados; para el CIESS, estándar mínimo</w:t>
            </w:r>
            <w:r>
              <w:rPr>
                <w:rFonts w:ascii="Arial" w:cs="Arial" w:eastAsia="Arial" w:hAnsi="Arial"/>
                <w:sz w:val="20"/>
                <w:szCs w:val="20"/>
              </w:rPr>
              <w:t xml:space="preserve"> (apartado 1). Aplica a las actividades A1 a A12, A14, A16 y A17 y a los sistemas S1 a S3 cuando haya datos personales.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Ley General de Protección de Datos Personales en Posesión de Sujetos Obligados (LGPDPPSO,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Ley vigente</w:t>
            </w:r>
            <w:r>
              <w:rPr>
                <w:rFonts w:ascii="Arial" w:cs="Arial" w:eastAsia="Arial" w:hAnsi="Arial"/>
                <w:sz w:val="20"/>
                <w:szCs w:val="20"/>
              </w:rPr>
              <w:t xml:space="preserve"> (DOF 20-mar-2025). Rige el tratamiento de datos en el sector público y sustituyó a la ley de 2017.</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No aplica directamente:</w:t>
            </w:r>
            <w:r>
              <w:rPr>
                <w:rFonts w:ascii="Arial" w:cs="Arial" w:eastAsia="Arial" w:hAnsi="Arial"/>
                <w:sz w:val="20"/>
                <w:szCs w:val="20"/>
              </w:rPr>
              <w:t xml:space="preserve"> el CIESS no es sujeto obligado del Estado mexicano. Sirve de contraste y de referencia para las instituciones públicas miembro (A9, A11).</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Ley Federal del Derecho de Autor [LFDA] (1996), con la reforma de mayo de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Ley vigente.</w:t>
            </w:r>
            <w:r>
              <w:rPr>
                <w:rFonts w:ascii="Arial" w:cs="Arial" w:eastAsia="Arial" w:hAnsi="Arial"/>
                <w:sz w:val="20"/>
                <w:szCs w:val="20"/>
              </w:rPr>
              <w:t xml:space="preserve"> El retrato de una persona solo puede usarse con su consentimiento expreso (art. 87); los derechos patrimoniales de un programa de cómputo creado por empleados corresponden al empleador, salvo pacto en contrario (art. 103). El decreto del 14-may-2026 reformó la LFDA y la Ley Federal del Trabajo para exigir acuerdo previo y por escrito en la clonación de voz o imagen de artistas intérpretes con IA (Basham, 2026).</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Condicionada.</w:t>
            </w:r>
            <w:r>
              <w:rPr>
                <w:rFonts w:ascii="Arial" w:cs="Arial" w:eastAsia="Arial" w:hAnsi="Arial"/>
                <w:sz w:val="20"/>
                <w:szCs w:val="20"/>
              </w:rPr>
              <w:t xml:space="preserve"> Aplica a A7 (voz e imagen de ponentes, obras de terceros), A10 (obras de la biblioteca) y A13 (titularidad del software). Si media una relación laboral regida por la ley mexicana, el art. 103 asigna la titularidad al CIESS.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Amparo directo 6/2025 de la Suprema Corte de Justicia de la Nación [SCJN]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Criterio judicial.</w:t>
            </w:r>
            <w:r>
              <w:rPr>
                <w:rFonts w:ascii="Arial" w:cs="Arial" w:eastAsia="Arial" w:hAnsi="Arial"/>
                <w:sz w:val="20"/>
                <w:szCs w:val="20"/>
              </w:rPr>
              <w:t xml:space="preserve"> La Segunda Sala resolvió el 2-jul-2025 que solo las personas físicas pueden ser autoras: una herramienta de IA no puede ser titular de derechos morales sobre una obra. Su alcance para terceros está por confirmar.</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Por analogía.</w:t>
            </w:r>
            <w:r>
              <w:rPr>
                <w:rFonts w:ascii="Arial" w:cs="Arial" w:eastAsia="Arial" w:hAnsi="Arial"/>
                <w:sz w:val="20"/>
                <w:szCs w:val="20"/>
              </w:rPr>
              <w:t xml:space="preserve"> Orienta A7 y A13: lo generado por IA sin aportación humana creativa no es registrable a nombre de la herramienta.</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Código Penal Federal [CPF] (1931), arts. 211 bis 1 y siguientes y 199 Octies; Ley General de Acceso de las Mujeres a una Vida Libre de Violencia [LGAMVLV] (2007), art. 20 Quáter</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Leyes vigentes.</w:t>
            </w:r>
            <w:r>
              <w:rPr>
                <w:rFonts w:ascii="Arial" w:cs="Arial" w:eastAsia="Arial" w:hAnsi="Arial"/>
                <w:sz w:val="20"/>
                <w:szCs w:val="20"/>
              </w:rPr>
              <w:t xml:space="preserve"> El CPF sanciona el acceso ilícito a sistemas y equipos de informática y la violación a la intimidad sexual (Ley Olimpia, 2021); la LGAMVLV define la violencia digital, que alcanza contenido íntimo real o simulado. La mención expresa de los deepfakes con IA está en iniciativas y dictámenes, no en ley vigente.</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Condicionada.</w:t>
            </w:r>
            <w:r>
              <w:rPr>
                <w:rFonts w:ascii="Arial" w:cs="Arial" w:eastAsia="Arial" w:hAnsi="Arial"/>
                <w:sz w:val="20"/>
                <w:szCs w:val="20"/>
              </w:rPr>
              <w:t xml:space="preserve"> Aplica a la seguridad de los sistemas (A3, A4, A8, A13) y al uso de imagen y voz (A7, A12).</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Iniciativa de Ley Federal para el Desarrollo Ético, Soberano e Inclusivo de la Inteligencia Artificial (Jiménez Godoy et al.,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Iniciativa.</w:t>
            </w:r>
            <w:r>
              <w:rPr>
                <w:rFonts w:ascii="Arial" w:cs="Arial" w:eastAsia="Arial" w:hAnsi="Arial"/>
                <w:sz w:val="20"/>
                <w:szCs w:val="20"/>
              </w:rPr>
              <w:t xml:space="preserve"> Presentada por diputadas y diputados de MORENA y del Partido Verde y publicada en la Gaceta Parlamentaria el 30-abr-2025; hasta donde pude verificar, sin dictamen ni publicación en el DOF. Propone un semáforo de riesgos de cuatro niveles —mínimo, limitado, alto y prohibido— (art. 31), más de veinte principios rectores (art. 6), obligaciones de transparencia (arts. 35 y 36), evaluación de impacto y registro para el alto riesgo (art. 37), derechos de las personas usuarias (art. 44) y multas que superan las 100,000 UMA en infracciones muy graves (art. 132). Alcanzaría a personas extranjeras que operen sistemas en territorio nacional (art. 3).</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No obliga hoy.</w:t>
            </w:r>
            <w:r>
              <w:rPr>
                <w:rFonts w:ascii="Arial" w:cs="Arial" w:eastAsia="Arial" w:hAnsi="Arial"/>
                <w:sz w:val="20"/>
                <w:szCs w:val="20"/>
              </w:rPr>
              <w:t xml:space="preserve"> Es referencia prospectiva: S2 sería de riesgo limitado y S1, de riesgo mínimo; una IA que decidiera admisiones o becas sería de alto riesgo, pues la educación es un sector sensible (art. 32, fr. IV).</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Agenda Nacional Mexicana de Inteligencia Artificial (Coalición IA2030Mx, 2020)</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Política pública no vinculante,</w:t>
            </w:r>
            <w:r>
              <w:rPr>
                <w:rFonts w:ascii="Arial" w:cs="Arial" w:eastAsia="Arial" w:hAnsi="Arial"/>
                <w:sz w:val="20"/>
                <w:szCs w:val="20"/>
              </w:rPr>
              <w:t xml:space="preserve"> propuesta por una coalición multisectorial y no por el Estado, orientada a investigación, educación, gobernanza e inclusión.</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Referencia.</w:t>
            </w:r>
            <w:r>
              <w:rPr>
                <w:rFonts w:ascii="Arial" w:cs="Arial" w:eastAsia="Arial" w:hAnsi="Arial"/>
                <w:sz w:val="20"/>
                <w:szCs w:val="20"/>
              </w:rPr>
              <w:t xml:space="preserve"> Orienta la formación y la investigación del CIESS en IA (A1, A11); no genera obligaciones.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Estrategia Nacional de Ciberseguridad (Gobierno de la República, 2017)</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Política pública</w:t>
            </w:r>
            <w:r>
              <w:rPr>
                <w:rFonts w:ascii="Arial" w:cs="Arial" w:eastAsia="Arial" w:hAnsi="Arial"/>
                <w:sz w:val="20"/>
                <w:szCs w:val="20"/>
              </w:rPr>
              <w:t xml:space="preserve"> de la administración 2012-2018, sin fuerza de ley; con cinco objetivos, tres principios rectores y ocho ejes transversales, entre ellos la gestión de riesgos y la perspectiva de derechos humanos. No localicé una estrategia sucesora formal.</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Referencia</w:t>
            </w:r>
            <w:r>
              <w:rPr>
                <w:rFonts w:ascii="Arial" w:cs="Arial" w:eastAsia="Arial" w:hAnsi="Arial"/>
                <w:sz w:val="20"/>
                <w:szCs w:val="20"/>
              </w:rPr>
              <w:t xml:space="preserve"> para la seguridad de A3, A4, A6 y A8; no obliga al CIESS.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Principios de Chapultepec: declaración de ética y buenas prácticas para la IA (Secretaría de Ciencia, Humanidades, Tecnología e Innovación [SECIHTI],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Declaración orientadora no vinculante,</w:t>
            </w:r>
            <w:r>
              <w:rPr>
                <w:rFonts w:ascii="Arial" w:cs="Arial" w:eastAsia="Arial" w:hAnsi="Arial"/>
                <w:sz w:val="20"/>
                <w:szCs w:val="20"/>
              </w:rPr>
              <w:t xml:space="preserve"> presentada el 29-ene-2026 junto con la Agencia de Transformación Digital y Telecomunicaciones; propone diez principios para diseñar, implementar y evaluar sistemas de IA.</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Referencia ética vigente</w:t>
            </w:r>
            <w:r>
              <w:rPr>
                <w:rFonts w:ascii="Arial" w:cs="Arial" w:eastAsia="Arial" w:hAnsi="Arial"/>
                <w:sz w:val="20"/>
                <w:szCs w:val="20"/>
              </w:rPr>
              <w:t xml:space="preserve"> para S1 a S3: responsabilidad humana de las decisiones y explicabilidad.</w:t>
            </w:r>
          </w:p>
        </w:tc>
      </w:tr>
    </w:tbl>
    <w:p>
      <w:pPr>
        <w:spacing w:after="240" w:before="60" w:line="240" w:lineRule="auto"/>
      </w:pPr>
      <w:r>
        <w:rPr>
          <w:rFonts w:ascii="Arial" w:cs="Arial" w:eastAsia="Arial" w:hAnsi="Arial"/>
          <w:i/>
          <w:iCs/>
          <w:sz w:val="20"/>
          <w:szCs w:val="20"/>
        </w:rPr>
        <w:t xml:space="preserve">Nota.</w:t>
      </w:r>
      <w:r>
        <w:rPr>
          <w:rFonts w:ascii="Arial" w:cs="Arial" w:eastAsia="Arial" w:hAnsi="Arial"/>
          <w:sz w:val="20"/>
          <w:szCs w:val="20"/>
        </w:rPr>
        <w:t xml:space="preserve"> Elaboración propia. Los textos de la LFPDPPP y de la iniciativa de 2025 los verifiqué directamente; el decreto de mayo de 2026 y el estatus de la iniciativa, en fuentes especializadas.</w:t>
      </w:r>
    </w:p>
    <w:p>
      <w:pPr>
        <w:pStyle w:val="Heading3"/>
        <w:keepNext/>
        <w:spacing w:after="0" w:before="0" w:line="360" w:lineRule="auto"/>
        <w:jc w:val="left"/>
      </w:pPr>
      <w:r>
        <w:rPr>
          <w:rFonts w:ascii="Arial" w:cs="Arial" w:eastAsia="Arial" w:hAnsi="Arial"/>
          <w:b/>
          <w:bCs/>
          <w:i/>
          <w:iCs/>
          <w:color w:val="000000"/>
          <w:sz w:val="24"/>
          <w:szCs w:val="24"/>
        </w:rPr>
        <w:t xml:space="preserve">3.2 Normatividad y políticas internacionales</w:t>
      </w:r>
    </w:p>
    <w:p>
      <w:pPr>
        <w:spacing w:after="0" w:before="0" w:line="360" w:lineRule="auto"/>
        <w:ind w:firstLine="720"/>
        <w:jc w:val="both"/>
      </w:pPr>
      <w:r>
        <w:rPr>
          <w:rFonts w:ascii="Arial" w:cs="Arial" w:eastAsia="Arial" w:hAnsi="Arial"/>
          <w:sz w:val="24"/>
          <w:szCs w:val="24"/>
        </w:rPr>
        <w:t xml:space="preserve">Las personas participantes y los proveedores del CIESS están en decenas de países, de modo que para las interacciones internacionales conviene conocer tanto la reglamentación de cada país como la de los organismos a los que pertenecen. El Cuadro 4 reúne los instrumentos que consideré, incluidos los de las Lecciones, con su estatus verificado.</w:t>
      </w:r>
    </w:p>
    <w:p>
      <w:pPr>
        <w:keepNext/>
        <w:spacing w:after="0" w:before="0" w:line="360" w:lineRule="auto"/>
      </w:pPr>
      <w:r>
        <w:rPr>
          <w:rFonts w:ascii="Arial" w:cs="Arial" w:eastAsia="Arial" w:hAnsi="Arial"/>
          <w:b/>
          <w:bCs/>
          <w:sz w:val="24"/>
          <w:szCs w:val="24"/>
        </w:rPr>
        <w:t xml:space="preserve">Cuadro 4</w:t>
      </w:r>
    </w:p>
    <w:p>
      <w:pPr>
        <w:keepNext/>
        <w:spacing w:after="0" w:before="0" w:line="360" w:lineRule="auto"/>
      </w:pPr>
      <w:r>
        <w:rPr>
          <w:rFonts w:ascii="Arial" w:cs="Arial" w:eastAsia="Arial" w:hAnsi="Arial"/>
          <w:i/>
          <w:iCs/>
          <w:sz w:val="24"/>
          <w:szCs w:val="24"/>
        </w:rPr>
        <w:t xml:space="preserve">Normatividad y políticas internacionales revisadas y su aplicabilidad al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038"/>
      </w:tblGrid>
      <w:tr>
        <w:trPr>
          <w:cantSplit/>
          <w:tblHeader/>
        </w:trPr>
        <w:tc>
          <w:tcPr>
            <w:tcW w:type="dxa" w:w="23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Instrumento</w:t>
            </w:r>
          </w:p>
        </w:tc>
        <w:tc>
          <w:tcPr>
            <w:tcW w:type="dxa" w:w="3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Tipo y estatus a octubre de 2026</w:t>
            </w:r>
          </w:p>
        </w:tc>
        <w:tc>
          <w:tcPr>
            <w:tcW w:type="dxa" w:w="30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Aplicabilidad al CIESS y actividades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Reglamento (UE) 2024/1689, Ley de IA (Parlamento Europeo y Consejo de la Unión Europea [PE y CUE], 2024), y Reglamento (UE) 2026/1744, Ómnibus de IA (PE y CUE,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Reglamento vigente de la UE.</w:t>
            </w:r>
            <w:r>
              <w:rPr>
                <w:rFonts w:ascii="Arial" w:cs="Arial" w:eastAsia="Arial" w:hAnsi="Arial"/>
                <w:sz w:val="20"/>
                <w:szCs w:val="20"/>
              </w:rPr>
              <w:t xml:space="preserve"> En vigor desde el 1-ago-2024: prohibiciones desde el 2-feb-2025 y modelos de uso general desde el 2-ago-2025. El Ómnibus, publicado el 24-jul-2026, aplazó las obligaciones de alto riesgo al 2-dic-2027 (sistemas del anexo III) y al 2-ago-2028 (productos regulados). Clasifica por riesgo y exige informar a quien interactúa con una IA (art. 50).</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Condicionada.</w:t>
            </w:r>
            <w:r>
              <w:rPr>
                <w:rFonts w:ascii="Arial" w:cs="Arial" w:eastAsia="Arial" w:hAnsi="Arial"/>
                <w:sz w:val="20"/>
                <w:szCs w:val="20"/>
              </w:rPr>
              <w:t xml:space="preserve"> Alcanza a proveedores y usuarios de terceros países cuando los resultados del sistema se usan en la UE (art. 2). Para S2 y A7, si atienden o publican para personas en la UE.</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Reglamento (UE) 2016/679, Reglamento general de protección de datos (RGPD; PE y CUE, 2016)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Reglamento vigente de la UE,</w:t>
            </w:r>
            <w:r>
              <w:rPr>
                <w:rFonts w:ascii="Arial" w:cs="Arial" w:eastAsia="Arial" w:hAnsi="Arial"/>
                <w:sz w:val="20"/>
                <w:szCs w:val="20"/>
              </w:rPr>
              <w:t xml:space="preserve"> aplicable desde el 25-may-2018. Se aplica a quien ofrece servicios a personas en la UE aunque no esté establecido allí (art. 3, apdo. 2); regula las decisiones automatizadas (art. 22), a los encargados (art. 28) y las transferencias a terceros países (cap. V).</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Condicionada:</w:t>
            </w:r>
            <w:r>
              <w:rPr>
                <w:rFonts w:ascii="Arial" w:cs="Arial" w:eastAsia="Arial" w:hAnsi="Arial"/>
                <w:sz w:val="20"/>
                <w:szCs w:val="20"/>
              </w:rPr>
              <w:t xml:space="preserve"> participantes de la UE en A1, A2, A4 y A12. El aviso del congreso ya lo contempla; falta extenderlo a los demás canales.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Recomendación sobre la ética de la IA (Organización de las Naciones Unidas para la Educación, la Ciencia y la Cultura [UNESCO], 2022)</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Recomendación no vinculante,</w:t>
            </w:r>
            <w:r>
              <w:rPr>
                <w:rFonts w:ascii="Arial" w:cs="Arial" w:eastAsia="Arial" w:hAnsi="Arial"/>
                <w:sz w:val="20"/>
                <w:szCs w:val="20"/>
              </w:rPr>
              <w:t xml:space="preserve"> adoptada en noviembre de 2021; México es Estado miembro. Establece principios de proporcionalidad, privacidad, supervisión humana, transparencia y responsabilidad atribuible siempre a personas.</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Referencia ética</w:t>
            </w:r>
            <w:r>
              <w:rPr>
                <w:rFonts w:ascii="Arial" w:cs="Arial" w:eastAsia="Arial" w:hAnsi="Arial"/>
                <w:sz w:val="20"/>
                <w:szCs w:val="20"/>
              </w:rPr>
              <w:t xml:space="preserve"> para la política de uso de IA del CIESS (S1 a S3).</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Recomendación del Consejo sobre IA (Organisation for Economic Co-operation and Development [OECD], 2024)</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Instrumento no vinculante,</w:t>
            </w:r>
            <w:r>
              <w:rPr>
                <w:rFonts w:ascii="Arial" w:cs="Arial" w:eastAsia="Arial" w:hAnsi="Arial"/>
                <w:sz w:val="20"/>
                <w:szCs w:val="20"/>
              </w:rPr>
              <w:t xml:space="preserve"> adoptado en 2019 y enmendado el 3-may-2024; México es país adherente. Principios de crecimiento inclusivo, derechos humanos, transparencia, robustez y gestión de riesgos.</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Referencia</w:t>
            </w:r>
            <w:r>
              <w:rPr>
                <w:rFonts w:ascii="Arial" w:cs="Arial" w:eastAsia="Arial" w:hAnsi="Arial"/>
                <w:sz w:val="20"/>
                <w:szCs w:val="20"/>
              </w:rPr>
              <w:t xml:space="preserve"> para evaluar riesgos y rendición de cuentas (A13 a A15).</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ISO/IEC 42001:2023 (Organización Internacional de Normalización [ISO], 2023) e ISO/IEC 27001:2022 (ISO, 2022)</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Estándares voluntarios</w:t>
            </w:r>
            <w:r>
              <w:rPr>
                <w:rFonts w:ascii="Arial" w:cs="Arial" w:eastAsia="Arial" w:hAnsi="Arial"/>
                <w:sz w:val="20"/>
                <w:szCs w:val="20"/>
              </w:rPr>
              <w:t xml:space="preserve"> de sistemas de gestión de IA y de seguridad de la información, con ciclo planificar-hacer-verificar-actuar; no obligan salvo por contrato o certificación.</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Estándar de referencia</w:t>
            </w:r>
            <w:r>
              <w:rPr>
                <w:rFonts w:ascii="Arial" w:cs="Arial" w:eastAsia="Arial" w:hAnsi="Arial"/>
                <w:sz w:val="20"/>
                <w:szCs w:val="20"/>
              </w:rPr>
              <w:t xml:space="preserve"> para inventariar y gobernar S1 a S3 y proteger los datos de todas las actividades.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Lei nº 13.709/2018, Ley General de Protección de Datos de Brasil (LGPD; Presidência da República, 2018), y Proyecto de Ley 2338/2023 (Pacheco, 2023)</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LGPD: ley vigente.</w:t>
            </w:r>
            <w:r>
              <w:rPr>
                <w:rFonts w:ascii="Arial" w:cs="Arial" w:eastAsia="Arial" w:hAnsi="Arial"/>
                <w:sz w:val="20"/>
                <w:szCs w:val="20"/>
              </w:rPr>
              <w:t xml:space="preserve"> Regula el tratamiento de datos de personas en Brasil (art. 3), reconoce derechos (art. 18), la revisión de decisiones automatizadas (art. 20) y regula las transferencias internacionales (arts. 33 a 36). </w:t>
            </w:r>
            <w:r>
              <w:rPr>
                <w:rFonts w:ascii="Arial" w:cs="Arial" w:eastAsia="Arial" w:hAnsi="Arial"/>
                <w:b/>
                <w:bCs/>
                <w:sz w:val="20"/>
                <w:szCs w:val="20"/>
              </w:rPr>
              <w:t xml:space="preserve">PL 2338/2023: proyecto</w:t>
            </w:r>
            <w:r>
              <w:rPr>
                <w:rFonts w:ascii="Arial" w:cs="Arial" w:eastAsia="Arial" w:hAnsi="Arial"/>
                <w:sz w:val="20"/>
                <w:szCs w:val="20"/>
              </w:rPr>
              <w:t xml:space="preserve"> aprobado por el Senado en dic-2024 y pendiente en la Cámara de Diputados, hasta donde pude verificar.</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LGPD, condicionada:</w:t>
            </w:r>
            <w:r>
              <w:rPr>
                <w:rFonts w:ascii="Arial" w:cs="Arial" w:eastAsia="Arial" w:hAnsi="Arial"/>
                <w:sz w:val="20"/>
                <w:szCs w:val="20"/>
              </w:rPr>
              <w:t xml:space="preserve"> participantes brasileños (A2, A4), ya contemplada en el aviso del congreso. </w:t>
            </w:r>
            <w:r>
              <w:rPr>
                <w:rFonts w:ascii="Arial" w:cs="Arial" w:eastAsia="Arial" w:hAnsi="Arial"/>
                <w:b/>
                <w:bCs/>
                <w:sz w:val="20"/>
                <w:szCs w:val="20"/>
              </w:rPr>
              <w:t xml:space="preserve">El proyecto no obliga.</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Canadá: Bill C-27 y Ley de IA y Datos (Parliament of Canada, 2022). Estados Unidos: Orden Ejecutiva (OE) 14110 (The White House, 2023)</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Ambos sin vigencia.</w:t>
            </w:r>
            <w:r>
              <w:rPr>
                <w:rFonts w:ascii="Arial" w:cs="Arial" w:eastAsia="Arial" w:hAnsi="Arial"/>
                <w:sz w:val="20"/>
                <w:szCs w:val="20"/>
              </w:rPr>
              <w:t xml:space="preserve"> El C-27 caducó cuando se prorrogó el Parlamento el 6-ene-2025 y la ley de IA nunca se aprobó. La OE 14110 fue revocada el 20-ene-2025 por la OE 14148; la política federal parte hoy de la OE 14179, que vincula a las agencias y no a los particulares (Hunton Andrews Kurth, 2025).</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No aplican.</w:t>
            </w:r>
            <w:r>
              <w:rPr>
                <w:rFonts w:ascii="Arial" w:cs="Arial" w:eastAsia="Arial" w:hAnsi="Arial"/>
                <w:sz w:val="20"/>
                <w:szCs w:val="20"/>
              </w:rPr>
              <w:t xml:space="preserve"> Las Lecciones los presentan como modelos; hoy solo ilustran lo volátil de la regulación de IA.</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Reino Unido (Department for Science, Innovation and Technology [DSIT], 2023), China (Oficina Estatal de Información de Internet de la República Popular China, 2023) e Israel (Ministry of Innovation, Science and Technology, 2023)</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Reino Unido:</w:t>
            </w:r>
            <w:r>
              <w:rPr>
                <w:rFonts w:ascii="Arial" w:cs="Arial" w:eastAsia="Arial" w:hAnsi="Arial"/>
                <w:sz w:val="20"/>
                <w:szCs w:val="20"/>
              </w:rPr>
              <w:t xml:space="preserve"> política pública pro-innovación sin ley marco, que usa a los reguladores sectoriales. </w:t>
            </w:r>
            <w:r>
              <w:rPr>
                <w:rFonts w:ascii="Arial" w:cs="Arial" w:eastAsia="Arial" w:hAnsi="Arial"/>
                <w:b/>
                <w:bCs/>
                <w:sz w:val="20"/>
                <w:szCs w:val="20"/>
              </w:rPr>
              <w:t xml:space="preserve">China:</w:t>
            </w:r>
            <w:r>
              <w:rPr>
                <w:rFonts w:ascii="Arial" w:cs="Arial" w:eastAsia="Arial" w:hAnsi="Arial"/>
                <w:sz w:val="20"/>
                <w:szCs w:val="20"/>
              </w:rPr>
              <w:t xml:space="preserve"> Medidas provisionales para los servicios de IA generativa, norma obligatoria vigente desde el 15-ago-2023 para servicios ofrecidos al público en China. </w:t>
            </w:r>
            <w:r>
              <w:rPr>
                <w:rFonts w:ascii="Arial" w:cs="Arial" w:eastAsia="Arial" w:hAnsi="Arial"/>
                <w:b/>
                <w:bCs/>
                <w:sz w:val="20"/>
                <w:szCs w:val="20"/>
              </w:rPr>
              <w:t xml:space="preserve">Israel:</w:t>
            </w:r>
            <w:r>
              <w:rPr>
                <w:rFonts w:ascii="Arial" w:cs="Arial" w:eastAsia="Arial" w:hAnsi="Arial"/>
                <w:sz w:val="20"/>
                <w:szCs w:val="20"/>
              </w:rPr>
              <w:t xml:space="preserve"> política de dic-2023, </w:t>
            </w:r>
            <w:r>
              <w:rPr>
                <w:rFonts w:ascii="Arial" w:cs="Arial" w:eastAsia="Arial" w:hAnsi="Arial"/>
                <w:i/>
                <w:iCs/>
                <w:sz w:val="20"/>
                <w:szCs w:val="20"/>
              </w:rPr>
              <w:t xml:space="preserve">soft law</w:t>
            </w:r>
            <w:r>
              <w:rPr>
                <w:rFonts w:ascii="Arial" w:cs="Arial" w:eastAsia="Arial" w:hAnsi="Arial"/>
                <w:sz w:val="20"/>
                <w:szCs w:val="20"/>
              </w:rPr>
              <w:t xml:space="preserve"> sectorial basada en riesgos.</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Referencia comparada.</w:t>
            </w:r>
            <w:r>
              <w:rPr>
                <w:rFonts w:ascii="Arial" w:cs="Arial" w:eastAsia="Arial" w:hAnsi="Arial"/>
                <w:sz w:val="20"/>
                <w:szCs w:val="20"/>
              </w:rPr>
              <w:t xml:space="preserve"> Solo obligaría la norma china si el CIESS prestara servicios de IA generativa al público en ese país, lo que no es el caso.</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Argentina: Ley 25.326 (Congreso de la Nación Argentina, 2000). Colombia: Ley Estatutaria 1581 (Congreso de Colombia, 2012)</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Leyes vigentes</w:t>
            </w:r>
            <w:r>
              <w:rPr>
                <w:rFonts w:ascii="Arial" w:cs="Arial" w:eastAsia="Arial" w:hAnsi="Arial"/>
                <w:sz w:val="20"/>
                <w:szCs w:val="20"/>
              </w:rPr>
              <w:t xml:space="preserve"> de protección de datos personales; ambas regulan el consentimiento, los derechos de las personas titulares y las transferencias internacionales. Otros países de las Américas tienen leyes propias (por ejemplo, Chile, Perú y Uruguay) que no analicé una por una.</w:t>
            </w:r>
          </w:p>
        </w:tc>
        <w:tc>
          <w:tcPr>
            <w:tcW w:type="dxa" w:w="30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Condicionada:</w:t>
            </w:r>
            <w:r>
              <w:rPr>
                <w:rFonts w:ascii="Arial" w:cs="Arial" w:eastAsia="Arial" w:hAnsi="Arial"/>
                <w:sz w:val="20"/>
                <w:szCs w:val="20"/>
              </w:rPr>
              <w:t xml:space="preserve"> personas participantes e instituciones de esos países (A2, A4, A5, A9, A11). Conviene mantener una tabla de leyes por país de origen.</w:t>
            </w:r>
          </w:p>
        </w:tc>
      </w:tr>
    </w:tbl>
    <w:p>
      <w:pPr>
        <w:spacing w:after="240" w:before="60" w:line="240" w:lineRule="auto"/>
      </w:pPr>
      <w:r>
        <w:rPr>
          <w:rFonts w:ascii="Arial" w:cs="Arial" w:eastAsia="Arial" w:hAnsi="Arial"/>
          <w:i/>
          <w:iCs/>
          <w:sz w:val="20"/>
          <w:szCs w:val="20"/>
        </w:rPr>
        <w:t xml:space="preserve">Nota.</w:t>
      </w:r>
      <w:r>
        <w:rPr>
          <w:rFonts w:ascii="Arial" w:cs="Arial" w:eastAsia="Arial" w:hAnsi="Arial"/>
          <w:sz w:val="20"/>
          <w:szCs w:val="20"/>
        </w:rPr>
        <w:t xml:space="preserve"> Elaboración propia. El estatus del Ómnibus de la UE y del proyecto brasileño proviene del texto publicado y del seguimiento legislativo disponibles al 11 de octubre de 2026; conviene confirmarlo antes de citarlo como definitivo.</w:t>
      </w:r>
    </w:p>
    <w:p>
      <w:pPr>
        <w:pStyle w:val="Heading2"/>
        <w:keepNext/>
        <w:spacing w:after="0" w:before="0" w:line="360" w:lineRule="auto"/>
        <w:jc w:val="left"/>
      </w:pPr>
      <w:r>
        <w:rPr>
          <w:rFonts w:ascii="Arial" w:cs="Arial" w:eastAsia="Arial" w:hAnsi="Arial"/>
          <w:b/>
          <w:bCs/>
          <w:color w:val="000000"/>
          <w:sz w:val="24"/>
          <w:szCs w:val="24"/>
        </w:rPr>
        <w:t xml:space="preserve">4. Evaluación de la aplicabilidad</w:t>
      </w:r>
    </w:p>
    <w:p>
      <w:pPr>
        <w:spacing w:after="0" w:before="0" w:line="360" w:lineRule="auto"/>
        <w:ind w:firstLine="720"/>
        <w:jc w:val="both"/>
      </w:pPr>
      <w:r>
        <w:rPr>
          <w:rFonts w:ascii="Arial" w:cs="Arial" w:eastAsia="Arial" w:hAnsi="Arial"/>
          <w:sz w:val="24"/>
          <w:szCs w:val="24"/>
        </w:rPr>
        <w:t xml:space="preserve">El Cuadro 5 cruza cada actividad con los instrumentos que le aplican y con la brecha que detecté. Los artículos citados corresponden a la LFPDPPP (2025) salvo que se indique otro instrumento.</w:t>
      </w:r>
    </w:p>
    <w:p>
      <w:pPr>
        <w:keepNext/>
        <w:spacing w:after="0" w:before="0" w:line="360" w:lineRule="auto"/>
      </w:pPr>
      <w:r>
        <w:rPr>
          <w:rFonts w:ascii="Arial" w:cs="Arial" w:eastAsia="Arial" w:hAnsi="Arial"/>
          <w:b/>
          <w:bCs/>
          <w:sz w:val="24"/>
          <w:szCs w:val="24"/>
        </w:rPr>
        <w:t xml:space="preserve">Cuadro 5</w:t>
      </w:r>
    </w:p>
    <w:p>
      <w:pPr>
        <w:keepNext/>
        <w:spacing w:after="0" w:before="0" w:line="360" w:lineRule="auto"/>
      </w:pPr>
      <w:r>
        <w:rPr>
          <w:rFonts w:ascii="Arial" w:cs="Arial" w:eastAsia="Arial" w:hAnsi="Arial"/>
          <w:i/>
          <w:iCs/>
          <w:sz w:val="24"/>
          <w:szCs w:val="24"/>
        </w:rPr>
        <w:t xml:space="preserve">Instrumentos aplicables y brechas por actividad del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638"/>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Actividad</w:t>
            </w:r>
          </w:p>
        </w:tc>
        <w:tc>
          <w:tcPr>
            <w:tcW w:type="dxa" w:w="3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Instrumentos aplicables y cómo</w:t>
            </w:r>
          </w:p>
        </w:tc>
        <w:tc>
          <w:tcPr>
            <w:tcW w:type="dxa" w:w="36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spacing w:after="40" w:before="40" w:line="240" w:lineRule="auto"/>
              <w:jc w:val="left"/>
            </w:pPr>
            <w:r>
              <w:rPr>
                <w:rFonts w:ascii="Arial" w:cs="Arial" w:eastAsia="Arial" w:hAnsi="Arial"/>
                <w:b/>
                <w:bCs/>
                <w:sz w:val="20"/>
                <w:szCs w:val="20"/>
              </w:rPr>
              <w:t xml:space="preserve">Brecha o riesgo detectado</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 Formación</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aviso (arts. 14 a 16), consentimiento expreso y por escrito para datos sensibles (art. 8) y seguridad (art. 18); RGPD y LGPD si hay participantes de la UE o Brasil.</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Datos sensibles (justificantes médicos, dietas) sin aviso específico en el sitio; no localicé información sobre la grabación de sesiones ni sobre su conservación.</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A2 Inscripción</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aviso, consentimiento, seguridad y transferencias a la institución postulante (arts. 35 y 36); RGPD y LGPD.</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Las identificaciones y los CV llegan por correo y WhatsApp, canales sin aviso de privacidad ni los controles de un formulario (Navarrete Flores, 2026a).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A3 Acreditación</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calidad de los datos (art. 10) y seguridad (art. 18); LFDA (1996), art. 103 (software).</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Las constancias públicas con QR exponen datos personales: definir minimización, plazo de publicación y baja; el sistema se hizo con apoyo de IA (A13).</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A4 Congresos</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datos sensibles (art. 8) y transferencias a hoteles y transporte (arts. 35 y 36); RGPD (art. 3, apdo. 2; art. 28); LGPD; ISO/IEC 27001.</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El aviso del sistema está pendiente de validación jurídica; cita el art. 8 como base del consentimiento general (corresponde al art. 7) y no menciona la IA ni a la autoridad vigente.</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A5 Becas y docentes</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principios (art. 5), seguridad (art. 18) y persona o departamento de datos personales (art. 29).</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Bases en hojas de cálculo en la nube con datos de docentes y becarios, sin registro de encargados; no localicé la persona o el departamento del art. 29.</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A6 Sitio web</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aviso (arts. 14 a 16); RGPD si hay visitantes de la UE; ISO/IEC 27001.</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Sin aviso de privacidad propio en el sitio (remite al de la CISS); no localicé declaración de accesibilidad ni aviso de cookies propio.</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A7 Producción editorial y multimedia</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LFDA (1996): retrato (art. 87), obras de terceros y reforma de 2026 (Basham, 2026); LGAMVLV (2007) y CPF (1931) frente al contenido íntimo; Reglamento (UE) 2024/1689, art. 50 (contenido sintético).</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 encontré criterio escrito sobre IA en textos, imágenes o voz ni sobre la autoría asistida por IA (SCJN, 2025).</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A8 Tableros y reportes</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proporcionalidad (art. 12) y disociación (art. 2, fr. IX); ISO/IEC 27001.</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Concentración de matrículas, pagos y becas en hojas de cálculo: riesgo de accesos excesivos y copias; conviene publicar solo cifras agregadas.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A9 Directorio</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finalidad y consentimiento (arts. 5 y 7); LGPDPPSO (2025) solo como contraste para las instituciones públicas miembro.</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El directorio publica nombre, cargo, correo y fotografía de representantes (CIESS, s.f.-a); no localicé el aviso ni el consentimiento asociados.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A10 Biblioteca</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LFDA (1996): derechos de autor y limitaciones (art. 148).</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Licencias y atribución de las obras de la biblioteca; no verifiqué si hay registro de personas usuarias.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A11 Investigación</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y, según el país, RGPD o LGPD; LFDA (1996) para las obras de investigadores.</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 está documentado qué bases de instituciones se reciben ni con qué acuerdo de tratamiento; podrían incluir datos administrativos o de salud.</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A12 Comunicación</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consentimiento para el boletín (art. 7); LFDA (1996), art. 87 (imagen); RGPD.</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La atención por WhatsApp usa una plataforma de terceros sin aviso en el canal; se difunden imágenes de eventos.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A13 Desarrollo con IA (S1)</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arts. 35 y 36 si hubiera datos personales; LFDA (1996), art. 103 y SCJN (2025); ISO/IEC 42001 y 27001; UNESCO y OCDE; iniciativa de 2025 (riesgo mínimo).</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No hay política de uso aceptable ni bitácora institucional; no hay evidencia de una revisión formal de los términos del proveedor sobre retención y uso de datos.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A14 Asistente virtual (S2)</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arts. 14 a 16, 26 y 35 y 36; RGPD (arts. 22 y 28); LGPD (art. 20); Reglamento (UE) 2024/1689, art. 50; iniciativa de 2025 (riesgo limitado; alto si decide).</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Aún no existe evaluación de impacto, aviso específico ni contrato con el proveedor del modelo; la privacidad quedó como “incógnita” en la matriz PNI (positivo, negativo, incógnita) de la propuesta (Navarrete Flores, 2026b).</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A15 IA integrada (S3)</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y RGPD (encargados y transferencias); ISO/IEC 42001 (inventario); Reglamento (UE) 2024/1689, art. 50.</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Sin inventario de las funciones de IA activadas en videoconferencia, suites en la nube y mensajería, ni configuración institucional documentada.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A16 Cobranza</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datos financieros con consentimiento expreso (art. 7) y seguridad (art. 18).</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Los comprobantes bancarios llegan por correo; no verifiqué cómo se almacenan los datos de pagos con tarjeta.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A17 Logística presencial</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LFPDPPP (2025): datos sensibles (art. 8) y transferencias a hoteles y proveedores (arts. 35 y 36); RGPD.</w:t>
            </w:r>
          </w:p>
        </w:tc>
        <w:tc>
          <w:tcPr>
            <w:tcW w:type="dxa" w:w="3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spacing w:after="40" w:before="40" w:line="240" w:lineRule="auto"/>
              <w:jc w:val="left"/>
            </w:pPr>
            <w:r>
              <w:rPr>
                <w:rFonts w:ascii="Arial" w:cs="Arial" w:eastAsia="Arial" w:hAnsi="Arial"/>
                <w:sz w:val="20"/>
                <w:szCs w:val="20"/>
              </w:rPr>
              <w:t xml:space="preserve">Las dietas por razones médicas o religiosas se comparten con proveedores: exigir consentimiento expreso y por escrito e incluir la cláusula de transferencia en el aviso (art. 35).</w:t>
            </w:r>
          </w:p>
        </w:tc>
      </w:tr>
    </w:tbl>
    <w:p>
      <w:pPr>
        <w:spacing w:after="240" w:before="60" w:line="240" w:lineRule="auto"/>
      </w:pPr>
      <w:r>
        <w:rPr>
          <w:rFonts w:ascii="Arial" w:cs="Arial" w:eastAsia="Arial" w:hAnsi="Arial"/>
          <w:i/>
          <w:iCs/>
          <w:sz w:val="20"/>
          <w:szCs w:val="20"/>
        </w:rPr>
        <w:t xml:space="preserve">Nota.</w:t>
      </w:r>
      <w:r>
        <w:rPr>
          <w:rFonts w:ascii="Arial" w:cs="Arial" w:eastAsia="Arial" w:hAnsi="Arial"/>
          <w:sz w:val="20"/>
          <w:szCs w:val="20"/>
        </w:rPr>
        <w:t xml:space="preserve"> Elaboración propia con base en los Cuadros 1 a 4. “No localicé” significa que no encontré el documento o la práctica en las fuentes públicas revisadas.</w:t>
      </w:r>
    </w:p>
    <w:p>
      <w:pPr>
        <w:spacing w:after="0" w:before="0" w:line="360" w:lineRule="auto"/>
        <w:ind w:firstLine="720"/>
        <w:jc w:val="both"/>
      </w:pPr>
      <w:r>
        <w:rPr>
          <w:rFonts w:ascii="Arial" w:cs="Arial" w:eastAsia="Arial" w:hAnsi="Arial"/>
          <w:sz w:val="24"/>
          <w:szCs w:val="24"/>
        </w:rPr>
        <w:t xml:space="preserve">De la evaluación se desprenden cuatro hallazgos transversales. Primero, el CIESS trata datos sensibles y datos de personas de numerosos países sin un aviso de privacidad propio y actualizado a la ley de 2025: el sitio remite al de la CISS y el aviso más completo, el del congreso, está pendiente de validación jurídica y cita el art. 8 como base del consentimiento general, cuando en el texto vigente el consentimiento general está en el art. 7 y el art. 8 se refiere a los datos sensibles. Segundo, no localicé una política de uso de IA ni un inventario de los sistemas que la incorporan (S1 a S3), lo que impide clasificar su riesgo. Tercero, la propiedad intelectual de lo producido con IA —código, textos, imágenes, voz— carece de criterios documentados, mientras que el criterio de la SCJN (2025) y la reforma de 2026 muestran que el derecho se mueve hacia la autoría y el consentimiento humanos. Cuarto, como contrapeso, los sistemas que desarrollo ya incorporan buenas prácticas —pruebas en copias, datos de demostración, accesos por roles, bitácora de auditoría y consentimiento desde el diseño—, que pueden extenderse al resto de las actividades.</w:t>
      </w:r>
    </w:p>
    <w:p>
      <w:pPr>
        <w:pStyle w:val="Heading2"/>
        <w:keepNext/>
        <w:spacing w:after="0" w:before="0" w:line="360" w:lineRule="auto"/>
        <w:jc w:val="left"/>
      </w:pPr>
      <w:r>
        <w:rPr>
          <w:rFonts w:ascii="Arial" w:cs="Arial" w:eastAsia="Arial" w:hAnsi="Arial"/>
          <w:b/>
          <w:bCs/>
          <w:color w:val="000000"/>
          <w:sz w:val="24"/>
          <w:szCs w:val="24"/>
        </w:rPr>
        <w:t xml:space="preserve">5. Recomendaciones personales para prevenir riesgos futuros</w:t>
      </w:r>
    </w:p>
    <w:p>
      <w:pPr>
        <w:spacing w:after="0" w:before="0" w:line="360" w:lineRule="auto"/>
        <w:ind w:firstLine="720"/>
        <w:jc w:val="both"/>
      </w:pPr>
      <w:r>
        <w:rPr>
          <w:rFonts w:ascii="Arial" w:cs="Arial" w:eastAsia="Arial" w:hAnsi="Arial"/>
          <w:sz w:val="24"/>
          <w:szCs w:val="24"/>
        </w:rPr>
        <w:t xml:space="preserve">Propongo diez recomendaciones, ordenadas por prioridad. Las primeras cuatro son de bajo costo y atienden las brechas más expuestas.</w:t>
      </w:r>
    </w:p>
    <w:p>
      <w:pPr>
        <w:pStyle w:val="ListParagraph"/>
        <w:numPr>
          <w:ilvl w:val="0"/>
          <w:numId w:val="2"/>
        </w:numPr>
        <w:spacing w:after="0" w:before="0" w:line="360" w:lineRule="auto"/>
        <w:jc w:val="both"/>
      </w:pPr>
      <w:r>
        <w:rPr>
          <w:rFonts w:ascii="Arial" w:cs="Arial" w:eastAsia="Arial" w:hAnsi="Arial"/>
          <w:b/>
          <w:bCs/>
          <w:sz w:val="24"/>
          <w:szCs w:val="24"/>
        </w:rPr>
        <w:t xml:space="preserve">Obtener una opinión jurídica formal sobre el estatus del CIESS.</w:t>
      </w:r>
      <w:r>
        <w:rPr>
          <w:rFonts w:ascii="Arial" w:cs="Arial" w:eastAsia="Arial" w:hAnsi="Arial"/>
          <w:sz w:val="24"/>
          <w:szCs w:val="24"/>
        </w:rPr>
        <w:t xml:space="preserve"> Solicitar a la Secretaría General de la CISS que determine si la LFPDPPP (2025) y las leyes de los países de origen obligan al CIESS, directa o contractualmente, y que documente el estándar que se adoptará mientras tanto.</w:t>
      </w:r>
    </w:p>
    <w:p>
      <w:pPr>
        <w:pStyle w:val="ListParagraph"/>
        <w:numPr>
          <w:ilvl w:val="0"/>
          <w:numId w:val="2"/>
        </w:numPr>
        <w:spacing w:after="0" w:before="0" w:line="360" w:lineRule="auto"/>
        <w:jc w:val="both"/>
      </w:pPr>
      <w:r>
        <w:rPr>
          <w:rFonts w:ascii="Arial" w:cs="Arial" w:eastAsia="Arial" w:hAnsi="Arial"/>
          <w:b/>
          <w:bCs/>
          <w:sz w:val="24"/>
          <w:szCs w:val="24"/>
        </w:rPr>
        <w:t xml:space="preserve">Actualizar y unificar los avisos de privacidad.</w:t>
      </w:r>
      <w:r>
        <w:rPr>
          <w:rFonts w:ascii="Arial" w:cs="Arial" w:eastAsia="Arial" w:hAnsi="Arial"/>
          <w:sz w:val="24"/>
          <w:szCs w:val="24"/>
        </w:rPr>
        <w:t xml:space="preserve"> Redactar un aviso integral con el contenido del art. 15 de la LFPDPPP (2025): responsable, datos sensibles identificados, finalidades, medios para limitar el uso, procedimiento ARCO y cambios al aviso. Añadir encargados y transferencias (arts. 35 y 36), consentimiento expreso y por escrito para los datos sensibles (art. 8), mecanismo de revocación (art. 7), una persona o departamento de datos personales (art. 29) y la mención del uso de IA. Corregir en el aviso del congreso la base del consentimiento (art. 7 para datos generales y art. 8 para los sensibles) y nombrar a la Secretaría Anticorrupción y Buen Gobierno como autoridad.</w:t>
      </w:r>
    </w:p>
    <w:p>
      <w:pPr>
        <w:pStyle w:val="ListParagraph"/>
        <w:numPr>
          <w:ilvl w:val="0"/>
          <w:numId w:val="2"/>
        </w:numPr>
        <w:spacing w:after="0" w:before="0" w:line="360" w:lineRule="auto"/>
        <w:jc w:val="both"/>
      </w:pPr>
      <w:r>
        <w:rPr>
          <w:rFonts w:ascii="Arial" w:cs="Arial" w:eastAsia="Arial" w:hAnsi="Arial"/>
          <w:b/>
          <w:bCs/>
          <w:sz w:val="24"/>
          <w:szCs w:val="24"/>
        </w:rPr>
        <w:t xml:space="preserve">Sustituir el correo y WhatsApp por formularios con aviso para recibir documentos.</w:t>
      </w:r>
      <w:r>
        <w:rPr>
          <w:rFonts w:ascii="Arial" w:cs="Arial" w:eastAsia="Arial" w:hAnsi="Arial"/>
          <w:sz w:val="24"/>
          <w:szCs w:val="24"/>
        </w:rPr>
        <w:t xml:space="preserve"> Minimizar lo que se pide, definir plazos de conservación y de bloqueo (LFPDPPP, 2025, art. 2, fr. III) y aplicar controles de acceso y cifrado (ISO, 2022).</w:t>
      </w:r>
    </w:p>
    <w:p>
      <w:pPr>
        <w:pStyle w:val="ListParagraph"/>
        <w:numPr>
          <w:ilvl w:val="0"/>
          <w:numId w:val="2"/>
        </w:numPr>
        <w:spacing w:after="0" w:before="0" w:line="360" w:lineRule="auto"/>
        <w:jc w:val="both"/>
      </w:pPr>
      <w:r>
        <w:rPr>
          <w:rFonts w:ascii="Arial" w:cs="Arial" w:eastAsia="Arial" w:hAnsi="Arial"/>
          <w:b/>
          <w:bCs/>
          <w:sz w:val="24"/>
          <w:szCs w:val="24"/>
        </w:rPr>
        <w:t xml:space="preserve">Aprobar una política de uso aceptable de IA.</w:t>
      </w:r>
      <w:r>
        <w:rPr>
          <w:rFonts w:ascii="Arial" w:cs="Arial" w:eastAsia="Arial" w:hAnsi="Arial"/>
          <w:sz w:val="24"/>
          <w:szCs w:val="24"/>
        </w:rPr>
        <w:t xml:space="preserve"> Definir las herramientas autorizadas; prohibir ingresar datos personales, datos sensibles, credenciales o información confidencial; exigir revisión humana y pruebas en copias; llevar una bitácora de qué se hizo con IA y quién lo revisó; y declarar el uso de IA en las publicaciones. Tomar como base los principios de responsabilidad humana, transparencia y supervisión de la UNESCO (2022), la OCDE (OECD, 2024) y la declaración nacional (SECIHTI, 2026).</w:t>
      </w:r>
    </w:p>
    <w:p>
      <w:pPr>
        <w:pStyle w:val="ListParagraph"/>
        <w:numPr>
          <w:ilvl w:val="0"/>
          <w:numId w:val="2"/>
        </w:numPr>
        <w:spacing w:after="0" w:before="0" w:line="360" w:lineRule="auto"/>
        <w:jc w:val="both"/>
      </w:pPr>
      <w:r>
        <w:rPr>
          <w:rFonts w:ascii="Arial" w:cs="Arial" w:eastAsia="Arial" w:hAnsi="Arial"/>
          <w:b/>
          <w:bCs/>
          <w:sz w:val="24"/>
          <w:szCs w:val="24"/>
        </w:rPr>
        <w:t xml:space="preserve">Formalizar contratos y revisión de proveedores.</w:t>
      </w:r>
      <w:r>
        <w:rPr>
          <w:rFonts w:ascii="Arial" w:cs="Arial" w:eastAsia="Arial" w:hAnsi="Arial"/>
          <w:sz w:val="24"/>
          <w:szCs w:val="24"/>
        </w:rPr>
        <w:t xml:space="preserve"> Para plataformas en la nube, correo y herramientas de IA: cláusulas de confidencialidad, ubicación del tratamiento, retención, no uso de los datos para entrenar modelos y subencargados, como exige el RGPD para los encargados (PE y CUE, 2016, art. 28) y la LFPDPPP (2025, art. 35) para las transferencias. Revisar los términos de uso de los asistentes de IA que empleo en el desarrollo.</w:t>
      </w:r>
    </w:p>
    <w:p>
      <w:pPr>
        <w:pStyle w:val="ListParagraph"/>
        <w:numPr>
          <w:ilvl w:val="0"/>
          <w:numId w:val="2"/>
        </w:numPr>
        <w:spacing w:after="0" w:before="0" w:line="360" w:lineRule="auto"/>
        <w:jc w:val="both"/>
      </w:pPr>
      <w:r>
        <w:rPr>
          <w:rFonts w:ascii="Arial" w:cs="Arial" w:eastAsia="Arial" w:hAnsi="Arial"/>
          <w:b/>
          <w:bCs/>
          <w:sz w:val="24"/>
          <w:szCs w:val="24"/>
        </w:rPr>
        <w:t xml:space="preserve">Evaluar el impacto antes de desplegar el asistente virtual (S2).</w:t>
      </w:r>
      <w:r>
        <w:rPr>
          <w:rFonts w:ascii="Arial" w:cs="Arial" w:eastAsia="Arial" w:hAnsi="Arial"/>
          <w:sz w:val="24"/>
          <w:szCs w:val="24"/>
        </w:rPr>
        <w:t xml:space="preserve"> Clasificarlo con el semáforo de riesgos de la iniciativa (Jiménez Godoy et al., 2025) e informar siempre a la persona que interactúa con una IA (Jiménez Godoy et al., 2025, art. 35, fr. IV; PE y CUE, 2024, art. 50). No recabar datos personales innecesarios, mantener el escalamiento a una persona y no usarlo para decidir admisiones ni becas, porque sería de alto riesgo y atraería el derecho de oposición a decisiones automatizadas (LFPDPPP, 2025, art. 26, fr. II; PE y CUE, 2016, art. 22; Presidência da República, 2018, art. 20). Probar sus respuestas por país e idioma.</w:t>
      </w:r>
    </w:p>
    <w:p>
      <w:pPr>
        <w:pStyle w:val="ListParagraph"/>
        <w:numPr>
          <w:ilvl w:val="0"/>
          <w:numId w:val="2"/>
        </w:numPr>
        <w:spacing w:after="0" w:before="0" w:line="360" w:lineRule="auto"/>
        <w:jc w:val="both"/>
      </w:pPr>
      <w:r>
        <w:rPr>
          <w:rFonts w:ascii="Arial" w:cs="Arial" w:eastAsia="Arial" w:hAnsi="Arial"/>
          <w:b/>
          <w:bCs/>
          <w:sz w:val="24"/>
          <w:szCs w:val="24"/>
        </w:rPr>
        <w:t xml:space="preserve">Documentar la autoría y los derechos de lo producido con IA.</w:t>
      </w:r>
      <w:r>
        <w:rPr>
          <w:rFonts w:ascii="Arial" w:cs="Arial" w:eastAsia="Arial" w:hAnsi="Arial"/>
          <w:sz w:val="24"/>
          <w:szCs w:val="24"/>
        </w:rPr>
        <w:t xml:space="preserve"> Registrar la titularidad institucional del software (LFDA, 1996, art. 103), conservar evidencia de la aportación humana en lo creado con IA, porque la SCJN (2025) solo reconoce como autoras a personas físicas, y obtener consentimiento expreso y por escrito para la imagen y la voz de ponentes (LFDA, 1996, art. 87; Basham, 2026). Etiquetar el contenido sintético y revisar las licencias de las obras de la biblioteca digital.</w:t>
      </w:r>
    </w:p>
    <w:p>
      <w:pPr>
        <w:pStyle w:val="ListParagraph"/>
        <w:numPr>
          <w:ilvl w:val="0"/>
          <w:numId w:val="2"/>
        </w:numPr>
        <w:spacing w:after="0" w:before="0" w:line="360" w:lineRule="auto"/>
        <w:jc w:val="both"/>
      </w:pPr>
      <w:r>
        <w:rPr>
          <w:rFonts w:ascii="Arial" w:cs="Arial" w:eastAsia="Arial" w:hAnsi="Arial"/>
          <w:b/>
          <w:bCs/>
          <w:sz w:val="24"/>
          <w:szCs w:val="24"/>
        </w:rPr>
        <w:t xml:space="preserve">Elevar la seguridad de la información de forma gradual.</w:t>
      </w:r>
      <w:r>
        <w:rPr>
          <w:rFonts w:ascii="Arial" w:cs="Arial" w:eastAsia="Arial" w:hAnsi="Arial"/>
          <w:sz w:val="24"/>
          <w:szCs w:val="24"/>
        </w:rPr>
        <w:t xml:space="preserve"> Adoptar controles de ISO/IEC 27001 (ISO, 2022): acceso por roles, respaldo, cifrado, bitácoras y gestión de incidentes, con un protocolo para informar a las personas titulares las vulneraciones que afecten sus derechos (LFPDPPP, 2025, art. 19). Extender a los reportes en hojas de cálculo las prácticas que ya aplico en el sistema del congreso.</w:t>
      </w:r>
    </w:p>
    <w:p>
      <w:pPr>
        <w:pStyle w:val="ListParagraph"/>
        <w:numPr>
          <w:ilvl w:val="0"/>
          <w:numId w:val="2"/>
        </w:numPr>
        <w:spacing w:after="0" w:before="0" w:line="360" w:lineRule="auto"/>
        <w:jc w:val="both"/>
      </w:pPr>
      <w:r>
        <w:rPr>
          <w:rFonts w:ascii="Arial" w:cs="Arial" w:eastAsia="Arial" w:hAnsi="Arial"/>
          <w:b/>
          <w:bCs/>
          <w:sz w:val="24"/>
          <w:szCs w:val="24"/>
        </w:rPr>
        <w:t xml:space="preserve">Crear un inventario y una gobernanza de la IA.</w:t>
      </w:r>
      <w:r>
        <w:rPr>
          <w:rFonts w:ascii="Arial" w:cs="Arial" w:eastAsia="Arial" w:hAnsi="Arial"/>
          <w:sz w:val="24"/>
          <w:szCs w:val="24"/>
        </w:rPr>
        <w:t xml:space="preserve"> Registrar los sistemas S1 a S3 con su finalidad, datos, proveedor y nivel de riesgo, designar a una persona responsable y revisar el inventario cada año, con la lógica de gestión de ISO/IEC 42001 (ISO, 2023). Capacitar al personal con el microaprendizaje sobre IA responsable que el CIESS ya ofrece a otras instituciones (CIESS, s.f.-c).</w:t>
      </w:r>
    </w:p>
    <w:p>
      <w:pPr>
        <w:pStyle w:val="ListParagraph"/>
        <w:numPr>
          <w:ilvl w:val="0"/>
          <w:numId w:val="2"/>
        </w:numPr>
        <w:spacing w:after="0" w:before="0" w:line="360" w:lineRule="auto"/>
        <w:jc w:val="both"/>
      </w:pPr>
      <w:r>
        <w:rPr>
          <w:rFonts w:ascii="Arial" w:cs="Arial" w:eastAsia="Arial" w:hAnsi="Arial"/>
          <w:b/>
          <w:bCs/>
          <w:sz w:val="24"/>
          <w:szCs w:val="24"/>
        </w:rPr>
        <w:t xml:space="preserve">Vigilar la normatividad de forma periódica.</w:t>
      </w:r>
      <w:r>
        <w:rPr>
          <w:rFonts w:ascii="Arial" w:cs="Arial" w:eastAsia="Arial" w:hAnsi="Arial"/>
          <w:sz w:val="24"/>
          <w:szCs w:val="24"/>
        </w:rPr>
        <w:t xml:space="preserve"> Revisar cada trimestre, y registrar la fecha de verificación, la LFPDPPP (2025) y su reglamentación; la iniciativa de 2025 (Jiménez Godoy et al., 2025) y las que la sigan; el proyecto brasileño (Pacheco, 2023); el calendario del Ómnibus de la UE (PE y CUE, 2026); la LFDA (1996) y las reformas sobre IA; y las leyes de los países de origen. Hacerlo siempre contra el texto oficial —por ejemplo, el índice de leyes federales vigentes de la Cámara de Diputados— y no contra resúmenes.</w:t>
      </w:r>
    </w:p>
    <w:p>
      <w:pPr>
        <w:pStyle w:val="Heading1"/>
        <w:keepNext/>
        <w:spacing w:after="0" w:before="0" w:line="360" w:lineRule="auto"/>
        <w:jc w:val="center"/>
      </w:pPr>
      <w:r>
        <w:rPr>
          <w:rFonts w:ascii="Arial" w:cs="Arial" w:eastAsia="Arial" w:hAnsi="Arial"/>
          <w:b/>
          <w:bCs/>
          <w:color w:val="000000"/>
          <w:sz w:val="24"/>
          <w:szCs w:val="24"/>
        </w:rPr>
        <w:t xml:space="preserve">Conclusión</w:t>
      </w:r>
    </w:p>
    <w:p>
      <w:pPr>
        <w:spacing w:after="0" w:before="0" w:line="360" w:lineRule="auto"/>
        <w:ind w:firstLine="720"/>
        <w:jc w:val="both"/>
      </w:pPr>
      <w:r>
        <w:rPr>
          <w:rFonts w:ascii="Arial" w:cs="Arial" w:eastAsia="Arial" w:hAnsi="Arial"/>
          <w:sz w:val="24"/>
          <w:szCs w:val="24"/>
        </w:rPr>
        <w:t xml:space="preserve">En México no existe una ley marco de IA. Lo que hoy obliga en esta materia son leyes transversales —protección de datos personales, derecho de autor y delitos informáticos—, y lo específico sobre IA son políticas públicas, declaraciones e iniciativas que todavía no son ley, como la propuesta de 2025 (Jiménez Godoy et al., 2025). En el plano internacional las tendencias coinciden —regulación por riesgos, transparencia y supervisión humana—, pero los efectos son desiguales: la Unión Europea ya tiene un reglamento vigente y con calendario, Brasil tiene un proyecto avanzado, y Canadá y Estados Unidos muestran que lo que se anuncia puede caducar o derogarse.</w:t>
      </w:r>
    </w:p>
    <w:p>
      <w:pPr>
        <w:spacing w:after="0" w:before="0" w:line="360" w:lineRule="auto"/>
        <w:ind w:firstLine="720"/>
        <w:jc w:val="both"/>
      </w:pPr>
      <w:r>
        <w:rPr>
          <w:rFonts w:ascii="Arial" w:cs="Arial" w:eastAsia="Arial" w:hAnsi="Arial"/>
          <w:sz w:val="24"/>
          <w:szCs w:val="24"/>
        </w:rPr>
        <w:t xml:space="preserve">Para el CIESS, la aplicación directa de las leyes mexicanas es una cuestión por resolver debido a su naturaleza de organismo internacional, pero la prudencia, sus propios reglamentos y la procedencia de sus participantes y proveedores indican que conviene cumplirlas como estándar mínimo. Hoy sus riesgos principales no están en la IA en sí, sino en la protección de datos, la gobernanza de las herramientas que ya usa y la propiedad intelectual de lo que produce con ellas.</w:t>
      </w:r>
    </w:p>
    <w:p>
      <w:pPr>
        <w:spacing w:after="0" w:before="0" w:line="360" w:lineRule="auto"/>
        <w:ind w:firstLine="720"/>
        <w:jc w:val="both"/>
      </w:pPr>
      <w:r>
        <w:rPr>
          <w:rFonts w:ascii="Arial" w:cs="Arial" w:eastAsia="Arial" w:hAnsi="Arial"/>
          <w:sz w:val="24"/>
          <w:szCs w:val="24"/>
        </w:rPr>
        <w:t xml:space="preserve">Las recomendaciones propuestas cuestan poco frente al riesgo que previenen y siguen la misma lógica que adopté en mis desarrollos: personas responsables, datos mínimos y protegidos, rastro verificable y revisión humana. Una institución que forma a otras en el uso responsable de la IA tiene la oportunidad de demostrarlo en su propia operación.</w:t>
      </w:r>
    </w:p>
    <w:p>
      <w:pPr>
        <w:pStyle w:val="Heading1"/>
        <w:keepNext/>
        <w:pageBreakBefore/>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Basham. (2026). </w:t>
      </w:r>
      <w:r>
        <w:rPr>
          <w:rFonts w:ascii="Arial" w:cs="Arial" w:eastAsia="Arial" w:hAnsi="Arial"/>
          <w:i/>
          <w:iCs/>
          <w:sz w:val="24"/>
          <w:szCs w:val="24"/>
        </w:rPr>
        <w:t xml:space="preserve">Nuevos derechos para las personas trabajadoras artistas intérpretes o ejecutantes</w:t>
      </w:r>
      <w:r>
        <w:rPr>
          <w:rFonts w:ascii="Arial" w:cs="Arial" w:eastAsia="Arial" w:hAnsi="Arial"/>
          <w:sz w:val="24"/>
          <w:szCs w:val="24"/>
        </w:rPr>
        <w:t xml:space="preserve">. </w:t>
      </w:r>
      <w:hyperlink w:history="1" r:id="rIdejdibbevhts_5z-qjvq6t">
        <w:r>
          <w:rPr>
            <w:rStyle w:val="Hyperlink"/>
            <w:rFonts w:ascii="Arial" w:cs="Arial" w:eastAsia="Arial" w:hAnsi="Arial"/>
            <w:sz w:val="24"/>
            <w:szCs w:val="24"/>
          </w:rPr>
          <w:t xml:space="preserve">https://basham.com.mx/nuevos-derechos-para-las-personas-trabajadoras-artistas-interpretes-o-ejecutantes/</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(5 de febrero de 1917). </w:t>
      </w:r>
      <w:r>
        <w:rPr>
          <w:rFonts w:ascii="Arial" w:cs="Arial" w:eastAsia="Arial" w:hAnsi="Arial"/>
          <w:i/>
          <w:iCs/>
          <w:sz w:val="24"/>
          <w:szCs w:val="24"/>
        </w:rPr>
        <w:t xml:space="preserve">Constitución Política de los Estados Unidos Mexicanos</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gsh7dbvp4bcgcxyn_c4_r">
        <w:r>
          <w:rPr>
            <w:rStyle w:val="Hyperlink"/>
            <w:rFonts w:ascii="Arial" w:cs="Arial" w:eastAsia="Arial" w:hAnsi="Arial"/>
            <w:sz w:val="24"/>
            <w:szCs w:val="24"/>
          </w:rPr>
          <w:t xml:space="preserve">https://www.diputados.gob.mx/LeyesBiblio/pdf/CPEUM.pdf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(14 de agosto de 1931). </w:t>
      </w:r>
      <w:r>
        <w:rPr>
          <w:rFonts w:ascii="Arial" w:cs="Arial" w:eastAsia="Arial" w:hAnsi="Arial"/>
          <w:i/>
          <w:iCs/>
          <w:sz w:val="24"/>
          <w:szCs w:val="24"/>
        </w:rPr>
        <w:t xml:space="preserve">Código Penal Federal</w:t>
      </w:r>
      <w:r>
        <w:rPr>
          <w:rFonts w:ascii="Arial" w:cs="Arial" w:eastAsia="Arial" w:hAnsi="Arial"/>
          <w:sz w:val="24"/>
          <w:szCs w:val="24"/>
        </w:rPr>
        <w:t xml:space="preserve">. Diario Oficial de la Federación. México: Cámara de Diputados del Honorable Congreso de la Unión. Recuperado el 11 de octubre de 2026, de </w:t>
      </w:r>
      <w:hyperlink w:history="1" r:id="rIdfv8bkzrfk9h24qzj8jgr_">
        <w:r>
          <w:rPr>
            <w:rStyle w:val="Hyperlink"/>
            <w:rFonts w:ascii="Arial" w:cs="Arial" w:eastAsia="Arial" w:hAnsi="Arial"/>
            <w:sz w:val="24"/>
            <w:szCs w:val="24"/>
          </w:rPr>
          <w:t xml:space="preserve">https://www.diputados.gob.mx/LeyesBiblio/pdf/CPF.pdf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(24 de diciembre de 1996). </w:t>
      </w:r>
      <w:r>
        <w:rPr>
          <w:rFonts w:ascii="Arial" w:cs="Arial" w:eastAsia="Arial" w:hAnsi="Arial"/>
          <w:i/>
          <w:iCs/>
          <w:sz w:val="24"/>
          <w:szCs w:val="24"/>
        </w:rPr>
        <w:t xml:space="preserve">Ley Federal del Derecho de Autor</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c3yj_jk4fpwgh1tyyig01">
        <w:r>
          <w:rPr>
            <w:rStyle w:val="Hyperlink"/>
            <w:rFonts w:ascii="Arial" w:cs="Arial" w:eastAsia="Arial" w:hAnsi="Arial"/>
            <w:sz w:val="24"/>
            <w:szCs w:val="24"/>
          </w:rPr>
          <w:t xml:space="preserve">https://www.diputados.gob.mx/LeyesBiblio/pdf/LFDA.pdf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(1 de febrero de 2007). </w:t>
      </w:r>
      <w:r>
        <w:rPr>
          <w:rFonts w:ascii="Arial" w:cs="Arial" w:eastAsia="Arial" w:hAnsi="Arial"/>
          <w:i/>
          <w:iCs/>
          <w:sz w:val="24"/>
          <w:szCs w:val="24"/>
        </w:rPr>
        <w:t xml:space="preserve">Ley General de Acceso de las Mujeres a una Vida Libre de Violencia</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ari83760qnc4baw18kcat">
        <w:r>
          <w:rPr>
            <w:rStyle w:val="Hyperlink"/>
            <w:rFonts w:ascii="Arial" w:cs="Arial" w:eastAsia="Arial" w:hAnsi="Arial"/>
            <w:sz w:val="24"/>
            <w:szCs w:val="24"/>
          </w:rPr>
          <w:t xml:space="preserve">https://www.diputados.gob.mx/LeyesBiblio/pdf/LGAMVLV.pdf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rlvvxg5azxvkuziq_yx5z">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 de marzo de 2025). </w:t>
      </w:r>
      <w:r>
        <w:rPr>
          <w:rFonts w:ascii="Arial" w:cs="Arial" w:eastAsia="Arial" w:hAnsi="Arial"/>
          <w:i/>
          <w:iCs/>
          <w:sz w:val="24"/>
          <w:szCs w:val="24"/>
        </w:rPr>
        <w:t xml:space="preserve">Ley General de Protección de Datos Personales en Posesión de Sujetos Obligados</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1wbhncmak13jcacc58srn">
        <w:r>
          <w:rPr>
            <w:rStyle w:val="Hyperlink"/>
            <w:rFonts w:ascii="Arial" w:cs="Arial" w:eastAsia="Arial" w:hAnsi="Arial"/>
            <w:sz w:val="24"/>
            <w:szCs w:val="24"/>
          </w:rPr>
          <w:t xml:space="preserve">https://www.diputados.gob.mx/LeyesBiblio/pdf/LGPDPPSO.pdf</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[CIESS]. (s.f.-a). </w:t>
      </w:r>
      <w:r>
        <w:rPr>
          <w:rFonts w:ascii="Arial" w:cs="Arial" w:eastAsia="Arial" w:hAnsi="Arial"/>
          <w:i/>
          <w:iCs/>
          <w:sz w:val="24"/>
          <w:szCs w:val="24"/>
        </w:rPr>
        <w:t xml:space="preserve">Directorio</w:t>
      </w:r>
      <w:r>
        <w:rPr>
          <w:rFonts w:ascii="Arial" w:cs="Arial" w:eastAsia="Arial" w:hAnsi="Arial"/>
          <w:sz w:val="24"/>
          <w:szCs w:val="24"/>
        </w:rPr>
        <w:t xml:space="preserve">. </w:t>
      </w:r>
      <w:hyperlink w:history="1" r:id="rIduujvhlgoi6j7xkoygmq4_">
        <w:r>
          <w:rPr>
            <w:rStyle w:val="Hyperlink"/>
            <w:rFonts w:ascii="Arial" w:cs="Arial" w:eastAsia="Arial" w:hAnsi="Arial"/>
            <w:sz w:val="24"/>
            <w:szCs w:val="24"/>
          </w:rPr>
          <w:t xml:space="preserve">https://home.ciess.org/directorio/</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[CIESS]. (s.f.-b). </w:t>
      </w:r>
      <w:r>
        <w:rPr>
          <w:rFonts w:ascii="Arial" w:cs="Arial" w:eastAsia="Arial" w:hAnsi="Arial"/>
          <w:i/>
          <w:iCs/>
          <w:sz w:val="24"/>
          <w:szCs w:val="24"/>
        </w:rPr>
        <w:t xml:space="preserve">Inscripciones y admisiones</w:t>
      </w:r>
      <w:r>
        <w:rPr>
          <w:rFonts w:ascii="Arial" w:cs="Arial" w:eastAsia="Arial" w:hAnsi="Arial"/>
          <w:sz w:val="24"/>
          <w:szCs w:val="24"/>
        </w:rPr>
        <w:t xml:space="preserve">. </w:t>
      </w:r>
      <w:hyperlink w:history="1" r:id="rIdmdu2btsmxn73uvuy3xzbb">
        <w:r>
          <w:rPr>
            <w:rStyle w:val="Hyperlink"/>
            <w:rFonts w:ascii="Arial" w:cs="Arial" w:eastAsia="Arial" w:hAnsi="Arial"/>
            <w:sz w:val="24"/>
            <w:szCs w:val="24"/>
          </w:rPr>
          <w:t xml:space="preserve">https://home.ciess.org/inscripciones-y-admisiones/</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[CIESS]. (s.f.-c). </w:t>
      </w:r>
      <w:r>
        <w:rPr>
          <w:rFonts w:ascii="Arial" w:cs="Arial" w:eastAsia="Arial" w:hAnsi="Arial"/>
          <w:i/>
          <w:iCs/>
          <w:sz w:val="24"/>
          <w:szCs w:val="24"/>
        </w:rPr>
        <w:t xml:space="preserve">Microaprendizaje ABC de la inteligencia artificial 2026</w:t>
      </w:r>
      <w:r>
        <w:rPr>
          <w:rFonts w:ascii="Arial" w:cs="Arial" w:eastAsia="Arial" w:hAnsi="Arial"/>
          <w:sz w:val="24"/>
          <w:szCs w:val="24"/>
        </w:rPr>
        <w:t xml:space="preserve">. </w:t>
      </w:r>
      <w:hyperlink w:history="1" r:id="rIdpffkybcyns21eo4yjizgz">
        <w:r>
          <w:rPr>
            <w:rStyle w:val="Hyperlink"/>
            <w:rFonts w:ascii="Arial" w:cs="Arial" w:eastAsia="Arial" w:hAnsi="Arial"/>
            <w:sz w:val="24"/>
            <w:szCs w:val="24"/>
          </w:rPr>
          <w:t xml:space="preserve">https://home.ciess.org/microaprendizaje-abc-de-la-inteligencia-artificial-2026/</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[CIESS]. (s.f.-d). </w:t>
      </w:r>
      <w:r>
        <w:rPr>
          <w:rFonts w:ascii="Arial" w:cs="Arial" w:eastAsia="Arial" w:hAnsi="Arial"/>
          <w:i/>
          <w:iCs/>
          <w:sz w:val="24"/>
          <w:szCs w:val="24"/>
        </w:rPr>
        <w:t xml:space="preserve">Nosotros</w:t>
      </w:r>
      <w:r>
        <w:rPr>
          <w:rFonts w:ascii="Arial" w:cs="Arial" w:eastAsia="Arial" w:hAnsi="Arial"/>
          <w:sz w:val="24"/>
          <w:szCs w:val="24"/>
        </w:rPr>
        <w:t xml:space="preserve">. </w:t>
      </w:r>
      <w:hyperlink w:history="1" r:id="rIdj7c_qo8tkpnpzfmduv896">
        <w:r>
          <w:rPr>
            <w:rStyle w:val="Hyperlink"/>
            <w:rFonts w:ascii="Arial" w:cs="Arial" w:eastAsia="Arial" w:hAnsi="Arial"/>
            <w:sz w:val="24"/>
            <w:szCs w:val="24"/>
          </w:rPr>
          <w:t xml:space="preserve">https://home.ciess.org/nosotros/</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[CIESS]. (s.f.-e). </w:t>
      </w:r>
      <w:r>
        <w:rPr>
          <w:rFonts w:ascii="Arial" w:cs="Arial" w:eastAsia="Arial" w:hAnsi="Arial"/>
          <w:i/>
          <w:iCs/>
          <w:sz w:val="24"/>
          <w:szCs w:val="24"/>
        </w:rPr>
        <w:t xml:space="preserve">Programa académico 2026</w:t>
      </w:r>
      <w:r>
        <w:rPr>
          <w:rFonts w:ascii="Arial" w:cs="Arial" w:eastAsia="Arial" w:hAnsi="Arial"/>
          <w:sz w:val="24"/>
          <w:szCs w:val="24"/>
        </w:rPr>
        <w:t xml:space="preserve">. </w:t>
      </w:r>
      <w:hyperlink w:history="1" r:id="rIdpuljflje3k-nhodrnrhmi">
        <w:r>
          <w:rPr>
            <w:rStyle w:val="Hyperlink"/>
            <w:rFonts w:ascii="Arial" w:cs="Arial" w:eastAsia="Arial" w:hAnsi="Arial"/>
            <w:sz w:val="24"/>
            <w:szCs w:val="24"/>
          </w:rPr>
          <w:t xml:space="preserve">https://home.ciess.org/programa-academico-2026/</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[CIESS]. (2025). </w:t>
      </w:r>
      <w:r>
        <w:rPr>
          <w:rFonts w:ascii="Arial" w:cs="Arial" w:eastAsia="Arial" w:hAnsi="Arial"/>
          <w:i/>
          <w:iCs/>
          <w:sz w:val="24"/>
          <w:szCs w:val="24"/>
        </w:rPr>
        <w:t xml:space="preserve">Reglamento Académico del Centro Interamericano de Estudios de Seguridad Social</w:t>
      </w:r>
      <w:r>
        <w:rPr>
          <w:rFonts w:ascii="Arial" w:cs="Arial" w:eastAsia="Arial" w:hAnsi="Arial"/>
          <w:sz w:val="24"/>
          <w:szCs w:val="24"/>
        </w:rPr>
        <w:t xml:space="preserve">. </w:t>
      </w:r>
      <w:hyperlink w:history="1" r:id="rIdnrf1fszjkxsz94f1z8vd2">
        <w:r>
          <w:rPr>
            <w:rStyle w:val="Hyperlink"/>
            <w:rFonts w:ascii="Arial" w:cs="Arial" w:eastAsia="Arial" w:hAnsi="Arial"/>
            <w:sz w:val="24"/>
            <w:szCs w:val="24"/>
          </w:rPr>
          <w:t xml:space="preserve">https://home.ciess.org/wp-content/uploads/2025/09/REGLAMENTO_ACADEMICO_VF_ESP-1.pdf</w:t>
        </w:r>
      </w:hyperlink>
    </w:p>
    <w:p>
      <w:pPr>
        <w:spacing w:after="0" w:before="0" w:line="360" w:lineRule="auto"/>
        <w:ind w:left="720" w:hanging="720"/>
        <w:jc w:val="left"/>
      </w:pPr>
      <w:r>
        <w:rPr>
          <w:rFonts w:ascii="Arial" w:cs="Arial" w:eastAsia="Arial" w:hAnsi="Arial"/>
          <w:sz w:val="24"/>
          <w:szCs w:val="24"/>
        </w:rPr>
        <w:t xml:space="preserve">Coalición IA2030Mx. (2020). </w:t>
      </w:r>
      <w:r>
        <w:rPr>
          <w:rFonts w:ascii="Arial" w:cs="Arial" w:eastAsia="Arial" w:hAnsi="Arial"/>
          <w:i/>
          <w:iCs/>
          <w:sz w:val="24"/>
          <w:szCs w:val="24"/>
        </w:rPr>
        <w:t xml:space="preserve">Agenda Nacional Mexicana de Inteligencia Artificial</w:t>
      </w:r>
      <w:r>
        <w:rPr>
          <w:rFonts w:ascii="Arial" w:cs="Arial" w:eastAsia="Arial" w:hAnsi="Arial"/>
          <w:sz w:val="24"/>
          <w:szCs w:val="24"/>
        </w:rPr>
        <w:t xml:space="preserve">. </w:t>
      </w:r>
      <w:hyperlink w:history="1" r:id="rIdrsafetpu9tt2vtb3zxpkf">
        <w:r>
          <w:rPr>
            <w:rStyle w:val="Hyperlink"/>
            <w:rFonts w:ascii="Arial" w:cs="Arial" w:eastAsia="Arial" w:hAnsi="Arial"/>
            <w:sz w:val="24"/>
            <w:szCs w:val="24"/>
          </w:rPr>
          <w:t xml:space="preserve">https://ia2030.mx/agenda-nacional-mexicana-de-inteligencia-artificial/</w:t>
        </w:r>
      </w:hyperlink>
    </w:p>
    <w:p>
      <w:pPr>
        <w:spacing w:after="0" w:before="0" w:line="360" w:lineRule="auto"/>
        <w:ind w:left="720" w:hanging="720"/>
        <w:jc w:val="left"/>
      </w:pPr>
      <w:r>
        <w:rPr>
          <w:rFonts w:ascii="Arial" w:cs="Arial" w:eastAsia="Arial" w:hAnsi="Arial"/>
          <w:sz w:val="24"/>
          <w:szCs w:val="24"/>
        </w:rPr>
        <w:t xml:space="preserve">Conferencia Interamericana de Seguridad Social [CISS]. (s.f.). </w:t>
      </w:r>
      <w:r>
        <w:rPr>
          <w:rFonts w:ascii="Arial" w:cs="Arial" w:eastAsia="Arial" w:hAnsi="Arial"/>
          <w:i/>
          <w:iCs/>
          <w:sz w:val="24"/>
          <w:szCs w:val="24"/>
        </w:rPr>
        <w:t xml:space="preserve">Política y aviso de privacidad</w:t>
      </w:r>
      <w:r>
        <w:rPr>
          <w:rFonts w:ascii="Arial" w:cs="Arial" w:eastAsia="Arial" w:hAnsi="Arial"/>
          <w:sz w:val="24"/>
          <w:szCs w:val="24"/>
        </w:rPr>
        <w:t xml:space="preserve">. </w:t>
      </w:r>
      <w:hyperlink w:history="1" r:id="rIddwcgwibrtp3ubox59jorm">
        <w:r>
          <w:rPr>
            <w:rStyle w:val="Hyperlink"/>
            <w:rFonts w:ascii="Arial" w:cs="Arial" w:eastAsia="Arial" w:hAnsi="Arial"/>
            <w:sz w:val="24"/>
            <w:szCs w:val="24"/>
          </w:rPr>
          <w:t xml:space="preserve">https://ciss-bienestar.org/politica-y-aviso-de-privacidad/</w:t>
        </w:r>
      </w:hyperlink>
    </w:p>
    <w:p>
      <w:pPr>
        <w:spacing w:after="0" w:before="0" w:line="360" w:lineRule="auto"/>
        <w:ind w:left="720" w:hanging="720"/>
        <w:jc w:val="left"/>
      </w:pPr>
      <w:r>
        <w:rPr>
          <w:rFonts w:ascii="Arial" w:cs="Arial" w:eastAsia="Arial" w:hAnsi="Arial"/>
          <w:sz w:val="24"/>
          <w:szCs w:val="24"/>
        </w:rPr>
        <w:t xml:space="preserve">Congreso de Colombia. (18 de octubre de 2012). </w:t>
      </w:r>
      <w:r>
        <w:rPr>
          <w:rFonts w:ascii="Arial" w:cs="Arial" w:eastAsia="Arial" w:hAnsi="Arial"/>
          <w:i/>
          <w:iCs/>
          <w:sz w:val="24"/>
          <w:szCs w:val="24"/>
        </w:rPr>
        <w:t xml:space="preserve">Ley Estatutaria 1581 de 2012: Por la cual se dictan disposiciones generales para la protección de datos personales</w:t>
      </w:r>
      <w:r>
        <w:rPr>
          <w:rFonts w:ascii="Arial" w:cs="Arial" w:eastAsia="Arial" w:hAnsi="Arial"/>
          <w:sz w:val="24"/>
          <w:szCs w:val="24"/>
        </w:rPr>
        <w:t xml:space="preserve">. Diario Oficial 48.587. </w:t>
      </w:r>
      <w:hyperlink w:history="1" r:id="rIdcc0nfpa33bs8cmcwyk5at">
        <w:r>
          <w:rPr>
            <w:rStyle w:val="Hyperlink"/>
            <w:rFonts w:ascii="Arial" w:cs="Arial" w:eastAsia="Arial" w:hAnsi="Arial"/>
            <w:sz w:val="24"/>
            <w:szCs w:val="24"/>
          </w:rPr>
          <w:t xml:space="preserve">https://www.funcionpublica.gov.co/eva/gestornormativo/norma.php?i=49981</w:t>
        </w:r>
      </w:hyperlink>
    </w:p>
    <w:p>
      <w:pPr>
        <w:spacing w:after="0" w:before="0" w:line="360" w:lineRule="auto"/>
        <w:ind w:left="720" w:hanging="720"/>
        <w:jc w:val="left"/>
      </w:pPr>
      <w:r>
        <w:rPr>
          <w:rFonts w:ascii="Arial" w:cs="Arial" w:eastAsia="Arial" w:hAnsi="Arial"/>
          <w:sz w:val="24"/>
          <w:szCs w:val="24"/>
        </w:rPr>
        <w:t xml:space="preserve">Congreso de la Nación Argentina. (2 de noviembre de 2000). </w:t>
      </w:r>
      <w:r>
        <w:rPr>
          <w:rFonts w:ascii="Arial" w:cs="Arial" w:eastAsia="Arial" w:hAnsi="Arial"/>
          <w:i/>
          <w:iCs/>
          <w:sz w:val="24"/>
          <w:szCs w:val="24"/>
        </w:rPr>
        <w:t xml:space="preserve">Ley 25.326: Protección de los datos personales</w:t>
      </w:r>
      <w:r>
        <w:rPr>
          <w:rFonts w:ascii="Arial" w:cs="Arial" w:eastAsia="Arial" w:hAnsi="Arial"/>
          <w:sz w:val="24"/>
          <w:szCs w:val="24"/>
        </w:rPr>
        <w:t xml:space="preserve">. Boletín Oficial de la República Argentina. </w:t>
      </w:r>
      <w:hyperlink w:history="1" r:id="rIdht7u2at_j5zhzeujbkz0d">
        <w:r>
          <w:rPr>
            <w:rStyle w:val="Hyperlink"/>
            <w:rFonts w:ascii="Arial" w:cs="Arial" w:eastAsia="Arial" w:hAnsi="Arial"/>
            <w:sz w:val="24"/>
            <w:szCs w:val="24"/>
          </w:rPr>
          <w:t xml:space="preserve">https://www.argentina.gob.ar/normativa/nacional/ley-25326-64790</w:t>
        </w:r>
      </w:hyperlink>
    </w:p>
    <w:p>
      <w:pPr>
        <w:spacing w:after="0" w:before="0" w:line="360" w:lineRule="auto"/>
        <w:ind w:left="720" w:hanging="720"/>
        <w:jc w:val="left"/>
      </w:pPr>
      <w:r>
        <w:rPr>
          <w:rFonts w:ascii="Arial" w:cs="Arial" w:eastAsia="Arial" w:hAnsi="Arial"/>
          <w:sz w:val="24"/>
          <w:szCs w:val="24"/>
        </w:rPr>
        <w:t xml:space="preserve">Department for Science, Innovation and Technology [DSIT]. (2023). </w:t>
      </w:r>
      <w:r>
        <w:rPr>
          <w:rFonts w:ascii="Arial" w:cs="Arial" w:eastAsia="Arial" w:hAnsi="Arial"/>
          <w:i/>
          <w:iCs/>
          <w:sz w:val="24"/>
          <w:szCs w:val="24"/>
        </w:rPr>
        <w:t xml:space="preserve">AI regulation: A pro-innovation approach</w:t>
      </w:r>
      <w:r>
        <w:rPr>
          <w:rFonts w:ascii="Arial" w:cs="Arial" w:eastAsia="Arial" w:hAnsi="Arial"/>
          <w:sz w:val="24"/>
          <w:szCs w:val="24"/>
        </w:rPr>
        <w:t xml:space="preserve">. UK Government. </w:t>
      </w:r>
      <w:hyperlink w:history="1" r:id="rIdadp-8m_yrjt8ld4zd7t1b">
        <w:r>
          <w:rPr>
            <w:rStyle w:val="Hyperlink"/>
            <w:rFonts w:ascii="Arial" w:cs="Arial" w:eastAsia="Arial" w:hAnsi="Arial"/>
            <w:sz w:val="24"/>
            <w:szCs w:val="24"/>
          </w:rPr>
          <w:t xml:space="preserve">https://www.gov.uk/government/publications/ai-regulation-a-pro-innovation-approach/white-paper</w:t>
        </w:r>
      </w:hyperlink>
    </w:p>
    <w:p>
      <w:pPr>
        <w:spacing w:after="0" w:before="0" w:line="360" w:lineRule="auto"/>
        <w:ind w:left="720" w:hanging="720"/>
        <w:jc w:val="left"/>
      </w:pPr>
      <w:r>
        <w:rPr>
          <w:rFonts w:ascii="Arial" w:cs="Arial" w:eastAsia="Arial" w:hAnsi="Arial"/>
          <w:sz w:val="24"/>
          <w:szCs w:val="24"/>
        </w:rPr>
        <w:t xml:space="preserve">Gobierno de la República. (2017). </w:t>
      </w:r>
      <w:r>
        <w:rPr>
          <w:rFonts w:ascii="Arial" w:cs="Arial" w:eastAsia="Arial" w:hAnsi="Arial"/>
          <w:i/>
          <w:iCs/>
          <w:sz w:val="24"/>
          <w:szCs w:val="24"/>
        </w:rPr>
        <w:t xml:space="preserve">Estrategia Nacional de Ciberseguridad</w:t>
      </w:r>
      <w:r>
        <w:rPr>
          <w:rFonts w:ascii="Arial" w:cs="Arial" w:eastAsia="Arial" w:hAnsi="Arial"/>
          <w:sz w:val="24"/>
          <w:szCs w:val="24"/>
        </w:rPr>
        <w:t xml:space="preserve">. </w:t>
      </w:r>
      <w:hyperlink w:history="1" r:id="rIdvf-xtydhx9l6pl4_pzq5n">
        <w:r>
          <w:rPr>
            <w:rStyle w:val="Hyperlink"/>
            <w:rFonts w:ascii="Arial" w:cs="Arial" w:eastAsia="Arial" w:hAnsi="Arial"/>
            <w:sz w:val="24"/>
            <w:szCs w:val="24"/>
          </w:rPr>
          <w:t xml:space="preserve">https://www.gob.mx/cms/uploads/attachment/file/271884/Estrategia_Nacional_Ciberseguridad.pdf</w:t>
        </w:r>
      </w:hyperlink>
    </w:p>
    <w:p>
      <w:pPr>
        <w:spacing w:after="0" w:before="0" w:line="360" w:lineRule="auto"/>
        <w:ind w:left="720" w:hanging="720"/>
        <w:jc w:val="left"/>
      </w:pPr>
      <w:r>
        <w:rPr>
          <w:rFonts w:ascii="Arial" w:cs="Arial" w:eastAsia="Arial" w:hAnsi="Arial"/>
          <w:sz w:val="24"/>
          <w:szCs w:val="24"/>
        </w:rPr>
        <w:t xml:space="preserve">Hunton Andrews Kurth. (2025). </w:t>
      </w:r>
      <w:r>
        <w:rPr>
          <w:rFonts w:ascii="Arial" w:cs="Arial" w:eastAsia="Arial" w:hAnsi="Arial"/>
          <w:i/>
          <w:iCs/>
          <w:sz w:val="24"/>
          <w:szCs w:val="24"/>
        </w:rPr>
        <w:t xml:space="preserve">The impact of AI executive order’s revocation remains uncertain, but new Trump EO points to path forward</w:t>
      </w:r>
      <w:r>
        <w:rPr>
          <w:rFonts w:ascii="Arial" w:cs="Arial" w:eastAsia="Arial" w:hAnsi="Arial"/>
          <w:sz w:val="24"/>
          <w:szCs w:val="24"/>
        </w:rPr>
        <w:t xml:space="preserve">. </w:t>
      </w:r>
      <w:hyperlink w:history="1" r:id="rIdqgatw6ab-57cdk_peu4a_">
        <w:r>
          <w:rPr>
            <w:rStyle w:val="Hyperlink"/>
            <w:rFonts w:ascii="Arial" w:cs="Arial" w:eastAsia="Arial" w:hAnsi="Arial"/>
            <w:sz w:val="24"/>
            <w:szCs w:val="24"/>
          </w:rPr>
          <w:t xml:space="preserve">https://www.hunton.com/privacy-and-cybersecurity-law-blog/the-impact-of-ai-executive-orders-revocation-remains-uncertain-but-new-trump-eo-points-to-path-forward</w:t>
        </w:r>
      </w:hyperlink>
    </w:p>
    <w:p>
      <w:pPr>
        <w:spacing w:after="0" w:before="0" w:line="360" w:lineRule="auto"/>
        <w:ind w:left="720" w:hanging="720"/>
        <w:jc w:val="left"/>
      </w:pPr>
      <w:r>
        <w:rPr>
          <w:rFonts w:ascii="Arial" w:cs="Arial" w:eastAsia="Arial" w:hAnsi="Arial"/>
          <w:sz w:val="24"/>
          <w:szCs w:val="24"/>
        </w:rPr>
        <w:t xml:space="preserve">ITSitio. (2026). </w:t>
      </w:r>
      <w:r>
        <w:rPr>
          <w:rFonts w:ascii="Arial" w:cs="Arial" w:eastAsia="Arial" w:hAnsi="Arial"/>
          <w:i/>
          <w:iCs/>
          <w:sz w:val="24"/>
          <w:szCs w:val="24"/>
        </w:rPr>
        <w:t xml:space="preserve">Regulación de IA en México: todavía no hay una ley general, pero las reglas ya avanzan por sectores</w:t>
      </w:r>
      <w:r>
        <w:rPr>
          <w:rFonts w:ascii="Arial" w:cs="Arial" w:eastAsia="Arial" w:hAnsi="Arial"/>
          <w:sz w:val="24"/>
          <w:szCs w:val="24"/>
        </w:rPr>
        <w:t xml:space="preserve">. </w:t>
      </w:r>
      <w:hyperlink w:history="1" r:id="rIdio-ja1uhzl2ccue7d7wag">
        <w:r>
          <w:rPr>
            <w:rStyle w:val="Hyperlink"/>
            <w:rFonts w:ascii="Arial" w:cs="Arial" w:eastAsia="Arial" w:hAnsi="Arial"/>
            <w:sz w:val="24"/>
            <w:szCs w:val="24"/>
          </w:rPr>
          <w:t xml:space="preserve">https://www.itsitio.com/mx/?p=195729</w:t>
        </w:r>
      </w:hyperlink>
    </w:p>
    <w:p>
      <w:pPr>
        <w:spacing w:after="0" w:before="0" w:line="360" w:lineRule="auto"/>
        <w:ind w:left="720" w:hanging="720"/>
        <w:jc w:val="left"/>
      </w:pPr>
      <w:r>
        <w:rPr>
          <w:rFonts w:ascii="Arial" w:cs="Arial" w:eastAsia="Arial" w:hAnsi="Arial"/>
          <w:sz w:val="24"/>
          <w:szCs w:val="24"/>
        </w:rPr>
        <w:t xml:space="preserve">Jiménez Godoy, G. G. et al. (30 de abril de 2025). </w:t>
      </w:r>
      <w:r>
        <w:rPr>
          <w:rFonts w:ascii="Arial" w:cs="Arial" w:eastAsia="Arial" w:hAnsi="Arial"/>
          <w:i/>
          <w:iCs/>
          <w:sz w:val="24"/>
          <w:szCs w:val="24"/>
        </w:rPr>
        <w:t xml:space="preserve">Iniciativa con proyecto de decreto por el que se expide la Ley Federal para el Desarrollo Ético, Soberano e Inclusivo de la Inteligencia Artificial</w:t>
      </w:r>
      <w:r>
        <w:rPr>
          <w:rFonts w:ascii="Arial" w:cs="Arial" w:eastAsia="Arial" w:hAnsi="Arial"/>
          <w:sz w:val="24"/>
          <w:szCs w:val="24"/>
        </w:rPr>
        <w:t xml:space="preserve"> [Iniciativa]. Cámara de Diputados del Honorable Congreso de la Unión. </w:t>
      </w:r>
      <w:hyperlink w:history="1" r:id="rIddjq92qohkfecgbxjpfhlu">
        <w:r>
          <w:rPr>
            <w:rStyle w:val="Hyperlink"/>
            <w:rFonts w:ascii="Arial" w:cs="Arial" w:eastAsia="Arial" w:hAnsi="Arial"/>
            <w:sz w:val="24"/>
            <w:szCs w:val="24"/>
          </w:rPr>
          <w:t xml:space="preserve">https://sil.gobernacion.gob.mx/Archivos/Documentos/2025/04/asun_4896460_20250430_1747757009.pdf</w:t>
        </w:r>
      </w:hyperlink>
    </w:p>
    <w:p>
      <w:pPr>
        <w:spacing w:after="0" w:before="0" w:line="360" w:lineRule="auto"/>
        <w:ind w:left="720" w:hanging="720"/>
        <w:jc w:val="left"/>
      </w:pPr>
      <w:r>
        <w:rPr>
          <w:rFonts w:ascii="Arial" w:cs="Arial" w:eastAsia="Arial" w:hAnsi="Arial"/>
          <w:sz w:val="24"/>
          <w:szCs w:val="24"/>
        </w:rPr>
        <w:t xml:space="preserve">Lara, C. (2024). Inteligencia Artificial en América Latina: Regulación no significa protección. </w:t>
      </w:r>
      <w:r>
        <w:rPr>
          <w:rFonts w:ascii="Arial" w:cs="Arial" w:eastAsia="Arial" w:hAnsi="Arial"/>
          <w:i/>
          <w:iCs/>
          <w:sz w:val="24"/>
          <w:szCs w:val="24"/>
        </w:rPr>
        <w:t xml:space="preserve">Derechos Digitales</w:t>
      </w:r>
      <w:r>
        <w:rPr>
          <w:rFonts w:ascii="Arial" w:cs="Arial" w:eastAsia="Arial" w:hAnsi="Arial"/>
          <w:sz w:val="24"/>
          <w:szCs w:val="24"/>
        </w:rPr>
        <w:t xml:space="preserve">. </w:t>
      </w:r>
      <w:hyperlink w:history="1" r:id="rIdxubkrlg8mdojywrjzffaq">
        <w:r>
          <w:rPr>
            <w:rStyle w:val="Hyperlink"/>
            <w:rFonts w:ascii="Arial" w:cs="Arial" w:eastAsia="Arial" w:hAnsi="Arial"/>
            <w:sz w:val="24"/>
            <w:szCs w:val="24"/>
          </w:rPr>
          <w:t xml:space="preserve">https://www.derechosdigitales.org/23866/inteligencia-artificial-en-america-latina-regulacion-no-significa-proteccion/</w:t>
        </w:r>
      </w:hyperlink>
    </w:p>
    <w:p>
      <w:pPr>
        <w:spacing w:after="0" w:before="0" w:line="360" w:lineRule="auto"/>
        <w:ind w:left="720" w:hanging="720"/>
        <w:jc w:val="left"/>
      </w:pPr>
      <w:r>
        <w:rPr>
          <w:rFonts w:ascii="Arial" w:cs="Arial" w:eastAsia="Arial" w:hAnsi="Arial"/>
          <w:sz w:val="24"/>
          <w:szCs w:val="24"/>
        </w:rPr>
        <w:t xml:space="preserve">Ministry of Innovation, Science and Technology. (2023). </w:t>
      </w:r>
      <w:r>
        <w:rPr>
          <w:rFonts w:ascii="Arial" w:cs="Arial" w:eastAsia="Arial" w:hAnsi="Arial"/>
          <w:i/>
          <w:iCs/>
          <w:sz w:val="24"/>
          <w:szCs w:val="24"/>
        </w:rPr>
        <w:t xml:space="preserve">Israel’s policy on artificial intelligence regulation and ethics</w:t>
      </w:r>
      <w:r>
        <w:rPr>
          <w:rFonts w:ascii="Arial" w:cs="Arial" w:eastAsia="Arial" w:hAnsi="Arial"/>
          <w:sz w:val="24"/>
          <w:szCs w:val="24"/>
        </w:rPr>
        <w:t xml:space="preserve">. </w:t>
      </w:r>
      <w:hyperlink w:history="1" r:id="rIdsk_jytanazteiwz3eedbn">
        <w:r>
          <w:rPr>
            <w:rStyle w:val="Hyperlink"/>
            <w:rFonts w:ascii="Arial" w:cs="Arial" w:eastAsia="Arial" w:hAnsi="Arial"/>
            <w:sz w:val="24"/>
            <w:szCs w:val="24"/>
          </w:rPr>
          <w:t xml:space="preserve">https://www.gov.il/BlobFolder/policy/ai_2023/en/Israels%20AI%20Policy%202023.pdf</w:t>
        </w:r>
      </w:hyperlink>
    </w:p>
    <w:p>
      <w:pPr>
        <w:spacing w:after="0" w:before="0" w:line="360" w:lineRule="auto"/>
        <w:ind w:left="720" w:hanging="720"/>
        <w:jc w:val="left"/>
      </w:pPr>
      <w:r>
        <w:rPr>
          <w:rFonts w:ascii="Arial" w:cs="Arial" w:eastAsia="Arial" w:hAnsi="Arial"/>
          <w:sz w:val="24"/>
          <w:szCs w:val="24"/>
        </w:rPr>
        <w:t xml:space="preserve">Navarrete Flores, A. D. (2026a). </w:t>
      </w:r>
      <w:r>
        <w:rPr>
          <w:rFonts w:ascii="Arial" w:cs="Arial" w:eastAsia="Arial" w:hAnsi="Arial"/>
          <w:i/>
          <w:iCs/>
          <w:sz w:val="24"/>
          <w:szCs w:val="24"/>
        </w:rPr>
        <w:t xml:space="preserve">Entre la eficiencia y la responsabilidad: dilemas éticos de la ciencia de datos y la inteligencia artificial en los procesos académicos del CIESS</w:t>
      </w:r>
      <w:r>
        <w:rPr>
          <w:rFonts w:ascii="Arial" w:cs="Arial" w:eastAsia="Arial" w:hAnsi="Arial"/>
          <w:sz w:val="24"/>
          <w:szCs w:val="24"/>
        </w:rPr>
        <w:t xml:space="preserve"> [Reto 2, documento no publicado]. Maestría en Inteligencia Artificial, Universidad Virtual del Estado de Guanajuato.</w:t>
      </w:r>
    </w:p>
    <w:p>
      <w:pPr>
        <w:spacing w:after="0" w:before="0" w:line="360" w:lineRule="auto"/>
        <w:ind w:left="720" w:hanging="720"/>
        <w:jc w:val="left"/>
      </w:pPr>
      <w:r>
        <w:rPr>
          <w:rFonts w:ascii="Arial" w:cs="Arial" w:eastAsia="Arial" w:hAnsi="Arial"/>
          <w:sz w:val="24"/>
          <w:szCs w:val="24"/>
        </w:rPr>
        <w:t xml:space="preserve">Navarrete Flores, A. D. (2026b). </w:t>
      </w:r>
      <w:r>
        <w:rPr>
          <w:rFonts w:ascii="Arial" w:cs="Arial" w:eastAsia="Arial" w:hAnsi="Arial"/>
          <w:i/>
          <w:iCs/>
          <w:sz w:val="24"/>
          <w:szCs w:val="24"/>
        </w:rPr>
        <w:t xml:space="preserve">Reto 3: La inteligencia artificial. Aplicación de la inteligencia artificial en entornos académicos y profesionales</w:t>
      </w:r>
      <w:r>
        <w:rPr>
          <w:rFonts w:ascii="Arial" w:cs="Arial" w:eastAsia="Arial" w:hAnsi="Arial"/>
          <w:sz w:val="24"/>
          <w:szCs w:val="24"/>
        </w:rPr>
        <w:t xml:space="preserve"> [Documento no publicado]. Maestría en Inteligencia Artificial, Universidad Virtual del Estado de Guanajuato.</w:t>
      </w:r>
    </w:p>
    <w:p>
      <w:pPr>
        <w:spacing w:after="0" w:before="0" w:line="360" w:lineRule="auto"/>
        <w:ind w:left="720" w:hanging="720"/>
        <w:jc w:val="left"/>
      </w:pPr>
      <w:r>
        <w:rPr>
          <w:rFonts w:ascii="Arial" w:cs="Arial" w:eastAsia="Arial" w:hAnsi="Arial"/>
          <w:sz w:val="24"/>
          <w:szCs w:val="24"/>
        </w:rPr>
        <w:t xml:space="preserve">Oficina Estatal de Información de Internet de la República Popular China. (2023). </w:t>
      </w:r>
      <w:r>
        <w:rPr>
          <w:rFonts w:ascii="Arial" w:cs="Arial" w:eastAsia="Arial" w:hAnsi="Arial"/>
          <w:i/>
          <w:iCs/>
          <w:sz w:val="24"/>
          <w:szCs w:val="24"/>
        </w:rPr>
        <w:t xml:space="preserve">Medidas provisionales para la gestión de servicios de inteligencia artificial generativa</w:t>
      </w:r>
      <w:r>
        <w:rPr>
          <w:rFonts w:ascii="Arial" w:cs="Arial" w:eastAsia="Arial" w:hAnsi="Arial"/>
          <w:sz w:val="24"/>
          <w:szCs w:val="24"/>
        </w:rPr>
        <w:t xml:space="preserve">. </w:t>
      </w:r>
      <w:hyperlink w:history="1" r:id="rIdfoaw0gli5y_ummxj5qjfs">
        <w:r>
          <w:rPr>
            <w:rStyle w:val="Hyperlink"/>
            <w:rFonts w:ascii="Arial" w:cs="Arial" w:eastAsia="Arial" w:hAnsi="Arial"/>
            <w:sz w:val="24"/>
            <w:szCs w:val="24"/>
          </w:rPr>
          <w:t xml:space="preserve">https://www.cac.gov.cn/2023-07/13/c_1690898327029107.htm</w:t>
        </w:r>
      </w:hyperlink>
    </w:p>
    <w:p>
      <w:pPr>
        <w:spacing w:after="0" w:before="0" w:line="360" w:lineRule="auto"/>
        <w:ind w:left="720" w:hanging="720"/>
        <w:jc w:val="left"/>
      </w:pPr>
      <w:r>
        <w:rPr>
          <w:rFonts w:ascii="Arial" w:cs="Arial" w:eastAsia="Arial" w:hAnsi="Arial"/>
          <w:sz w:val="24"/>
          <w:szCs w:val="24"/>
        </w:rPr>
        <w:t xml:space="preserve">Organisation for Economic Co-operation and Development [OECD]. (2024). </w:t>
      </w:r>
      <w:r>
        <w:rPr>
          <w:rFonts w:ascii="Arial" w:cs="Arial" w:eastAsia="Arial" w:hAnsi="Arial"/>
          <w:i/>
          <w:iCs/>
          <w:sz w:val="24"/>
          <w:szCs w:val="24"/>
        </w:rPr>
        <w:t xml:space="preserve">Recommendation of the Council on Artificial Intelligence</w:t>
      </w:r>
      <w:r>
        <w:rPr>
          <w:rFonts w:ascii="Arial" w:cs="Arial" w:eastAsia="Arial" w:hAnsi="Arial"/>
          <w:sz w:val="24"/>
          <w:szCs w:val="24"/>
        </w:rPr>
        <w:t xml:space="preserve"> (OECD/LEGAL/0449). OECD Legal Instruments. </w:t>
      </w:r>
      <w:hyperlink w:history="1" r:id="rIdkgwlfzk3gzpuntn6hg0om">
        <w:r>
          <w:rPr>
            <w:rStyle w:val="Hyperlink"/>
            <w:rFonts w:ascii="Arial" w:cs="Arial" w:eastAsia="Arial" w:hAnsi="Arial"/>
            <w:sz w:val="24"/>
            <w:szCs w:val="24"/>
          </w:rPr>
          <w:t xml:space="preserve">https://legalinstruments.oecd.org/en/instruments/OECD-LEGAL-0449</w:t>
        </w:r>
      </w:hyperlink>
    </w:p>
    <w:p>
      <w:pPr>
        <w:spacing w:after="0" w:before="0" w:line="360" w:lineRule="auto"/>
        <w:ind w:left="720" w:hanging="720"/>
        <w:jc w:val="left"/>
      </w:pPr>
      <w:r>
        <w:rPr>
          <w:rFonts w:ascii="Arial" w:cs="Arial" w:eastAsia="Arial" w:hAnsi="Arial"/>
          <w:sz w:val="24"/>
          <w:szCs w:val="24"/>
        </w:rPr>
        <w:t xml:space="preserve">Organización de las Naciones Unidas para la Educación, la Ciencia y la Cultura [UNESCO]. (2022). </w:t>
      </w:r>
      <w:r>
        <w:rPr>
          <w:rFonts w:ascii="Arial" w:cs="Arial" w:eastAsia="Arial" w:hAnsi="Arial"/>
          <w:i/>
          <w:iCs/>
          <w:sz w:val="24"/>
          <w:szCs w:val="24"/>
        </w:rPr>
        <w:t xml:space="preserve">Recomendación sobre la ética de la inteligencia artificial</w:t>
      </w:r>
      <w:r>
        <w:rPr>
          <w:rFonts w:ascii="Arial" w:cs="Arial" w:eastAsia="Arial" w:hAnsi="Arial"/>
          <w:sz w:val="24"/>
          <w:szCs w:val="24"/>
        </w:rPr>
        <w:t xml:space="preserve"> (SHS/BIO/PI/2021/1). </w:t>
      </w:r>
      <w:hyperlink w:history="1" r:id="rIdi96qwoetsqnzks6cannyc">
        <w:r>
          <w:rPr>
            <w:rStyle w:val="Hyperlink"/>
            <w:rFonts w:ascii="Arial" w:cs="Arial" w:eastAsia="Arial" w:hAnsi="Arial"/>
            <w:sz w:val="24"/>
            <w:szCs w:val="24"/>
          </w:rPr>
          <w:t xml:space="preserve">https://unesdoc.unesco.org/ark:/48223/pf0000381137_spa</w:t>
        </w:r>
      </w:hyperlink>
    </w:p>
    <w:p>
      <w:pPr>
        <w:spacing w:after="0" w:before="0" w:line="360" w:lineRule="auto"/>
        <w:ind w:left="720" w:hanging="720"/>
        <w:jc w:val="left"/>
      </w:pPr>
      <w:r>
        <w:rPr>
          <w:rFonts w:ascii="Arial" w:cs="Arial" w:eastAsia="Arial" w:hAnsi="Arial"/>
          <w:sz w:val="24"/>
          <w:szCs w:val="24"/>
        </w:rPr>
        <w:t xml:space="preserve">Organización Internacional de Normalización [ISO]. (2022). </w:t>
      </w:r>
      <w:r>
        <w:rPr>
          <w:rFonts w:ascii="Arial" w:cs="Arial" w:eastAsia="Arial" w:hAnsi="Arial"/>
          <w:i/>
          <w:iCs/>
          <w:sz w:val="24"/>
          <w:szCs w:val="24"/>
        </w:rPr>
        <w:t xml:space="preserve">Seguridad de la información, ciberseguridad y protección de la privacidad: Sistemas de gestión de la seguridad de la información. Requisitos</w:t>
      </w:r>
      <w:r>
        <w:rPr>
          <w:rFonts w:ascii="Arial" w:cs="Arial" w:eastAsia="Arial" w:hAnsi="Arial"/>
          <w:sz w:val="24"/>
          <w:szCs w:val="24"/>
        </w:rPr>
        <w:t xml:space="preserve"> (ISO/IEC 27001:2022). </w:t>
      </w:r>
      <w:hyperlink w:history="1" r:id="rIdrft7ntr6b-27qn-mqs9j6">
        <w:r>
          <w:rPr>
            <w:rStyle w:val="Hyperlink"/>
            <w:rFonts w:ascii="Arial" w:cs="Arial" w:eastAsia="Arial" w:hAnsi="Arial"/>
            <w:sz w:val="24"/>
            <w:szCs w:val="24"/>
          </w:rPr>
          <w:t xml:space="preserve">https://www.iso.org/standard/27001</w:t>
        </w:r>
      </w:hyperlink>
    </w:p>
    <w:p>
      <w:pPr>
        <w:spacing w:after="0" w:before="0" w:line="360" w:lineRule="auto"/>
        <w:ind w:left="720" w:hanging="720"/>
        <w:jc w:val="left"/>
      </w:pPr>
      <w:r>
        <w:rPr>
          <w:rFonts w:ascii="Arial" w:cs="Arial" w:eastAsia="Arial" w:hAnsi="Arial"/>
          <w:sz w:val="24"/>
          <w:szCs w:val="24"/>
        </w:rPr>
        <w:t xml:space="preserve">Organización Internacional de Normalización [ISO]. (2023). </w:t>
      </w:r>
      <w:r>
        <w:rPr>
          <w:rFonts w:ascii="Arial" w:cs="Arial" w:eastAsia="Arial" w:hAnsi="Arial"/>
          <w:i/>
          <w:iCs/>
          <w:sz w:val="24"/>
          <w:szCs w:val="24"/>
        </w:rPr>
        <w:t xml:space="preserve">Sistemas de gestión de inteligencia artificial</w:t>
      </w:r>
      <w:r>
        <w:rPr>
          <w:rFonts w:ascii="Arial" w:cs="Arial" w:eastAsia="Arial" w:hAnsi="Arial"/>
          <w:sz w:val="24"/>
          <w:szCs w:val="24"/>
        </w:rPr>
        <w:t xml:space="preserve"> (ISO/IEC 42001:2023). </w:t>
      </w:r>
      <w:hyperlink w:history="1" r:id="rIdk_p0ukit1y0mfin6pxj-c">
        <w:r>
          <w:rPr>
            <w:rStyle w:val="Hyperlink"/>
            <w:rFonts w:ascii="Arial" w:cs="Arial" w:eastAsia="Arial" w:hAnsi="Arial"/>
            <w:sz w:val="24"/>
            <w:szCs w:val="24"/>
          </w:rPr>
          <w:t xml:space="preserve">https://www.iso.org/standard/81230.html</w:t>
        </w:r>
      </w:hyperlink>
    </w:p>
    <w:p>
      <w:pPr>
        <w:spacing w:after="0" w:before="0" w:line="360" w:lineRule="auto"/>
        <w:ind w:left="720" w:hanging="720"/>
        <w:jc w:val="left"/>
      </w:pPr>
      <w:r>
        <w:rPr>
          <w:rFonts w:ascii="Arial" w:cs="Arial" w:eastAsia="Arial" w:hAnsi="Arial"/>
          <w:sz w:val="24"/>
          <w:szCs w:val="24"/>
        </w:rPr>
        <w:t xml:space="preserve">Pacheco, R. (3 de mayo de 2023). </w:t>
      </w:r>
      <w:r>
        <w:rPr>
          <w:rFonts w:ascii="Arial" w:cs="Arial" w:eastAsia="Arial" w:hAnsi="Arial"/>
          <w:i/>
          <w:iCs/>
          <w:sz w:val="24"/>
          <w:szCs w:val="24"/>
        </w:rPr>
        <w:t xml:space="preserve">Projeto de Lei nº 2338, de 2023</w:t>
      </w:r>
      <w:r>
        <w:rPr>
          <w:rFonts w:ascii="Arial" w:cs="Arial" w:eastAsia="Arial" w:hAnsi="Arial"/>
          <w:sz w:val="24"/>
          <w:szCs w:val="24"/>
        </w:rPr>
        <w:t xml:space="preserve"> [Proyecto de ley]. Senado Federal. </w:t>
      </w:r>
      <w:hyperlink w:history="1" r:id="rIdxqyz-bsxxmjzp3et_9c43">
        <w:r>
          <w:rPr>
            <w:rStyle w:val="Hyperlink"/>
            <w:rFonts w:ascii="Arial" w:cs="Arial" w:eastAsia="Arial" w:hAnsi="Arial"/>
            <w:sz w:val="24"/>
            <w:szCs w:val="24"/>
          </w:rPr>
          <w:t xml:space="preserve">https://www.congressonacional.leg.br/web/atividade/materias/-/materia/157233</w:t>
        </w:r>
      </w:hyperlink>
    </w:p>
    <w:p>
      <w:pPr>
        <w:spacing w:after="0" w:before="0" w:line="360" w:lineRule="auto"/>
        <w:ind w:left="720" w:hanging="720"/>
        <w:jc w:val="left"/>
      </w:pPr>
      <w:r>
        <w:rPr>
          <w:rFonts w:ascii="Arial" w:cs="Arial" w:eastAsia="Arial" w:hAnsi="Arial"/>
          <w:sz w:val="24"/>
          <w:szCs w:val="24"/>
        </w:rPr>
        <w:t xml:space="preserve">Parliament of Canada. (16 de junio de 2022). </w:t>
      </w:r>
      <w:r>
        <w:rPr>
          <w:rFonts w:ascii="Arial" w:cs="Arial" w:eastAsia="Arial" w:hAnsi="Arial"/>
          <w:i/>
          <w:iCs/>
          <w:sz w:val="24"/>
          <w:szCs w:val="24"/>
        </w:rPr>
        <w:t xml:space="preserve">Bill C-27: An Act to enact the Consumer Privacy Protection Act, the Personal Information and Data Protection Tribunal Act and the Artificial Intelligence and Data Act and to make consequential and related amendments to other Acts</w:t>
      </w:r>
      <w:r>
        <w:rPr>
          <w:rFonts w:ascii="Arial" w:cs="Arial" w:eastAsia="Arial" w:hAnsi="Arial"/>
          <w:sz w:val="24"/>
          <w:szCs w:val="24"/>
        </w:rPr>
        <w:t xml:space="preserve">. </w:t>
      </w:r>
      <w:hyperlink w:history="1" r:id="rIdm3s_3qzte2d5nhy8c5b0r">
        <w:r>
          <w:rPr>
            <w:rStyle w:val="Hyperlink"/>
            <w:rFonts w:ascii="Arial" w:cs="Arial" w:eastAsia="Arial" w:hAnsi="Arial"/>
            <w:sz w:val="24"/>
            <w:szCs w:val="24"/>
          </w:rPr>
          <w:t xml:space="preserve">https://www.parl.ca/legisinfo/en/bill/44-1/c-27</w:t>
        </w:r>
      </w:hyperlink>
    </w:p>
    <w:p>
      <w:pPr>
        <w:spacing w:after="0" w:before="0" w:line="360" w:lineRule="auto"/>
        <w:ind w:left="720" w:hanging="720"/>
        <w:jc w:val="left"/>
      </w:pPr>
      <w:r>
        <w:rPr>
          <w:rFonts w:ascii="Arial" w:cs="Arial" w:eastAsia="Arial" w:hAnsi="Arial"/>
          <w:sz w:val="24"/>
          <w:szCs w:val="24"/>
        </w:rPr>
        <w:t xml:space="preserve">Parlamento Europeo y Consejo de la Unión Europea [PE y CUE]. (27 de abril de 2016). </w:t>
      </w:r>
      <w:r>
        <w:rPr>
          <w:rFonts w:ascii="Arial" w:cs="Arial" w:eastAsia="Arial" w:hAnsi="Arial"/>
          <w:i/>
          <w:iCs/>
          <w:sz w:val="24"/>
          <w:szCs w:val="24"/>
        </w:rPr>
        <w:t xml:space="preserve">Reglamento (UE) 2016/679 relativo a la protección de las personas físicas en lo que respecta al tratamiento de datos personales y a la libre circulación de estos datos y por el que se deroga la Directiva 95/46/CE (Reglamento general de protección de datos)</w:t>
      </w:r>
      <w:r>
        <w:rPr>
          <w:rFonts w:ascii="Arial" w:cs="Arial" w:eastAsia="Arial" w:hAnsi="Arial"/>
          <w:sz w:val="24"/>
          <w:szCs w:val="24"/>
        </w:rPr>
        <w:t xml:space="preserve">. Diario Oficial de la Unión Europea, L 119. </w:t>
      </w:r>
      <w:hyperlink w:history="1" r:id="rIdygrbgnwni-vyi2f9aw-ns">
        <w:r>
          <w:rPr>
            <w:rStyle w:val="Hyperlink"/>
            <w:rFonts w:ascii="Arial" w:cs="Arial" w:eastAsia="Arial" w:hAnsi="Arial"/>
            <w:sz w:val="24"/>
            <w:szCs w:val="24"/>
          </w:rPr>
          <w:t xml:space="preserve">https://eur-lex.europa.eu/legal-content/ES/TXT/?uri=CELEX:32016R0679</w:t>
        </w:r>
      </w:hyperlink>
    </w:p>
    <w:p>
      <w:pPr>
        <w:spacing w:after="0" w:before="0" w:line="360" w:lineRule="auto"/>
        <w:ind w:left="720" w:hanging="720"/>
        <w:jc w:val="left"/>
      </w:pPr>
      <w:r>
        <w:rPr>
          <w:rFonts w:ascii="Arial" w:cs="Arial" w:eastAsia="Arial" w:hAnsi="Arial"/>
          <w:sz w:val="24"/>
          <w:szCs w:val="24"/>
        </w:rPr>
        <w:t xml:space="preserve">Parlamento Europeo y Consejo de la Unión Europea [PE y CUE]. (13 de junio de 2024). </w:t>
      </w:r>
      <w:r>
        <w:rPr>
          <w:rFonts w:ascii="Arial" w:cs="Arial" w:eastAsia="Arial" w:hAnsi="Arial"/>
          <w:i/>
          <w:iCs/>
          <w:sz w:val="24"/>
          <w:szCs w:val="24"/>
        </w:rPr>
        <w:t xml:space="preserve">Reglamento (UE) 2024/1689 por el que se establecen normas armonizadas en materia de inteligencia artificial (Reglamento de Inteligencia Artificial)</w:t>
      </w:r>
      <w:r>
        <w:rPr>
          <w:rFonts w:ascii="Arial" w:cs="Arial" w:eastAsia="Arial" w:hAnsi="Arial"/>
          <w:sz w:val="24"/>
          <w:szCs w:val="24"/>
        </w:rPr>
        <w:t xml:space="preserve">. Diario Oficial de la Unión Europea, L 2024/1689. </w:t>
      </w:r>
      <w:hyperlink w:history="1" r:id="rIdcvks04gkrkom6wzjnbwai">
        <w:r>
          <w:rPr>
            <w:rStyle w:val="Hyperlink"/>
            <w:rFonts w:ascii="Arial" w:cs="Arial" w:eastAsia="Arial" w:hAnsi="Arial"/>
            <w:sz w:val="24"/>
            <w:szCs w:val="24"/>
          </w:rPr>
          <w:t xml:space="preserve">https://eur-lex.europa.eu/legal-content/ES/TXT/PDF/?uri=OJ:L_202401689</w:t>
        </w:r>
      </w:hyperlink>
    </w:p>
    <w:p>
      <w:pPr>
        <w:spacing w:after="0" w:before="0" w:line="360" w:lineRule="auto"/>
        <w:ind w:left="720" w:hanging="720"/>
        <w:jc w:val="left"/>
      </w:pPr>
      <w:r>
        <w:rPr>
          <w:rFonts w:ascii="Arial" w:cs="Arial" w:eastAsia="Arial" w:hAnsi="Arial"/>
          <w:sz w:val="24"/>
          <w:szCs w:val="24"/>
        </w:rPr>
        <w:t xml:space="preserve">Parlamento Europeo y Consejo de la Unión Europea [PE y CUE]. (8 de julio de 2026). </w:t>
      </w:r>
      <w:r>
        <w:rPr>
          <w:rFonts w:ascii="Arial" w:cs="Arial" w:eastAsia="Arial" w:hAnsi="Arial"/>
          <w:i/>
          <w:iCs/>
          <w:sz w:val="24"/>
          <w:szCs w:val="24"/>
        </w:rPr>
        <w:t xml:space="preserve">Reglamento (UE) 2026/1744 por el que se modifican los Reglamentos (UE) 2024/1689, (UE) 2018/1139 y (UE) 2023/1230 en lo que respecta a la simplificación de la aplicación de las normas armonizadas en materia de inteligencia artificial (Ómnibus digital sobre IA)</w:t>
      </w:r>
      <w:r>
        <w:rPr>
          <w:rFonts w:ascii="Arial" w:cs="Arial" w:eastAsia="Arial" w:hAnsi="Arial"/>
          <w:sz w:val="24"/>
          <w:szCs w:val="24"/>
        </w:rPr>
        <w:t xml:space="preserve">. Diario Oficial de la Unión Europea, 24 de julio de 2026. </w:t>
      </w:r>
      <w:hyperlink w:history="1" r:id="rIdzjojqwn7u2lvrkvrzzstn">
        <w:r>
          <w:rPr>
            <w:rStyle w:val="Hyperlink"/>
            <w:rFonts w:ascii="Arial" w:cs="Arial" w:eastAsia="Arial" w:hAnsi="Arial"/>
            <w:sz w:val="24"/>
            <w:szCs w:val="24"/>
          </w:rPr>
          <w:t xml:space="preserve">https://www.boe.es/doue/2026/1744/L00001-00041.pdf</w:t>
        </w:r>
      </w:hyperlink>
    </w:p>
    <w:p>
      <w:pPr>
        <w:spacing w:after="0" w:before="0" w:line="360" w:lineRule="auto"/>
        <w:ind w:left="720" w:hanging="720"/>
        <w:jc w:val="left"/>
      </w:pPr>
      <w:r>
        <w:rPr>
          <w:rFonts w:ascii="Arial" w:cs="Arial" w:eastAsia="Arial" w:hAnsi="Arial"/>
          <w:sz w:val="24"/>
          <w:szCs w:val="24"/>
        </w:rPr>
        <w:t xml:space="preserve">Presidência da República. (15 de agosto de 2018). </w:t>
      </w:r>
      <w:r>
        <w:rPr>
          <w:rFonts w:ascii="Arial" w:cs="Arial" w:eastAsia="Arial" w:hAnsi="Arial"/>
          <w:i/>
          <w:iCs/>
          <w:sz w:val="24"/>
          <w:szCs w:val="24"/>
        </w:rPr>
        <w:t xml:space="preserve">Lei nº 13.709, Lei Geral de Proteção de Dados Pessoais (LGPD)</w:t>
      </w:r>
      <w:r>
        <w:rPr>
          <w:rFonts w:ascii="Arial" w:cs="Arial" w:eastAsia="Arial" w:hAnsi="Arial"/>
          <w:sz w:val="24"/>
          <w:szCs w:val="24"/>
        </w:rPr>
        <w:t xml:space="preserve">. Diário Oficial da União. </w:t>
      </w:r>
      <w:hyperlink w:history="1" r:id="rIdr_twvtamqfg4ob77dj9vs">
        <w:r>
          <w:rPr>
            <w:rStyle w:val="Hyperlink"/>
            <w:rFonts w:ascii="Arial" w:cs="Arial" w:eastAsia="Arial" w:hAnsi="Arial"/>
            <w:sz w:val="24"/>
            <w:szCs w:val="24"/>
          </w:rPr>
          <w:t xml:space="preserve">https://www.planalto.gov.br/ccivil_03/_ato2015-2018/2018/lei/l13709.htm</w:t>
        </w:r>
      </w:hyperlink>
    </w:p>
    <w:p>
      <w:pPr>
        <w:spacing w:after="0" w:before="0" w:line="360" w:lineRule="auto"/>
        <w:ind w:left="720" w:hanging="720"/>
        <w:jc w:val="left"/>
      </w:pPr>
      <w:r>
        <w:rPr>
          <w:rFonts w:ascii="Arial" w:cs="Arial" w:eastAsia="Arial" w:hAnsi="Arial"/>
          <w:sz w:val="24"/>
          <w:szCs w:val="24"/>
        </w:rPr>
        <w:t xml:space="preserve">Secretaría de Ciencia, Humanidades, Tecnología e Innovación [SECIHTI]. (2026). </w:t>
      </w:r>
      <w:r>
        <w:rPr>
          <w:rFonts w:ascii="Arial" w:cs="Arial" w:eastAsia="Arial" w:hAnsi="Arial"/>
          <w:i/>
          <w:iCs/>
          <w:sz w:val="24"/>
          <w:szCs w:val="24"/>
        </w:rPr>
        <w:t xml:space="preserve">Principios de Chapultepec: Declaración de ética y buenas prácticas para el uso y desarrollo de la inteligencia artificial</w:t>
      </w:r>
      <w:r>
        <w:rPr>
          <w:rFonts w:ascii="Arial" w:cs="Arial" w:eastAsia="Arial" w:hAnsi="Arial"/>
          <w:sz w:val="24"/>
          <w:szCs w:val="24"/>
        </w:rPr>
        <w:t xml:space="preserve">. </w:t>
      </w:r>
      <w:hyperlink w:history="1" r:id="rIdvjslf8gmpqpetmlhees-n">
        <w:r>
          <w:rPr>
            <w:rStyle w:val="Hyperlink"/>
            <w:rFonts w:ascii="Arial" w:cs="Arial" w:eastAsia="Arial" w:hAnsi="Arial"/>
            <w:sz w:val="24"/>
            <w:szCs w:val="24"/>
          </w:rPr>
          <w:t xml:space="preserve">https://secihti.mx/wp-content/uploads/2026/02/Principios_Chapultepec.pdf</w:t>
        </w:r>
      </w:hyperlink>
    </w:p>
    <w:p>
      <w:pPr>
        <w:spacing w:after="0" w:before="0" w:line="360" w:lineRule="auto"/>
        <w:ind w:left="720" w:hanging="720"/>
        <w:jc w:val="left"/>
      </w:pPr>
      <w:r>
        <w:rPr>
          <w:rFonts w:ascii="Arial" w:cs="Arial" w:eastAsia="Arial" w:hAnsi="Arial"/>
          <w:sz w:val="24"/>
          <w:szCs w:val="24"/>
        </w:rPr>
        <w:t xml:space="preserve">Suprema Corte de Justicia de la Nación [SCJN]. (2 de julio de 2025). </w:t>
      </w:r>
      <w:r>
        <w:rPr>
          <w:rFonts w:ascii="Arial" w:cs="Arial" w:eastAsia="Arial" w:hAnsi="Arial"/>
          <w:i/>
          <w:iCs/>
          <w:sz w:val="24"/>
          <w:szCs w:val="24"/>
        </w:rPr>
        <w:t xml:space="preserve">Amparo directo 6/2025</w:t>
      </w:r>
      <w:r>
        <w:rPr>
          <w:rFonts w:ascii="Arial" w:cs="Arial" w:eastAsia="Arial" w:hAnsi="Arial"/>
          <w:sz w:val="24"/>
          <w:szCs w:val="24"/>
        </w:rPr>
        <w:t xml:space="preserve"> [Sentencia]. Segunda Sala. </w:t>
      </w:r>
      <w:hyperlink w:history="1" r:id="rIdpxtj4a0jxfcm6ibdkux0o">
        <w:r>
          <w:rPr>
            <w:rStyle w:val="Hyperlink"/>
            <w:rFonts w:ascii="Arial" w:cs="Arial" w:eastAsia="Arial" w:hAnsi="Arial"/>
            <w:sz w:val="24"/>
            <w:szCs w:val="24"/>
          </w:rPr>
          <w:t xml:space="preserve">https://www.scjn.gob.mx/sites/default/files/listas/documento_dos/2025-06/AD%206-2025.pdf</w:t>
        </w:r>
      </w:hyperlink>
    </w:p>
    <w:p>
      <w:pPr>
        <w:spacing w:after="0" w:before="0" w:line="360" w:lineRule="auto"/>
        <w:ind w:left="720" w:hanging="720"/>
        <w:jc w:val="left"/>
      </w:pPr>
      <w:r>
        <w:rPr>
          <w:rFonts w:ascii="Arial" w:cs="Arial" w:eastAsia="Arial" w:hAnsi="Arial"/>
          <w:sz w:val="24"/>
          <w:szCs w:val="24"/>
        </w:rPr>
        <w:t xml:space="preserve">The White House. (30 de octubre de 2023). </w:t>
      </w:r>
      <w:r>
        <w:rPr>
          <w:rFonts w:ascii="Arial" w:cs="Arial" w:eastAsia="Arial" w:hAnsi="Arial"/>
          <w:i/>
          <w:iCs/>
          <w:sz w:val="24"/>
          <w:szCs w:val="24"/>
        </w:rPr>
        <w:t xml:space="preserve">Executive order on the safe, secure, and trustworthy development and use of artificial intelligence</w:t>
      </w:r>
      <w:r>
        <w:rPr>
          <w:rFonts w:ascii="Arial" w:cs="Arial" w:eastAsia="Arial" w:hAnsi="Arial"/>
          <w:sz w:val="24"/>
          <w:szCs w:val="24"/>
        </w:rPr>
        <w:t xml:space="preserve">. </w:t>
      </w:r>
      <w:hyperlink w:history="1" r:id="rIdgqkae1smpq9z-h-5fafkc">
        <w:r>
          <w:rPr>
            <w:rStyle w:val="Hyperlink"/>
            <w:rFonts w:ascii="Arial" w:cs="Arial" w:eastAsia="Arial" w:hAnsi="Arial"/>
            <w:sz w:val="24"/>
            <w:szCs w:val="24"/>
          </w:rPr>
          <w:t xml:space="preserve">https://bidenwhitehouse.archives.gov/briefing-room/presidential-actions/2023/10/30/executive-order-on-the-safe-secure-and-trustworthy-development-and-use-of-artificial-intelligence/</w:t>
        </w:r>
      </w:hyperlink>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spacing w:after="0" w:before="0" w:line="360" w:lineRule="auto"/>
      <w:outlineLvl w:val="2"/>
    </w:pPr>
    <w:rPr>
      <w:rFonts w:ascii="Arial" w:cs="Arial" w:eastAsia="Arial" w:hAnsi="Arial"/>
      <w:b/>
      <w:bCs/>
      <w:i/>
      <w:i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ejdibbevhts_5z-qjvq6t" Type="http://schemas.openxmlformats.org/officeDocument/2006/relationships/hyperlink" Target="https://basham.com.mx/nuevos-derechos-para-las-personas-trabajadoras-artistas-interpretes-o-ejecutantes/" TargetMode="External"/><Relationship Id="rIdgsh7dbvp4bcgcxyn_c4_r" Type="http://schemas.openxmlformats.org/officeDocument/2006/relationships/hyperlink" Target="https://www.diputados.gob.mx/LeyesBiblio/pdf/CPEUM.pdf" TargetMode="External"/><Relationship Id="rIdfv8bkzrfk9h24qzj8jgr_" Type="http://schemas.openxmlformats.org/officeDocument/2006/relationships/hyperlink" Target="https://www.diputados.gob.mx/LeyesBiblio/pdf/CPF.pdf" TargetMode="External"/><Relationship Id="rIdc3yj_jk4fpwgh1tyyig01" Type="http://schemas.openxmlformats.org/officeDocument/2006/relationships/hyperlink" Target="https://www.diputados.gob.mx/LeyesBiblio/pdf/LFDA.pdf" TargetMode="External"/><Relationship Id="rIdari83760qnc4baw18kcat" Type="http://schemas.openxmlformats.org/officeDocument/2006/relationships/hyperlink" Target="https://www.diputados.gob.mx/LeyesBiblio/pdf/LGAMVLV.pdf" TargetMode="External"/><Relationship Id="rIdrlvvxg5azxvkuziq_yx5z" Type="http://schemas.openxmlformats.org/officeDocument/2006/relationships/hyperlink" Target="https://www.diputados.gob.mx/LeyesBiblio/pdf/LFPDPPP.pdf" TargetMode="External"/><Relationship Id="rId1wbhncmak13jcacc58srn" Type="http://schemas.openxmlformats.org/officeDocument/2006/relationships/hyperlink" Target="https://www.diputados.gob.mx/LeyesBiblio/pdf/LGPDPPSO.pdf" TargetMode="External"/><Relationship Id="rIduujvhlgoi6j7xkoygmq4_" Type="http://schemas.openxmlformats.org/officeDocument/2006/relationships/hyperlink" Target="https://home.ciess.org/directorio/" TargetMode="External"/><Relationship Id="rIdmdu2btsmxn73uvuy3xzbb" Type="http://schemas.openxmlformats.org/officeDocument/2006/relationships/hyperlink" Target="https://home.ciess.org/inscripciones-y-admisiones/" TargetMode="External"/><Relationship Id="rIdpffkybcyns21eo4yjizgz" Type="http://schemas.openxmlformats.org/officeDocument/2006/relationships/hyperlink" Target="https://home.ciess.org/microaprendizaje-abc-de-la-inteligencia-artificial-2026/" TargetMode="External"/><Relationship Id="rIdj7c_qo8tkpnpzfmduv896" Type="http://schemas.openxmlformats.org/officeDocument/2006/relationships/hyperlink" Target="https://home.ciess.org/nosotros/" TargetMode="External"/><Relationship Id="rIdpuljflje3k-nhodrnrhmi" Type="http://schemas.openxmlformats.org/officeDocument/2006/relationships/hyperlink" Target="https://home.ciess.org/programa-academico-2026/" TargetMode="External"/><Relationship Id="rIdnrf1fszjkxsz94f1z8vd2" Type="http://schemas.openxmlformats.org/officeDocument/2006/relationships/hyperlink" Target="https://home.ciess.org/wp-content/uploads/2025/09/REGLAMENTO_ACADEMICO_VF_ESP-1.pdf" TargetMode="External"/><Relationship Id="rIdrsafetpu9tt2vtb3zxpkf" Type="http://schemas.openxmlformats.org/officeDocument/2006/relationships/hyperlink" Target="https://ia2030.mx/agenda-nacional-mexicana-de-inteligencia-artificial/" TargetMode="External"/><Relationship Id="rIddwcgwibrtp3ubox59jorm" Type="http://schemas.openxmlformats.org/officeDocument/2006/relationships/hyperlink" Target="https://ciss-bienestar.org/politica-y-aviso-de-privacidad/" TargetMode="External"/><Relationship Id="rIdcc0nfpa33bs8cmcwyk5at" Type="http://schemas.openxmlformats.org/officeDocument/2006/relationships/hyperlink" Target="https://www.funcionpublica.gov.co/eva/gestornormativo/norma.php?i=49981" TargetMode="External"/><Relationship Id="rIdht7u2at_j5zhzeujbkz0d" Type="http://schemas.openxmlformats.org/officeDocument/2006/relationships/hyperlink" Target="https://www.argentina.gob.ar/normativa/nacional/ley-25326-64790" TargetMode="External"/><Relationship Id="rIdadp-8m_yrjt8ld4zd7t1b" Type="http://schemas.openxmlformats.org/officeDocument/2006/relationships/hyperlink" Target="https://www.gov.uk/government/publications/ai-regulation-a-pro-innovation-approach/white-paper" TargetMode="External"/><Relationship Id="rIdvf-xtydhx9l6pl4_pzq5n" Type="http://schemas.openxmlformats.org/officeDocument/2006/relationships/hyperlink" Target="https://www.gob.mx/cms/uploads/attachment/file/271884/Estrategia_Nacional_Ciberseguridad.pdf" TargetMode="External"/><Relationship Id="rIdqgatw6ab-57cdk_peu4a_" Type="http://schemas.openxmlformats.org/officeDocument/2006/relationships/hyperlink" Target="https://www.hunton.com/privacy-and-cybersecurity-law-blog/the-impact-of-ai-executive-orders-revocation-remains-uncertain-but-new-trump-eo-points-to-path-forward" TargetMode="External"/><Relationship Id="rIdio-ja1uhzl2ccue7d7wag" Type="http://schemas.openxmlformats.org/officeDocument/2006/relationships/hyperlink" Target="https://www.itsitio.com/mx/?p=195729" TargetMode="External"/><Relationship Id="rIddjq92qohkfecgbxjpfhlu" Type="http://schemas.openxmlformats.org/officeDocument/2006/relationships/hyperlink" Target="https://sil.gobernacion.gob.mx/Archivos/Documentos/2025/04/asun_4896460_20250430_1747757009.pdf" TargetMode="External"/><Relationship Id="rIdxubkrlg8mdojywrjzffaq" Type="http://schemas.openxmlformats.org/officeDocument/2006/relationships/hyperlink" Target="https://www.derechosdigitales.org/23866/inteligencia-artificial-en-america-latina-regulacion-no-significa-proteccion/" TargetMode="External"/><Relationship Id="rIdsk_jytanazteiwz3eedbn" Type="http://schemas.openxmlformats.org/officeDocument/2006/relationships/hyperlink" Target="https://www.gov.il/BlobFolder/policy/ai_2023/en/Israels%20AI%20Policy%202023.pdf" TargetMode="External"/><Relationship Id="rIdfoaw0gli5y_ummxj5qjfs" Type="http://schemas.openxmlformats.org/officeDocument/2006/relationships/hyperlink" Target="https://www.cac.gov.cn/2023-07/13/c_1690898327029107.htm" TargetMode="External"/><Relationship Id="rIdkgwlfzk3gzpuntn6hg0om" Type="http://schemas.openxmlformats.org/officeDocument/2006/relationships/hyperlink" Target="https://legalinstruments.oecd.org/en/instruments/OECD-LEGAL-0449" TargetMode="External"/><Relationship Id="rIdi96qwoetsqnzks6cannyc" Type="http://schemas.openxmlformats.org/officeDocument/2006/relationships/hyperlink" Target="https://unesdoc.unesco.org/ark:/48223/pf0000381137_spa" TargetMode="External"/><Relationship Id="rIdrft7ntr6b-27qn-mqs9j6" Type="http://schemas.openxmlformats.org/officeDocument/2006/relationships/hyperlink" Target="https://www.iso.org/standard/27001" TargetMode="External"/><Relationship Id="rIdk_p0ukit1y0mfin6pxj-c" Type="http://schemas.openxmlformats.org/officeDocument/2006/relationships/hyperlink" Target="https://www.iso.org/standard/81230.html" TargetMode="External"/><Relationship Id="rIdxqyz-bsxxmjzp3et_9c43" Type="http://schemas.openxmlformats.org/officeDocument/2006/relationships/hyperlink" Target="https://www.congressonacional.leg.br/web/atividade/materias/-/materia/157233" TargetMode="External"/><Relationship Id="rIdm3s_3qzte2d5nhy8c5b0r" Type="http://schemas.openxmlformats.org/officeDocument/2006/relationships/hyperlink" Target="https://www.parl.ca/legisinfo/en/bill/44-1/c-27" TargetMode="External"/><Relationship Id="rIdygrbgnwni-vyi2f9aw-ns" Type="http://schemas.openxmlformats.org/officeDocument/2006/relationships/hyperlink" Target="https://eur-lex.europa.eu/legal-content/ES/TXT/?uri=CELEX:32016R0679" TargetMode="External"/><Relationship Id="rIdcvks04gkrkom6wzjnbwai" Type="http://schemas.openxmlformats.org/officeDocument/2006/relationships/hyperlink" Target="https://eur-lex.europa.eu/legal-content/ES/TXT/PDF/?uri=OJ:L_202401689" TargetMode="External"/><Relationship Id="rIdzjojqwn7u2lvrkvrzzstn" Type="http://schemas.openxmlformats.org/officeDocument/2006/relationships/hyperlink" Target="https://www.boe.es/doue/2026/1744/L00001-00041.pdf" TargetMode="External"/><Relationship Id="rIdr_twvtamqfg4ob77dj9vs" Type="http://schemas.openxmlformats.org/officeDocument/2006/relationships/hyperlink" Target="https://www.planalto.gov.br/ccivil_03/_ato2015-2018/2018/lei/l13709.htm" TargetMode="External"/><Relationship Id="rIdvjslf8gmpqpetmlhees-n" Type="http://schemas.openxmlformats.org/officeDocument/2006/relationships/hyperlink" Target="https://secihti.mx/wp-content/uploads/2026/02/Principios_Chapultepec.pdf" TargetMode="External"/><Relationship Id="rIdpxtj4a0jxfcm6ibdkux0o" Type="http://schemas.openxmlformats.org/officeDocument/2006/relationships/hyperlink" Target="https://www.scjn.gob.mx/sites/default/files/listas/documento_dos/2025-06/AD%206-2025.pdf" TargetMode="External"/><Relationship Id="rIdgqkae1smpq9z-h-5fafkc" Type="http://schemas.openxmlformats.org/officeDocument/2006/relationships/hyperlink" Target="https://bidenwhitehouse.archives.gov/briefing-room/presidential-actions/2023/10/30/executive-order-on-the-safe-secure-and-trustworthy-development-and-use-of-artificial-intelligence/" TargetMode="External"/><Relationship Id="rId9" Type="http://schemas.openxmlformats.org/officeDocument/2006/relationships/image" Target="media/5951818202f0ae4061aa00d74cf0fca5c1ca172b.png"/><Relationship Id="rId10" Type="http://schemas.openxmlformats.org/officeDocument/2006/relationships/image" Target="media/759452d37c7609302b9d34d617285dd8479bc98c.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aplicable al uso de la ciencia de datos y la inteligencia artificial en el CIESS: evaluación y recomendaciones</dc:title>
  <dc:creator>Arturo David Navarrete Flores</dc:creator>
  <cp:lastModifiedBy>Un-named</cp:lastModifiedBy>
  <cp:revision>1</cp:revision>
  <dcterms:created xsi:type="dcterms:W3CDTF">2026-10-11T01:28:00.734Z</dcterms:created>
  <dcterms:modified xsi:type="dcterms:W3CDTF">2026-10-11T01:28:00.734Z</dcterms:modified>
</cp:coreProperties>
</file>

<file path=docProps/custom.xml><?xml version="1.0" encoding="utf-8"?>
<Properties xmlns="http://schemas.openxmlformats.org/officeDocument/2006/custom-properties" xmlns:vt="http://schemas.openxmlformats.org/officeDocument/2006/docPropsVTypes"/>
</file>