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41e06673d3b9360471ad802096e210cf8a53ce"/>
    <w:p>
      <w:pPr>
        <w:pStyle w:val="Heading1"/>
      </w:pPr>
      <w:r>
        <w:t xml:space="preserve">Fuentes de la clase «Derecho Informático» y estado de verificación</w:t>
      </w:r>
    </w:p>
    <w:p>
      <w:pPr>
        <w:pStyle w:val="FirstParagraph"/>
      </w:pPr>
      <w:r>
        <w:rPr>
          <w:b/>
          <w:bCs/>
        </w:rPr>
        <w:t xml:space="preserve">Fecha de corte:</w:t>
      </w:r>
      <w:r>
        <w:t xml:space="preserve"> </w:t>
      </w:r>
      <w:r>
        <w:t xml:space="preserve">5 de octubre de 2026.</w:t>
      </w:r>
      <w:r>
        <w:t xml:space="preserve"> </w:t>
      </w:r>
      <w:r>
        <w:rPr>
          <w:b/>
          <w:bCs/>
        </w:rPr>
        <w:t xml:space="preserve">Cómo leer la columna Estado:</w:t>
      </w:r>
      <w:r>
        <w:t xml:space="preserve"> </w:t>
      </w:r>
      <w:r>
        <w:t xml:space="preserve">«Abierta» = el archivo o la página se abrió y leyó desde el entorno de preparación; «Confirmada por búsqueda» = la URL, el título y los datos esenciales coinciden en dos o más resultados independientes de buscadores, pero la página no pudo abrirse (la política de red del entorno bloqueó el acceso directo a los sitios jurídicos y académicos); «No verificada» = dato tomado de una sola fuente secundaria o sin confirmación.</w:t>
      </w:r>
      <w:r>
        <w:t xml:space="preserve"> </w:t>
      </w:r>
      <w:r>
        <w:rPr>
          <w:b/>
          <w:bCs/>
        </w:rPr>
        <w:t xml:space="preserve">Todo enlace debe abrirse al preparar la sesión.</w:t>
      </w:r>
    </w:p>
    <w:bookmarkStart w:id="9" w:name="lectura-académica"/>
    <w:p>
      <w:pPr>
        <w:pStyle w:val="Heading2"/>
      </w:pPr>
      <w:r>
        <w:t xml:space="preserve">1. Lectura académica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Autor / entidad</w:t>
            </w:r>
          </w:p>
        </w:tc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Enlace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Derecho Informático</w:t>
            </w:r>
            <w:r>
              <w:t xml:space="preserve">, Serie Materiales Docentes n.º 31 (lección introductoria: de la informática jurídica a la IA aplicada al derecho; ¿derecho informático o derecho digital?; características; principios regulatorios)</w:t>
            </w:r>
          </w:p>
        </w:tc>
        <w:tc>
          <w:tcPr/>
          <w:p>
            <w:pPr>
              <w:pStyle w:val="Compact"/>
            </w:pPr>
            <w:r>
              <w:t xml:space="preserve">Lorena Donoso Abarca y Carlos Reusser Monsálvez (Universidad de Chile; doctores en Derecho, Universidad de Salamanca), Academia Judicial de Chile</w:t>
            </w:r>
          </w:p>
        </w:tc>
        <w:tc>
          <w:tcPr/>
          <w:p>
            <w:pPr>
              <w:pStyle w:val="Compact"/>
            </w:pPr>
            <w:r>
              <w:t xml:space="preserve">2021 (PDF en línea, marzo de 2022)</w:t>
            </w:r>
          </w:p>
        </w:tc>
        <w:tc>
          <w:tcPr/>
          <w:p>
            <w:pPr>
              <w:pStyle w:val="Compact"/>
            </w:pPr>
            <w:r>
              <w:t xml:space="preserve">Texto doctrinal especializado</w:t>
            </w:r>
          </w:p>
        </w:tc>
        <w:tc>
          <w:tcPr/>
          <w:p>
            <w:pPr>
              <w:pStyle w:val="Compact"/>
            </w:pPr>
            <w:r>
              <w:t xml:space="preserve">Confirmada por búsqueda (título, autores, entidad e índice parcial); PDF no abierto; extensión de la lección no verificada</w:t>
            </w:r>
          </w:p>
        </w:tc>
        <w:tc>
          <w:tcPr/>
          <w:p>
            <w:pPr>
              <w:pStyle w:val="Compact"/>
            </w:pPr>
            <w:r>
              <w:t xml:space="preserve">https://academiajudicial.cl/wp-content/uploads/2022/03/Derecho-informatico.pdf · https://academiajudicial.cl/recursos/materiales-docentes/derecho-informatico/</w:t>
            </w:r>
          </w:p>
        </w:tc>
        <w:tc>
          <w:tcPr/>
          <w:p>
            <w:pPr>
              <w:pStyle w:val="Compact"/>
            </w:pPr>
            <w:r>
              <w:t xml:space="preserve">Lectura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Derecho de las tecnologías y las tecnologías para el derecho</w:t>
            </w:r>
            <w:r>
              <w:t xml:space="preserve"> </w:t>
            </w:r>
            <w:r>
              <w:t xml:space="preserve">(Presentación, pp. xi-xiv; «El papel de la academia», pp. 44-53)</w:t>
            </w:r>
          </w:p>
        </w:tc>
        <w:tc>
          <w:tcPr/>
          <w:p>
            <w:pPr>
              <w:pStyle w:val="Compact"/>
            </w:pPr>
            <w:r>
              <w:t xml:space="preserve">María Lorena Flórez Rojas (coord.), GECTI, Ediciones Uniandes; ISBN 978-958-798-296-1; DOI 10.15425/2017.571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Libro académico</w:t>
            </w:r>
          </w:p>
        </w:tc>
        <w:tc>
          <w:tcPr/>
          <w:p>
            <w:pPr>
              <w:pStyle w:val="Compact"/>
            </w:pPr>
            <w:r>
              <w:t xml:space="preserve">Confirmada por búsqueda (verificado en una preparación anterior: 226 páginas, paginación citada). Entregar a los estudiantes el enlace editorial, no el archivo</w:t>
            </w:r>
          </w:p>
        </w:tc>
        <w:tc>
          <w:tcPr/>
          <w:p>
            <w:pPr>
              <w:pStyle w:val="Compact"/>
            </w:pPr>
            <w:r>
              <w:t xml:space="preserve">https://ediciones.uniandes.edu.co/library/publication/derecho-de-las-tecnologias-y-las-tecnologias-para-el-derecho</w:t>
            </w:r>
          </w:p>
        </w:tc>
        <w:tc>
          <w:tcPr/>
          <w:p>
            <w:pPr>
              <w:pStyle w:val="Compact"/>
            </w:pPr>
            <w:r>
              <w:t xml:space="preserve">Complemento colombiano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«La formación en Derecho Informático: necesidad en la carrera de Derecho»,</w:t>
            </w:r>
            <w:r>
              <w:t xml:space="preserve"> </w:t>
            </w:r>
            <w:r>
              <w:rPr>
                <w:i/>
                <w:iCs/>
              </w:rPr>
              <w:t xml:space="preserve">Mendive. Revista de Educación</w:t>
            </w:r>
            <w:r>
              <w:t xml:space="preserve">, 23(4), e4260</w:t>
            </w:r>
          </w:p>
        </w:tc>
        <w:tc>
          <w:tcPr/>
          <w:p>
            <w:pPr>
              <w:pStyle w:val="Compact"/>
            </w:pPr>
            <w:r>
              <w:t xml:space="preserve">Julio Llanes Robaina, Liyanis Santana Santana, Meivys Páez Paredes y Frank Daniel Perera Cala (Universidad de Pinar del Río, Cuba)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Artículo científico (acceso abierto, OJS)</w:t>
            </w:r>
          </w:p>
        </w:tc>
        <w:tc>
          <w:tcPr/>
          <w:p>
            <w:pPr>
              <w:pStyle w:val="Compact"/>
            </w:pPr>
            <w:r>
              <w:t xml:space="preserve">Confirmada por búsqueda (título, autores, revista, volumen y número coinciden en tres búsquedas); PDF no abierto; indexación no verificada</w:t>
            </w:r>
          </w:p>
        </w:tc>
        <w:tc>
          <w:tcPr/>
          <w:p>
            <w:pPr>
              <w:pStyle w:val="Compact"/>
            </w:pPr>
            <w:r>
              <w:t xml:space="preserve">https://mendive.upr.edu.cu/index.php/MendiveUPR/article/view/4260</w:t>
            </w:r>
          </w:p>
        </w:tc>
        <w:tc>
          <w:tcPr/>
          <w:p>
            <w:pPr>
              <w:pStyle w:val="Compact"/>
            </w:pPr>
            <w:r>
              <w:t xml:space="preserve">Alternativa arbitrada reciente (concepto, evolución, autonomía)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«Derecho e Internet: introducción a un campo emergente para la investigación y práctica jurídicas»,</w:t>
            </w:r>
            <w:r>
              <w:t xml:space="preserve"> </w:t>
            </w:r>
            <w:r>
              <w:rPr>
                <w:i/>
                <w:iCs/>
              </w:rPr>
              <w:t xml:space="preserve">Prolegómenos</w:t>
            </w:r>
            <w:r>
              <w:t xml:space="preserve">, XX(40), pp. 43-61</w:t>
            </w:r>
          </w:p>
        </w:tc>
        <w:tc>
          <w:tcPr/>
          <w:p>
            <w:pPr>
              <w:pStyle w:val="Compact"/>
            </w:pPr>
            <w:r>
              <w:t xml:space="preserve">William Guillermo Jiménez y Orlando Meneses Quintana (Universidad Militar Nueva Granada); DOI 10.18359/prole.3040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Artículo científico (SciELO)</w:t>
            </w:r>
          </w:p>
        </w:tc>
        <w:tc>
          <w:tcPr/>
          <w:p>
            <w:pPr>
              <w:pStyle w:val="Compact"/>
            </w:pPr>
            <w:r>
              <w:t xml:space="preserve">Confirmada por búsqueda</w:t>
            </w:r>
          </w:p>
        </w:tc>
        <w:tc>
          <w:tcPr/>
          <w:p>
            <w:pPr>
              <w:pStyle w:val="Compact"/>
            </w:pPr>
            <w:r>
              <w:t xml:space="preserve">https://doi.org/10.18359/prole.3040</w:t>
            </w:r>
          </w:p>
        </w:tc>
        <w:tc>
          <w:tcPr/>
          <w:p>
            <w:pPr>
              <w:pStyle w:val="Compact"/>
            </w:pPr>
            <w:r>
              <w:t xml:space="preserve">Alternativa arbitrada colombiana (anterior a 2020)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Derecho informático</w:t>
            </w:r>
          </w:p>
        </w:tc>
        <w:tc>
          <w:tcPr/>
          <w:p>
            <w:pPr>
              <w:pStyle w:val="Compact"/>
            </w:pPr>
            <w:r>
              <w:t xml:space="preserve">Julio Téllez Valdés, IIJ-UNAM (1.ª ed.); ediciones posteriores McGraw-Hill</w:t>
            </w:r>
          </w:p>
        </w:tc>
        <w:tc>
          <w:tcPr/>
          <w:p>
            <w:pPr>
              <w:pStyle w:val="Compact"/>
            </w:pPr>
            <w:r>
              <w:t xml:space="preserve">1991 y ss.</w:t>
            </w:r>
          </w:p>
        </w:tc>
        <w:tc>
          <w:tcPr/>
          <w:p>
            <w:pPr>
              <w:pStyle w:val="Compact"/>
            </w:pPr>
            <w:r>
              <w:t xml:space="preserve">Manual clásico</w:t>
            </w:r>
          </w:p>
        </w:tc>
        <w:tc>
          <w:tcPr/>
          <w:p>
            <w:pPr>
              <w:pStyle w:val="Compact"/>
            </w:pPr>
            <w:r>
              <w:t xml:space="preserve">Obra conocida</w:t>
            </w:r>
          </w:p>
        </w:tc>
        <w:tc>
          <w:tcPr/>
          <w:p>
            <w:pPr>
              <w:pStyle w:val="Compact"/>
            </w:pPr>
            <w:r>
              <w:t xml:space="preserve">http://ru.juridicas.unam.mx/xmlui/handle/123456789/9287 (acceso no verificado)</w:t>
            </w:r>
          </w:p>
        </w:tc>
        <w:tc>
          <w:tcPr/>
          <w:p>
            <w:pPr>
              <w:pStyle w:val="Compact"/>
            </w:pPr>
            <w:r>
              <w:t xml:space="preserve">Definición clásica</w:t>
            </w:r>
          </w:p>
        </w:tc>
      </w:tr>
    </w:tbl>
    <w:bookmarkEnd w:id="9"/>
    <w:bookmarkStart w:id="10" w:name="jurisprudencia"/>
    <w:p>
      <w:pPr>
        <w:pStyle w:val="Heading2"/>
      </w:pPr>
      <w:r>
        <w:t xml:space="preserve">2. Jurisprudencia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Providencia</w:t>
            </w:r>
          </w:p>
        </w:tc>
        <w:tc>
          <w:tcPr/>
          <w:p>
            <w:pPr>
              <w:pStyle w:val="Compact"/>
            </w:pPr>
            <w:r>
              <w:t xml:space="preserve">Corporación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Enlace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Sentencia T-323 de 2024</w:t>
            </w:r>
            <w:r>
              <w:t xml:space="preserve"> </w:t>
            </w:r>
            <w:r>
              <w:t xml:space="preserve">(expediente T-9.301.656; M.P. Juan Carlos Cortés González; Sala Segunda de Revisión)</w:t>
            </w:r>
          </w:p>
        </w:tc>
        <w:tc>
          <w:tcPr/>
          <w:p>
            <w:pPr>
              <w:pStyle w:val="Compact"/>
            </w:pPr>
            <w:r>
              <w:t xml:space="preserve">Corte Constitucional</w:t>
            </w:r>
          </w:p>
        </w:tc>
        <w:tc>
          <w:tcPr/>
          <w:p>
            <w:pPr>
              <w:pStyle w:val="Compact"/>
            </w:pPr>
            <w:r>
              <w:t xml:space="preserve">2 de agosto de 2024</w:t>
            </w:r>
          </w:p>
        </w:tc>
        <w:tc>
          <w:tcPr/>
          <w:p>
            <w:pPr>
              <w:pStyle w:val="Compact"/>
            </w:pPr>
            <w:r>
              <w:t xml:space="preserve">Confirmada por búsqueda sobre la relatoría, el boletín de la Corte y el ABC del Consejo Superior de la Judicatura; texto íntegro no abierto. Las tres citas textuales usadas proceden de fragmentos indexados del texto oficial y están marcadas «cotejar»; numeración del resuelve y de los fundamentos jurídicos no verificada</w:t>
            </w:r>
          </w:p>
        </w:tc>
        <w:tc>
          <w:tcPr/>
          <w:p>
            <w:pPr>
              <w:pStyle w:val="Compact"/>
            </w:pPr>
            <w:r>
              <w:t xml:space="preserve">https://www.corteconstitucional.gov.co/relatoria/2024/T-323-24.htm</w:t>
            </w:r>
          </w:p>
        </w:tc>
        <w:tc>
          <w:tcPr/>
          <w:p>
            <w:pPr>
              <w:pStyle w:val="Compact"/>
            </w:pPr>
            <w:r>
              <w:t xml:space="preserve">Sentencia hito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de la Sentencia T-323 de 2024 (Circular PCSJC24-37 del 23 de septiembre de 2024)</w:t>
            </w:r>
          </w:p>
        </w:tc>
        <w:tc>
          <w:tcPr/>
          <w:p>
            <w:pPr>
              <w:pStyle w:val="Compact"/>
            </w:pPr>
            <w:r>
              <w:t xml:space="preserve">Consejo Superior de la Judicatura, Escuela Judicial Rodrigo Lara Bonilla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Confirmada por búsqueda</w:t>
            </w:r>
          </w:p>
        </w:tc>
        <w:tc>
          <w:tcPr/>
          <w:p>
            <w:pPr>
              <w:pStyle w:val="Compact"/>
            </w:pPr>
            <w:r>
              <w:t xml:space="preserve">https://escuelajudicial.ramajudicial.gov.co/sites/default/files/ABC_SentenciaIA_T323De2024.pdf</w:t>
            </w:r>
          </w:p>
        </w:tc>
        <w:tc>
          <w:tcPr/>
          <w:p>
            <w:pPr>
              <w:pStyle w:val="Compact"/>
            </w:pPr>
            <w:r>
              <w:t xml:space="preserve">Apoyo al taller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técnico de lineamientos de uso de IA en la Rama Judicial</w:t>
            </w:r>
          </w:p>
        </w:tc>
        <w:tc>
          <w:tcPr/>
          <w:p>
            <w:pPr>
              <w:pStyle w:val="Compact"/>
            </w:pPr>
            <w:r>
              <w:t xml:space="preserve">Consejo Superior de la Judicatura</w:t>
            </w:r>
          </w:p>
        </w:tc>
        <w:tc>
          <w:tcPr/>
          <w:p>
            <w:pPr>
              <w:pStyle w:val="Compact"/>
            </w:pPr>
            <w:r>
              <w:t xml:space="preserve">13 de diciembre de 2024</w:t>
            </w:r>
          </w:p>
        </w:tc>
        <w:tc>
          <w:tcPr/>
          <w:p>
            <w:pPr>
              <w:pStyle w:val="Compact"/>
            </w:pPr>
            <w:r>
              <w:t xml:space="preserve">Confirmada por búsqueda</w:t>
            </w:r>
          </w:p>
        </w:tc>
        <w:tc>
          <w:tcPr/>
          <w:p>
            <w:pPr>
              <w:pStyle w:val="Compact"/>
            </w:pPr>
            <w:r>
              <w:t xml:space="preserve">https://www.ramajudicial.gov.co/documents/164295699/174277484/DocumentoTecnico_LineamientosUsoIARamaJudicial_13122024_Vrev.pdf</w:t>
            </w:r>
          </w:p>
        </w:tc>
        <w:tc>
          <w:tcPr/>
          <w:p>
            <w:pPr>
              <w:pStyle w:val="Compact"/>
            </w:pPr>
            <w:r>
              <w:t xml:space="preserve">Cumplimiento de la orden de la T-323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STC17832-2025 (tutela contra decisión del Tribunal Superior de Sincelejo fundada en citas inexistentes)</w:t>
            </w:r>
          </w:p>
        </w:tc>
        <w:tc>
          <w:tcPr/>
          <w:p>
            <w:pPr>
              <w:pStyle w:val="Compact"/>
            </w:pPr>
            <w:r>
              <w:t xml:space="preserve">Corte Suprema de Justicia, Sala de Casación Civil</w:t>
            </w:r>
          </w:p>
        </w:tc>
        <w:tc>
          <w:tcPr/>
          <w:p>
            <w:pPr>
              <w:pStyle w:val="Compact"/>
            </w:pPr>
            <w:r>
              <w:t xml:space="preserve">Noviembre de 2025</w:t>
            </w:r>
          </w:p>
        </w:tc>
        <w:tc>
          <w:tcPr/>
          <w:p>
            <w:pPr>
              <w:pStyle w:val="Compact"/>
            </w:pPr>
            <w:r>
              <w:t xml:space="preserve">Confirmada por búsqueda (prensa jurídica y nota de la Corte); texto no abierto</w:t>
            </w:r>
          </w:p>
        </w:tc>
        <w:tc>
          <w:tcPr/>
          <w:p>
            <w:pPr>
              <w:pStyle w:val="Compact"/>
            </w:pPr>
            <w:r>
              <w:t xml:space="preserve">https://cortesuprema.gov.co</w:t>
            </w:r>
          </w:p>
        </w:tc>
        <w:tc>
          <w:tcPr/>
          <w:p>
            <w:pPr>
              <w:pStyle w:val="Compact"/>
            </w:pPr>
            <w:r>
              <w:t xml:space="preserve">Contraste en el taller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Sentencia T-414 de 1992 (M.P. Ciro Angarita Barón; Sala Primera de Revisión)</w:t>
            </w:r>
          </w:p>
        </w:tc>
        <w:tc>
          <w:tcPr/>
          <w:p>
            <w:pPr>
              <w:pStyle w:val="Compact"/>
            </w:pPr>
            <w:r>
              <w:t xml:space="preserve">Corte Constitucional</w:t>
            </w:r>
          </w:p>
        </w:tc>
        <w:tc>
          <w:tcPr/>
          <w:p>
            <w:pPr>
              <w:pStyle w:val="Compact"/>
            </w:pPr>
            <w:r>
              <w:t xml:space="preserve">16 de junio de 1992</w:t>
            </w:r>
          </w:p>
        </w:tc>
        <w:tc>
          <w:tcPr/>
          <w:p>
            <w:pPr>
              <w:pStyle w:val="Compact"/>
            </w:pPr>
            <w:r>
              <w:t xml:space="preserve">Confirmada por búsqueda (relatoría indexada; M.P., peticionario y tema coinciden); texto no abierto</w:t>
            </w:r>
          </w:p>
        </w:tc>
        <w:tc>
          <w:tcPr/>
          <w:p>
            <w:pPr>
              <w:pStyle w:val="Compact"/>
            </w:pPr>
            <w:r>
              <w:t xml:space="preserve">https://www.corteconstitucional.gov.co/relatoria/1992/T-414-92.htm</w:t>
            </w:r>
          </w:p>
        </w:tc>
        <w:tc>
          <w:tcPr/>
          <w:p>
            <w:pPr>
              <w:pStyle w:val="Compact"/>
            </w:pPr>
            <w:r>
              <w:t xml:space="preserve">Antecedente fundacional del habeas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SU-082 de 1995; C-748 de 2011; T-277 de 2015</w:t>
            </w:r>
          </w:p>
        </w:tc>
        <w:tc>
          <w:tcPr/>
          <w:p>
            <w:pPr>
              <w:pStyle w:val="Compact"/>
            </w:pPr>
            <w:r>
              <w:t xml:space="preserve">Corte Constitucional</w:t>
            </w:r>
          </w:p>
        </w:tc>
        <w:tc>
          <w:tcPr/>
          <w:p>
            <w:pPr>
              <w:pStyle w:val="Compact"/>
            </w:pPr>
            <w:r>
              <w:t xml:space="preserve">1995, 2011, 2015</w:t>
            </w:r>
          </w:p>
        </w:tc>
        <w:tc>
          <w:tcPr/>
          <w:p>
            <w:pPr>
              <w:pStyle w:val="Compact"/>
            </w:pPr>
            <w:r>
              <w:t xml:space="preserve">Citadas por su contenido conocido (habeas data y caducidad del dato; control previo de la Ley 1581; derecho al olvido); no abiertas</w:t>
            </w:r>
          </w:p>
        </w:tc>
        <w:tc>
          <w:tcPr/>
          <w:p>
            <w:pPr>
              <w:pStyle w:val="Compact"/>
            </w:pPr>
            <w:r>
              <w:t xml:space="preserve">Relatoría de la Corte Constitucional</w:t>
            </w:r>
          </w:p>
        </w:tc>
        <w:tc>
          <w:tcPr/>
          <w:p>
            <w:pPr>
              <w:pStyle w:val="Compact"/>
            </w:pPr>
            <w:r>
              <w:t xml:space="preserve">Línea jurisprudencial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C-224 de 2019 (control del Convenio de Budapest y de la Ley 1928 de 2018)</w:t>
            </w:r>
          </w:p>
        </w:tc>
        <w:tc>
          <w:tcPr/>
          <w:p>
            <w:pPr>
              <w:pStyle w:val="Compact"/>
            </w:pPr>
            <w:r>
              <w:t xml:space="preserve">Corte Constitucional</w:t>
            </w:r>
          </w:p>
        </w:tc>
        <w:tc>
          <w:tcPr/>
          <w:p>
            <w:pPr>
              <w:pStyle w:val="Compact"/>
            </w:pPr>
            <w:r>
              <w:t xml:space="preserve">22 de mayo de 2019</w:t>
            </w:r>
          </w:p>
        </w:tc>
        <w:tc>
          <w:tcPr/>
          <w:p>
            <w:pPr>
              <w:pStyle w:val="Compact"/>
            </w:pPr>
            <w:r>
              <w:t xml:space="preserve">Confirmada por búsqueda</w:t>
            </w:r>
          </w:p>
        </w:tc>
        <w:tc>
          <w:tcPr/>
          <w:p>
            <w:pPr>
              <w:pStyle w:val="Compact"/>
            </w:pPr>
            <w:r>
              <w:t xml:space="preserve">https://www.corteconstitucional.gov.co/relatoria/2019/C-224-19.htm</w:t>
            </w:r>
          </w:p>
        </w:tc>
        <w:tc>
          <w:tcPr/>
          <w:p>
            <w:pPr>
              <w:pStyle w:val="Compact"/>
            </w:pPr>
            <w:r>
              <w:t xml:space="preserve">Fuentes</w:t>
            </w:r>
          </w:p>
        </w:tc>
      </w:tr>
    </w:tbl>
    <w:bookmarkEnd w:id="10"/>
    <w:bookmarkStart w:id="11" w:name="normas"/>
    <w:p>
      <w:pPr>
        <w:pStyle w:val="Heading2"/>
      </w:pPr>
      <w:r>
        <w:t xml:space="preserve">3. Normas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Contenido citado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Enlace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Constitución Política, arts. 15, 20, 61, 74</w:t>
            </w:r>
          </w:p>
        </w:tc>
        <w:tc>
          <w:tcPr/>
          <w:p>
            <w:pPr>
              <w:pStyle w:val="Compact"/>
            </w:pPr>
            <w:r>
              <w:t xml:space="preserve">Habeas data; información; propiedad intelectual; documentos públicos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https://www.secretariasenado.gov.co/constitucion-politica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527 de 1999</w:t>
            </w:r>
          </w:p>
        </w:tc>
        <w:tc>
          <w:tcPr/>
          <w:p>
            <w:pPr>
              <w:pStyle w:val="Compact"/>
            </w:pPr>
            <w:r>
              <w:t xml:space="preserve">Mensajes de datos; equivalencia funcional (arts. 5 a 8); admisibilidad y fuerza probatoria (arts. 10 y 11); firmas digitales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https://www.secretariasenado.gov.co/senado/basedoc/ley_0527_1999.html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1266 de 2008</w:t>
            </w:r>
          </w:p>
        </w:tc>
        <w:tc>
          <w:tcPr/>
          <w:p>
            <w:pPr>
              <w:pStyle w:val="Compact"/>
            </w:pPr>
            <w:r>
              <w:t xml:space="preserve">Habeas data financiero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https://www.secretariasenado.gov.co/senado/basedoc/ley_1266_2008.html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1273 de 2009</w:t>
            </w:r>
          </w:p>
        </w:tc>
        <w:tc>
          <w:tcPr/>
          <w:p>
            <w:pPr>
              <w:pStyle w:val="Compact"/>
            </w:pPr>
            <w:r>
              <w:t xml:space="preserve">Delitos informáticos (arts. 269A a 269J del Código Penal)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https://www.secretariasenado.gov.co/senado/basedoc/ley_1273_2009.html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1341 de 2009</w:t>
            </w:r>
          </w:p>
        </w:tc>
        <w:tc>
          <w:tcPr/>
          <w:p>
            <w:pPr>
              <w:pStyle w:val="Compact"/>
            </w:pPr>
            <w:r>
              <w:t xml:space="preserve">Sector TIC; CRC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https://www.secretariasenado.gov.co/senado/basedoc/ley_1341_2009.html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1581 de 2012 y Decreto 1377 de 2013 (compilado en el Decreto 1074 de 2015)</w:t>
            </w:r>
          </w:p>
        </w:tc>
        <w:tc>
          <w:tcPr/>
          <w:p>
            <w:pPr>
              <w:pStyle w:val="Compact"/>
            </w:pPr>
            <w:r>
              <w:t xml:space="preserve">Régimen general de datos personales; principios (art. 4); responsabilidad demostrada (arts. 26 y 27 del decreto)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https://www.secretariasenado.gov.co/senado/basedoc/ley_1581_2012.html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1712 de 2014</w:t>
            </w:r>
          </w:p>
        </w:tc>
        <w:tc>
          <w:tcPr/>
          <w:p>
            <w:pPr>
              <w:pStyle w:val="Compact"/>
            </w:pPr>
            <w:r>
              <w:t xml:space="preserve">Transparencia y acceso a la información pública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https://www.secretariasenado.gov.co/senado/basedoc/ley_1712_2014.html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1928 de 2018</w:t>
            </w:r>
          </w:p>
        </w:tc>
        <w:tc>
          <w:tcPr/>
          <w:p>
            <w:pPr>
              <w:pStyle w:val="Compact"/>
            </w:pPr>
            <w:r>
              <w:t xml:space="preserve">Aprueba el Convenio de Budapest sobre Ciberdelincuencia</w:t>
            </w:r>
          </w:p>
        </w:tc>
        <w:tc>
          <w:tcPr/>
          <w:p>
            <w:pPr>
              <w:pStyle w:val="Compact"/>
            </w:pPr>
            <w:r>
              <w:t xml:space="preserve">Confirmada por búsqueda</w:t>
            </w:r>
          </w:p>
        </w:tc>
        <w:tc>
          <w:tcPr/>
          <w:p>
            <w:pPr>
              <w:pStyle w:val="Compact"/>
            </w:pPr>
            <w:r>
              <w:t xml:space="preserve">https://normograma.icfes.gov.co/docs/pdf/ley_1928_2018.pdf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2213 de 2022</w:t>
            </w:r>
          </w:p>
        </w:tc>
        <w:tc>
          <w:tcPr/>
          <w:p>
            <w:pPr>
              <w:pStyle w:val="Compact"/>
            </w:pPr>
            <w:r>
              <w:t xml:space="preserve">Justicia digital permanente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https://www.secretariasenado.gov.co/senado/basedoc/ley_2213_2022.html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General del Proceso, art. 247</w:t>
            </w:r>
          </w:p>
        </w:tc>
        <w:tc>
          <w:tcPr/>
          <w:p>
            <w:pPr>
              <w:pStyle w:val="Compact"/>
            </w:pPr>
            <w:r>
              <w:t xml:space="preserve">Valoración de mensajes de datos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https://www.secretariasenado.gov.co/senado/basedoc/ley_1564_2012.html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Externa 002 de 2024 de la SIC</w:t>
            </w:r>
          </w:p>
        </w:tc>
        <w:tc>
          <w:tcPr/>
          <w:p>
            <w:pPr>
              <w:pStyle w:val="Compact"/>
            </w:pPr>
            <w:r>
              <w:t xml:space="preserve">Tratamiento de datos personales en sistemas de IA</w:t>
            </w:r>
          </w:p>
        </w:tc>
        <w:tc>
          <w:tcPr/>
          <w:p>
            <w:pPr>
              <w:pStyle w:val="Compact"/>
            </w:pPr>
            <w:r>
              <w:t xml:space="preserve">Confirmada por búsqueda; texto no abierto</w:t>
            </w:r>
          </w:p>
        </w:tc>
        <w:tc>
          <w:tcPr/>
          <w:p>
            <w:pPr>
              <w:pStyle w:val="Compact"/>
            </w:pPr>
            <w:r>
              <w:t xml:space="preserve">https://www.sic.gov.co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CONPES 3975 de 2019 y CONPES 4144 de 2025</w:t>
            </w:r>
          </w:p>
        </w:tc>
        <w:tc>
          <w:tcPr/>
          <w:p>
            <w:pPr>
              <w:pStyle w:val="Compact"/>
            </w:pPr>
            <w:r>
              <w:t xml:space="preserve">Transformación digital e IA; Política nacional de IA</w:t>
            </w:r>
          </w:p>
        </w:tc>
        <w:tc>
          <w:tcPr/>
          <w:p>
            <w:pPr>
              <w:pStyle w:val="Compact"/>
            </w:pPr>
            <w:r>
              <w:t xml:space="preserve">Confirmados por búsqueda</w:t>
            </w:r>
          </w:p>
        </w:tc>
        <w:tc>
          <w:tcPr/>
          <w:p>
            <w:pPr>
              <w:pStyle w:val="Compact"/>
            </w:pPr>
            <w:r>
              <w:t xml:space="preserve">https://www.dnp.gov.co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 1123 de 2007</w:t>
            </w:r>
          </w:p>
        </w:tc>
        <w:tc>
          <w:tcPr/>
          <w:p>
            <w:pPr>
              <w:pStyle w:val="Compact"/>
            </w:pPr>
            <w:r>
              <w:t xml:space="preserve">Código Disciplinario del Abogado (caso 2)</w:t>
            </w:r>
          </w:p>
        </w:tc>
        <w:tc>
          <w:tcPr/>
          <w:p>
            <w:pPr>
              <w:pStyle w:val="Compact"/>
            </w:pPr>
            <w:r>
              <w:t xml:space="preserve">Contenido conocido</w:t>
            </w:r>
          </w:p>
        </w:tc>
        <w:tc>
          <w:tcPr/>
          <w:p>
            <w:pPr>
              <w:pStyle w:val="Compact"/>
            </w:pPr>
            <w:r>
              <w:t xml:space="preserve">https://www.secretariasenado.gov.co/senado/basedoc/ley_1123_2007.html</w:t>
            </w:r>
          </w:p>
        </w:tc>
      </w:tr>
    </w:tbl>
    <w:bookmarkEnd w:id="11"/>
    <w:bookmarkStart w:id="12" w:name="video"/>
    <w:p>
      <w:pPr>
        <w:pStyle w:val="Heading2"/>
      </w:pPr>
      <w:r>
        <w:t xml:space="preserve">4. 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Experto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privacy can save your life</w:t>
            </w:r>
            <w:r>
              <w:t xml:space="preserve">, TEDxPorto</w:t>
            </w:r>
          </w:p>
        </w:tc>
        <w:tc>
          <w:tcPr/>
          <w:p>
            <w:pPr>
              <w:pStyle w:val="Compact"/>
            </w:pPr>
            <w:r>
              <w:t xml:space="preserve">Carissa Véliz (Institute for Ethics in AI y Facultad de Filosofía, Universidad de Oxford; autora de</w:t>
            </w:r>
            <w:r>
              <w:t xml:space="preserve"> </w:t>
            </w:r>
            <w:r>
              <w:rPr>
                <w:i/>
                <w:iCs/>
              </w:rPr>
              <w:t xml:space="preserve">Privacy Is Power</w:t>
            </w:r>
            <w:r>
              <w:t xml:space="preserve">). Perfil: https://www.ox.ac.uk/news/find-an-expert/professor-carissa-veliz</w:t>
            </w:r>
          </w:p>
        </w:tc>
        <w:tc>
          <w:tcPr/>
          <w:p>
            <w:pPr>
              <w:pStyle w:val="Compact"/>
            </w:pPr>
            <w:r>
              <w:t xml:space="preserve">TEDx Talks (YouTube)</w:t>
            </w:r>
          </w:p>
        </w:tc>
        <w:tc>
          <w:tcPr/>
          <w:p>
            <w:pPr>
              <w:pStyle w:val="Compact"/>
            </w:pPr>
            <w:r>
              <w:t xml:space="preserve">Charla de marzo de 2025; publicada en octubre de 2025</w:t>
            </w:r>
          </w:p>
        </w:tc>
        <w:tc>
          <w:tcPr/>
          <w:p>
            <w:pPr>
              <w:pStyle w:val="Compact"/>
            </w:pPr>
            <w:r>
              <w:t xml:space="preserve">13:50</w:t>
            </w:r>
          </w:p>
        </w:tc>
        <w:tc>
          <w:tcPr/>
          <w:p>
            <w:pPr>
              <w:pStyle w:val="Compact"/>
            </w:pPr>
            <w:r>
              <w:t xml:space="preserve">Confirmada por búsqueda (título, experta, evento y duración coinciden en fuentes indexadas); fecha exacta y duración no verificadas en YouTube (bloqueado)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https://www.youtube.com/watch?v=xSPRouBvgFE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Desafíos del derecho en la era de la Inteligencia Artificial</w:t>
            </w:r>
          </w:p>
        </w:tc>
        <w:tc>
          <w:tcPr/>
          <w:p>
            <w:pPr>
              <w:pStyle w:val="Compact"/>
            </w:pPr>
            <w:r>
              <w:t xml:space="preserve">Facultad de Derecho, Universidad de los Andes</w:t>
            </w:r>
          </w:p>
        </w:tc>
        <w:tc>
          <w:tcPr/>
          <w:p>
            <w:pPr>
              <w:pStyle w:val="Compact"/>
            </w:pPr>
            <w:r>
              <w:t xml:space="preserve">YouTube (canal de la Facultad)</w:t>
            </w:r>
          </w:p>
        </w:tc>
        <w:tc>
          <w:tcPr/>
          <w:p>
            <w:pPr>
              <w:pStyle w:val="Compact"/>
            </w:pPr>
            <w:r>
              <w:t xml:space="preserve">6 de febrero de 2026</w:t>
            </w:r>
          </w:p>
        </w:tc>
        <w:tc>
          <w:tcPr/>
          <w:p>
            <w:pPr>
              <w:pStyle w:val="Compact"/>
            </w:pPr>
            <w:r>
              <w:t xml:space="preserve">Sesión larga (fragmento)</w:t>
            </w:r>
          </w:p>
        </w:tc>
        <w:tc>
          <w:tcPr/>
          <w:p>
            <w:pPr>
              <w:pStyle w:val="Compact"/>
            </w:pPr>
            <w:r>
              <w:t xml:space="preserve">Confirmada por búsqueda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https://www.youtube.com/watch?v=IvcNLzlJUHA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Espresso Digital</w:t>
            </w:r>
            <w:r>
              <w:t xml:space="preserve">, cap. 2: la decisión de la Corte Constitucional sobre IA (magistrado Juan Carlos Cortés González)</w:t>
            </w:r>
          </w:p>
        </w:tc>
        <w:tc>
          <w:tcPr/>
          <w:p>
            <w:pPr>
              <w:pStyle w:val="Compact"/>
            </w:pPr>
            <w:r>
              <w:t xml:space="preserve">Consejo Superior de la Judicatura</w:t>
            </w:r>
          </w:p>
        </w:tc>
        <w:tc>
          <w:tcPr/>
          <w:p>
            <w:pPr>
              <w:pStyle w:val="Compact"/>
            </w:pPr>
            <w:r>
              <w:t xml:space="preserve">YouTube y Spotify</w:t>
            </w:r>
          </w:p>
        </w:tc>
        <w:tc>
          <w:tcPr/>
          <w:p>
            <w:pPr>
              <w:pStyle w:val="Compact"/>
            </w:pPr>
            <w:r>
              <w:t xml:space="preserve">9 de septiembre de 2024</w:t>
            </w:r>
          </w:p>
        </w:tc>
        <w:tc>
          <w:tcPr/>
          <w:p>
            <w:pPr>
              <w:pStyle w:val="Compact"/>
            </w:pPr>
            <w:r>
              <w:t xml:space="preserve">Más de 15 min (fragmento)</w:t>
            </w:r>
          </w:p>
        </w:tc>
        <w:tc>
          <w:tcPr/>
          <w:p>
            <w:pPr>
              <w:pStyle w:val="Compact"/>
            </w:pPr>
            <w:r>
              <w:t xml:space="preserve">Confirmada por búsqueda; anterior a 2025</w:t>
            </w:r>
          </w:p>
        </w:tc>
        <w:tc>
          <w:tcPr/>
          <w:p>
            <w:pPr>
              <w:pStyle w:val="Compact"/>
            </w:pPr>
            <w:r>
              <w:t xml:space="preserve">https://youtu.be/c4UEAZcz4Qc</w:t>
            </w:r>
          </w:p>
        </w:tc>
      </w:tr>
    </w:tbl>
    <w:bookmarkEnd w:id="12"/>
    <w:bookmarkStart w:id="13" w:name="otras-referencias-del-desarrollo-teórico"/>
    <w:p>
      <w:pPr>
        <w:pStyle w:val="Heading2"/>
      </w:pPr>
      <w:r>
        <w:t xml:space="preserve">5. Otras referencias del desarrollo teórico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Lessig, L. (1999).</w:t>
            </w:r>
            <w:r>
              <w:t xml:space="preserve"> </w:t>
            </w:r>
            <w:r>
              <w:rPr>
                <w:i/>
                <w:iCs/>
              </w:rPr>
              <w:t xml:space="preserve">Code and other laws of cyberspace</w:t>
            </w:r>
            <w:r>
              <w:t xml:space="preserve">. Basic Books</w:t>
            </w:r>
          </w:p>
        </w:tc>
        <w:tc>
          <w:tcPr/>
          <w:p>
            <w:pPr>
              <w:pStyle w:val="Compact"/>
            </w:pPr>
            <w:r>
              <w:t xml:space="preserve">El código como regulación</w:t>
            </w:r>
          </w:p>
        </w:tc>
        <w:tc>
          <w:tcPr/>
          <w:p>
            <w:pPr>
              <w:pStyle w:val="Compact"/>
            </w:pPr>
            <w:r>
              <w:t xml:space="preserve">Obra conocida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Frosini, V. (1968).</w:t>
            </w:r>
            <w:r>
              <w:t xml:space="preserve"> </w:t>
            </w:r>
            <w:r>
              <w:rPr>
                <w:i/>
                <w:iCs/>
              </w:rPr>
              <w:t xml:space="preserve">Cibernética, derecho y sociedad</w:t>
            </w:r>
            <w:r>
              <w:t xml:space="preserve">; Losano, M. (1969).</w:t>
            </w:r>
            <w:r>
              <w:t xml:space="preserve"> </w:t>
            </w:r>
            <w:r>
              <w:rPr>
                <w:i/>
                <w:iCs/>
              </w:rPr>
              <w:t xml:space="preserve">Giuscibernetica</w:t>
            </w:r>
          </w:p>
        </w:tc>
        <w:tc>
          <w:tcPr/>
          <w:p>
            <w:pPr>
              <w:pStyle w:val="Compact"/>
            </w:pPr>
            <w:r>
              <w:t xml:space="preserve">Origen de la disciplina</w:t>
            </w:r>
          </w:p>
        </w:tc>
        <w:tc>
          <w:tcPr/>
          <w:p>
            <w:pPr>
              <w:pStyle w:val="Compact"/>
            </w:pPr>
            <w:r>
              <w:t xml:space="preserve">Obras conocidas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GECTI, Universidad de los Andes (creado en 2001)</w:t>
            </w:r>
          </w:p>
        </w:tc>
        <w:tc>
          <w:tcPr/>
          <w:p>
            <w:pPr>
              <w:pStyle w:val="Compact"/>
            </w:pPr>
            <w:r>
              <w:t xml:space="preserve">Campo docente e institucional</w:t>
            </w:r>
          </w:p>
        </w:tc>
        <w:tc>
          <w:tcPr/>
          <w:p>
            <w:pPr>
              <w:pStyle w:val="Compact"/>
            </w:pPr>
            <w:r>
              <w:t xml:space="preserve">Confirmada por búsqueda: https://derecho.uniandes.edu.co/es/gecti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Directrices UNESCO para el uso de sistemas de IA en cortes y tribunales, versión en español (Escuela de Gobierno de Uniandes, 2025)</w:t>
            </w:r>
          </w:p>
        </w:tc>
        <w:tc>
          <w:tcPr/>
          <w:p>
            <w:pPr>
              <w:pStyle w:val="Compact"/>
            </w:pPr>
            <w:r>
              <w:t xml:space="preserve">Etapa 4</w:t>
            </w:r>
          </w:p>
        </w:tc>
        <w:tc>
          <w:tcPr/>
          <w:p>
            <w:pPr>
              <w:pStyle w:val="Compact"/>
            </w:pPr>
            <w:r>
              <w:t xml:space="preserve">Confirmada por búsqueda en preparación anterior</w:t>
            </w:r>
          </w:p>
        </w:tc>
      </w:tr>
    </w:tbl>
    <w:bookmarkEnd w:id="13"/>
    <w:bookmarkStart w:id="14" w:name="nota-metodológica"/>
    <w:p>
      <w:pPr>
        <w:pStyle w:val="Heading2"/>
      </w:pPr>
      <w:r>
        <w:t xml:space="preserve">Nota metodológica</w:t>
      </w:r>
    </w:p>
    <w:p>
      <w:pPr>
        <w:pStyle w:val="FirstParagraph"/>
      </w:pPr>
      <w:r>
        <w:t xml:space="preserve">El entorno de preparación permitía búsquedas web, pero bloqueaba la apertura directa de los sitios jurídicos y académicos (corteconstitucional.gov.co, academiajudicial.cl, uniandes.edu.co, uexternado.edu.co, youtube.com, doi.org, scielo, dialnet, archive.org). Por eso ningún PDF ni texto oficial pudo descargarse a la carpeta. Para completar el paquete: abrir cada enlace, guardar el PDF de la lectura, la sentencia (imprimir a PDF desde la relatoría) y el video en la carpeta de Drive, y cotejar la síntesis de la sentencia con el texto oficial.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2026-10-05T03:31:25Z</dcterms:created>
  <dcterms:modified xsi:type="dcterms:W3CDTF">2026-10-05T03:31:25Z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