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clase-integral-derecho-informático"/>
    <w:p>
      <w:pPr>
        <w:pStyle w:val="Heading1"/>
      </w:pPr>
      <w:r>
        <w:t xml:space="preserve">Clase integral: Derecho Informático</w:t>
      </w:r>
    </w:p>
    <w:bookmarkStart w:id="9" w:name="X395aee0aa8b344905e1954a67bf1877b9df843f"/>
    <w:p>
      <w:pPr>
        <w:pStyle w:val="Heading2"/>
      </w:pPr>
      <w:r>
        <w:t xml:space="preserve">Asignatura Tecnología y Derecho · Programa de Derecho · Universidad Francisco de Paula Santander</w:t>
      </w:r>
    </w:p>
    <w:p>
      <w:pPr>
        <w:pStyle w:val="FirstParagraph"/>
      </w:pPr>
      <w:r>
        <w:rPr>
          <w:b/>
          <w:bCs/>
        </w:rPr>
        <w:t xml:space="preserve">Docente:</w:t>
      </w:r>
      <w:r>
        <w:t xml:space="preserve"> </w:t>
      </w:r>
      <w:r>
        <w:t xml:space="preserve">Carlos Arturo Ramos Mejía.</w:t>
      </w:r>
      <w:r>
        <w:t xml:space="preserve"> </w:t>
      </w:r>
      <w:r>
        <w:rPr>
          <w:b/>
          <w:bCs/>
        </w:rPr>
        <w:t xml:space="preserve">Duración:</w:t>
      </w:r>
      <w:r>
        <w:t xml:space="preserve"> </w:t>
      </w:r>
      <w:r>
        <w:t xml:space="preserve">120 minutos (al final se indica cómo partirla en dos sesiones de 60).</w:t>
      </w:r>
      <w:r>
        <w:t xml:space="preserve"> </w:t>
      </w:r>
      <w:r>
        <w:rPr>
          <w:b/>
          <w:bCs/>
        </w:rPr>
        <w:t xml:space="preserve">Modalidad:</w:t>
      </w:r>
      <w:r>
        <w:t xml:space="preserve"> </w:t>
      </w:r>
      <w:r>
        <w:t xml:space="preserve">presencial, con proyección de diapositivas y un video de apoyo.</w:t>
      </w:r>
      <w:r>
        <w:t xml:space="preserve"> </w:t>
      </w:r>
      <w:r>
        <w:rPr>
          <w:b/>
          <w:bCs/>
        </w:rPr>
        <w:t xml:space="preserve">Materiales:</w:t>
      </w:r>
      <w:r>
        <w:t xml:space="preserve"> </w:t>
      </w:r>
      <w:r>
        <w:rPr>
          <w:rStyle w:val="VerbatimChar"/>
        </w:rPr>
        <w:t xml:space="preserve">DIAPOSITIVAS_Derecho_Informatico.pptx</w:t>
      </w:r>
      <w:r>
        <w:t xml:space="preserve"> </w:t>
      </w:r>
      <w:r>
        <w:t xml:space="preserve">(sala),</w:t>
      </w:r>
      <w:r>
        <w:t xml:space="preserve"> </w:t>
      </w:r>
      <w:r>
        <w:rPr>
          <w:rStyle w:val="VerbatimChar"/>
        </w:rPr>
        <w:t xml:space="preserve">GUIA_DE_TRABAJO_ESTUDIANTES_Derecho_Informatico.docx</w:t>
      </w:r>
      <w:r>
        <w:t xml:space="preserve"> </w:t>
      </w:r>
      <w:r>
        <w:t xml:space="preserve">(se entrega una semana antes), lectura académica (PDF), sentencia hito (texto en la relatoría oficial), video de apoyo,</w:t>
      </w:r>
      <w:r>
        <w:t xml:space="preserve"> </w:t>
      </w:r>
      <w:r>
        <w:rPr>
          <w:rStyle w:val="VerbatimChar"/>
        </w:rPr>
        <w:t xml:space="preserve">FUENTES.md</w:t>
      </w:r>
      <w:r>
        <w:t xml:space="preserve">,</w:t>
      </w:r>
      <w:r>
        <w:t xml:space="preserve"> </w:t>
      </w:r>
      <w:r>
        <w:rPr>
          <w:rStyle w:val="VerbatimChar"/>
        </w:rPr>
        <w:t xml:space="preserve">ENLACES_VIDEO.md</w:t>
      </w:r>
      <w:r>
        <w:t xml:space="preserve">.</w:t>
      </w:r>
      <w:r>
        <w:t xml:space="preserve"> </w:t>
      </w:r>
      <w:r>
        <w:rPr>
          <w:b/>
          <w:bCs/>
        </w:rPr>
        <w:t xml:space="preserve">Fecha de corte de las fuentes:</w:t>
      </w:r>
      <w:r>
        <w:t xml:space="preserve"> </w:t>
      </w:r>
      <w:r>
        <w:t xml:space="preserve">5 de octubre de 2026.</w:t>
      </w:r>
    </w:p>
    <w:bookmarkEnd w:id="9"/>
    <w:bookmarkStart w:id="10" w:name="tesis-e-hilo-conductor"/>
    <w:p>
      <w:pPr>
        <w:pStyle w:val="Heading2"/>
      </w:pPr>
      <w:r>
        <w:t xml:space="preserve">1. Tesis e hilo conductor</w:t>
      </w:r>
    </w:p>
    <w:p>
      <w:pPr>
        <w:pStyle w:val="FirstParagraph"/>
      </w:pPr>
      <w:r>
        <w:t xml:space="preserve">El Derecho Informático no es «el derecho de los computadores»: es la rama que estudia las relaciones jurídicas en las que la información digital y los sistemas que la procesan son el objeto o el medio de la conducta. Nació como respuesta a tres preguntas que siguen abiertas: quién controla la información sobre las personas (datos y habeas data), qué valor jurídico tiene lo que ocurre en un entorno electrónico (mensajes de datos, contratos, prueba) y qué conductas digitales merecen reproche penal (delitos informáticos). En 2024 la Corte Constitucional agregó una cuarta pregunta, hoy central: qué puede hacer una máquina dentro de una decisión que afecta derechos. La clase recorre esas cuatro preguntas con un texto doctrinal, una sentencia hito y un video reciente, y cierra con un ejercicio de aplicación.</w:t>
      </w:r>
    </w:p>
    <w:bookmarkEnd w:id="10"/>
    <w:bookmarkStart w:id="11" w:name="objetivos-de-aprendizaje"/>
    <w:p>
      <w:pPr>
        <w:pStyle w:val="Heading2"/>
      </w:pPr>
      <w:r>
        <w:t xml:space="preserve">2. Objetivos de aprendizaje</w:t>
      </w:r>
    </w:p>
    <w:p>
      <w:pPr>
        <w:pStyle w:val="FirstParagraph"/>
      </w:pPr>
      <w:r>
        <w:t xml:space="preserve">Al terminar la sesión el estudiante podrá:</w:t>
      </w:r>
    </w:p>
    <w:p>
      <w:pPr>
        <w:pStyle w:val="Compact"/>
        <w:numPr>
          <w:ilvl w:val="0"/>
          <w:numId w:val="1001"/>
        </w:numPr>
      </w:pPr>
      <w:r>
        <w:rPr>
          <w:b/>
          <w:bCs/>
        </w:rPr>
        <w:t xml:space="preserve">Definir</w:t>
      </w:r>
      <w:r>
        <w:t xml:space="preserve"> </w:t>
      </w:r>
      <w:r>
        <w:t xml:space="preserve">el Derecho Informático, distinguirlo de la informática jurídica y del Derecho de las telecomunicaciones, y explicar la discusión sobre su autonomía (criterios normativo, docente, científico e institucional).</w:t>
      </w:r>
    </w:p>
    <w:p>
      <w:pPr>
        <w:pStyle w:val="Compact"/>
        <w:numPr>
          <w:ilvl w:val="0"/>
          <w:numId w:val="1001"/>
        </w:numPr>
      </w:pPr>
      <w:r>
        <w:rPr>
          <w:b/>
          <w:bCs/>
        </w:rPr>
        <w:t xml:space="preserve">Reconstruir</w:t>
      </w:r>
      <w:r>
        <w:t xml:space="preserve"> </w:t>
      </w:r>
      <w:r>
        <w:t xml:space="preserve">su evolución en cuatro etapas (cibernética y primeras leyes de datos; comercio electrónico; ciberdelincuencia y gobierno digital; inteligencia artificial) y ubicar en ellas los hitos colombianos.</w:t>
      </w:r>
    </w:p>
    <w:p>
      <w:pPr>
        <w:pStyle w:val="Compact"/>
        <w:numPr>
          <w:ilvl w:val="0"/>
          <w:numId w:val="1001"/>
        </w:numPr>
      </w:pPr>
      <w:r>
        <w:rPr>
          <w:b/>
          <w:bCs/>
        </w:rPr>
        <w:t xml:space="preserve">Identificar</w:t>
      </w:r>
      <w:r>
        <w:t xml:space="preserve"> </w:t>
      </w:r>
      <w:r>
        <w:t xml:space="preserve">el objeto, las fuentes y los principios estructurales de la disciplina (equivalencia funcional, neutralidad tecnológica, autodeterminación informativa, responsabilidad demostrada, supervisión humana).</w:t>
      </w:r>
    </w:p>
    <w:p>
      <w:pPr>
        <w:pStyle w:val="Compact"/>
        <w:numPr>
          <w:ilvl w:val="0"/>
          <w:numId w:val="1001"/>
        </w:numPr>
      </w:pPr>
      <w:r>
        <w:rPr>
          <w:b/>
          <w:bCs/>
        </w:rPr>
        <w:t xml:space="preserve">Mapear</w:t>
      </w:r>
      <w:r>
        <w:t xml:space="preserve"> </w:t>
      </w:r>
      <w:r>
        <w:t xml:space="preserve">sus principales campos con su norma de cabecera en Colombia: datos personales, comercio electrónico y contratación, prueba electrónica, delitos informáticos, propiedad intelectual digital, gobierno y justicia digital, inteligencia artificial.</w:t>
      </w:r>
    </w:p>
    <w:p>
      <w:pPr>
        <w:pStyle w:val="Compact"/>
        <w:numPr>
          <w:ilvl w:val="0"/>
          <w:numId w:val="1001"/>
        </w:numPr>
      </w:pPr>
      <w:r>
        <w:rPr>
          <w:b/>
          <w:bCs/>
        </w:rPr>
        <w:t xml:space="preserve">Analizar</w:t>
      </w:r>
      <w:r>
        <w:t xml:space="preserve"> </w:t>
      </w:r>
      <w:r>
        <w:t xml:space="preserve">la Sentencia T-323 de 2024 con el método hechos, problema jurídico, decisión, ratio decidendi, regla jurisprudencial y precedente, y evaluar su utilidad para el ejercicio profesional.</w:t>
      </w:r>
    </w:p>
    <w:p>
      <w:pPr>
        <w:pStyle w:val="Compact"/>
        <w:numPr>
          <w:ilvl w:val="0"/>
          <w:numId w:val="1001"/>
        </w:numPr>
      </w:pPr>
      <w:r>
        <w:rPr>
          <w:b/>
          <w:bCs/>
        </w:rPr>
        <w:t xml:space="preserve">Aplicar</w:t>
      </w:r>
      <w:r>
        <w:t xml:space="preserve"> </w:t>
      </w:r>
      <w:r>
        <w:t xml:space="preserve">las reglas estudiadas a casos cortos y formular una regla propia de uso responsable de herramientas digitales en la práctica jurídica.</w:t>
      </w:r>
    </w:p>
    <w:bookmarkEnd w:id="11"/>
    <w:bookmarkStart w:id="16" w:name="lectura-asignada"/>
    <w:p>
      <w:pPr>
        <w:pStyle w:val="Heading2"/>
      </w:pPr>
      <w:r>
        <w:t xml:space="preserve">3. Lectura asignada</w:t>
      </w:r>
    </w:p>
    <w:p>
      <w:pPr>
        <w:pStyle w:val="FirstParagraph"/>
      </w:pPr>
      <w:r>
        <w:rPr>
          <w:b/>
          <w:bCs/>
        </w:rPr>
        <w:t xml:space="preserve">Lectura principal.</w:t>
      </w:r>
      <w:r>
        <w:t xml:space="preserve"> </w:t>
      </w:r>
      <w:r>
        <w:t xml:space="preserve">Lorena Donoso Abarca y Carlos Reusser Monsálvez,</w:t>
      </w:r>
      <w:r>
        <w:t xml:space="preserve"> </w:t>
      </w:r>
      <w:r>
        <w:rPr>
          <w:i/>
          <w:iCs/>
        </w:rPr>
        <w:t xml:space="preserve">Derecho Informático</w:t>
      </w:r>
      <w:r>
        <w:t xml:space="preserve"> </w:t>
      </w:r>
      <w:r>
        <w:t xml:space="preserve">(Serie Materiales Docentes n.º 31), Academia Judicial de Chile, Santiago, 2021 (PDF en línea desde marzo de 2022). Se asigna la lección introductoria: «de la informática jurídica a la inteligencia artificial aplicada al derecho», «¿derecho informático o derecho digital?», «características del derecho informático» y los principios regulatorios (neutralidad tecnológica, mínima intervención). PDF:</w:t>
      </w:r>
      <w:r>
        <w:t xml:space="preserve"> </w:t>
      </w:r>
      <w:hyperlink r:id="rId12">
        <w:r>
          <w:rPr>
            <w:rStyle w:val="Hyperlink"/>
          </w:rPr>
          <w:t xml:space="preserve">https://academiajudicial.cl/wp-content/uploads/2022/03/Derecho-informatico.pdf</w:t>
        </w:r>
      </w:hyperlink>
      <w:r>
        <w:t xml:space="preserve"> </w:t>
      </w:r>
      <w:r>
        <w:t xml:space="preserve">· Página del recurso:</w:t>
      </w:r>
      <w:r>
        <w:t xml:space="preserve"> </w:t>
      </w:r>
      <w:hyperlink r:id="rId13">
        <w:r>
          <w:rPr>
            <w:rStyle w:val="Hyperlink"/>
          </w:rPr>
          <w:t xml:space="preserve">https://academiajudicial.cl/recursos/materiales-docentes/derecho-informatico/</w:t>
        </w:r>
      </w:hyperlink>
    </w:p>
    <w:p>
      <w:pPr>
        <w:pStyle w:val="BodyText"/>
      </w:pPr>
      <w:r>
        <w:rPr>
          <w:b/>
          <w:bCs/>
        </w:rPr>
        <w:t xml:space="preserve">Por qué esta lectura.</w:t>
      </w:r>
      <w:r>
        <w:t xml:space="preserve"> </w:t>
      </w:r>
      <w:r>
        <w:t xml:space="preserve">Es un texto doctrinal en español, gratuito y de autoría académica reconocida (ambos autores son doctores en Derecho por la Universidad de Salamanca y profesores de la Universidad de Chile) cuyo índice arranca por los fundamentos de la disciplina (origen en la informática jurídica, denominación, características, principios regulatorios) y luego despliega los campos (documento y firma electrónica, datos personales). Aunque la legislación citada es chilena, las categorías son transferibles a Colombia y permiten el contraste en clase.</w:t>
      </w:r>
    </w:p>
    <w:p>
      <w:pPr>
        <w:pStyle w:val="BodyText"/>
      </w:pPr>
      <w:r>
        <w:rPr>
          <w:b/>
          <w:bCs/>
        </w:rPr>
        <w:t xml:space="preserve">Complemento colombiano (10 páginas).</w:t>
      </w:r>
      <w:r>
        <w:t xml:space="preserve"> </w:t>
      </w:r>
      <w:r>
        <w:t xml:space="preserve">María Lorena Flórez Rojas (coord.),</w:t>
      </w:r>
      <w:r>
        <w:t xml:space="preserve"> </w:t>
      </w:r>
      <w:r>
        <w:rPr>
          <w:i/>
          <w:iCs/>
        </w:rPr>
        <w:t xml:space="preserve">Derecho de las tecnologías y las tecnologías para el derecho</w:t>
      </w:r>
      <w:r>
        <w:t xml:space="preserve">, GECTI, Ediciones Uniandes, Bogotá, 2022 (ISBN 978-958-798-296-1; DOI 10.15425/2017.571). Se leen la Presentación (pp. xi-xiv), que reconstruye veinte años de campos del derecho informático trabajados por el GECTI, y la sección «El papel de la academia» (pp. 44-53), que revisa la oferta de la materia en las facultades colombianas. Página editorial:</w:t>
      </w:r>
      <w:r>
        <w:t xml:space="preserve"> </w:t>
      </w:r>
      <w:hyperlink r:id="rId14">
        <w:r>
          <w:rPr>
            <w:rStyle w:val="Hyperlink"/>
          </w:rPr>
          <w:t xml:space="preserve">https://ediciones.uniandes.edu.co/library/publication/derecho-de-las-tecnologias-y-las-tecnologias-para-el-derecho</w:t>
        </w:r>
      </w:hyperlink>
    </w:p>
    <w:p>
      <w:pPr>
        <w:pStyle w:val="BodyText"/>
      </w:pPr>
      <w:r>
        <w:rPr>
          <w:b/>
          <w:bCs/>
        </w:rPr>
        <w:t xml:space="preserve">Alternativa arbitrada reciente (opcional).</w:t>
      </w:r>
      <w:r>
        <w:t xml:space="preserve"> </w:t>
      </w:r>
      <w:r>
        <w:t xml:space="preserve">Llanes Robaina, J., Santana Santana, L., Páez Paredes, M. y Perera Cala, F. D. (2025). «La formación en Derecho Informático: necesidad en la carrera de Derecho»,</w:t>
      </w:r>
      <w:r>
        <w:t xml:space="preserve"> </w:t>
      </w:r>
      <w:r>
        <w:rPr>
          <w:i/>
          <w:iCs/>
        </w:rPr>
        <w:t xml:space="preserve">Mendive. Revista de Educación</w:t>
      </w:r>
      <w:r>
        <w:t xml:space="preserve">, 23(4), e4260. Trata concepto, evolución, distinción con la informática jurídica y autonomía (criterios legislativo, científico, didáctico y jurisdiccional).</w:t>
      </w:r>
      <w:r>
        <w:t xml:space="preserve"> </w:t>
      </w:r>
      <w:hyperlink r:id="rId15">
        <w:r>
          <w:rPr>
            <w:rStyle w:val="Hyperlink"/>
          </w:rPr>
          <w:t xml:space="preserve">https://mendive.upr.edu.cu/index.php/MendiveUPR/article/view/4260</w:t>
        </w:r>
      </w:hyperlink>
    </w:p>
    <w:p>
      <w:pPr>
        <w:pStyle w:val="BodyText"/>
      </w:pPr>
      <w:r>
        <w:rPr>
          <w:b/>
          <w:bCs/>
        </w:rPr>
        <w:t xml:space="preserve">Guía de lectura y pregunta de la ficha:</w:t>
      </w:r>
      <w:r>
        <w:t xml:space="preserve"> </w:t>
      </w:r>
      <w:r>
        <w:t xml:space="preserve">en la guía de trabajo del estudiante, sección 3. Pregunta: ¿Es el Derecho Informático una rama autónoma o un método transversal? Responda con los criterios del texto y con un ejemplo colombiano.</w:t>
      </w:r>
    </w:p>
    <w:p>
      <w:pPr>
        <w:pStyle w:val="BodyText"/>
      </w:pPr>
      <w:r>
        <w:rPr>
          <w:b/>
          <w:bCs/>
        </w:rPr>
        <w:t xml:space="preserve">Estado de verificación.</w:t>
      </w:r>
      <w:r>
        <w:t xml:space="preserve"> </w:t>
      </w:r>
      <w:r>
        <w:t xml:space="preserve">La política de red del entorno de preparación impidió abrir los PDF; existencia, autoría, año e índice se confirmaron por resultados de búsqueda coincidentes. Antes de asignar la lectura, abrir el PDF y confirmar la extensión de la lección introductoria.</w:t>
      </w:r>
    </w:p>
    <w:bookmarkEnd w:id="16"/>
    <w:bookmarkStart w:id="20" w:name="X2a197286a3a9dbb780b466e89e07ad4c15e8590"/>
    <w:p>
      <w:pPr>
        <w:pStyle w:val="Heading2"/>
      </w:pPr>
      <w:r>
        <w:t xml:space="preserve">4. Sentencia hito: T-323 de 2024, Corte Constitucional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Dato</w:t>
            </w:r>
          </w:p>
        </w:tc>
        <w:tc>
          <w:tcPr/>
          <w:p>
            <w:pPr>
              <w:pStyle w:val="Compact"/>
            </w:pPr>
            <w:r>
              <w:t xml:space="preserve">Contenido</w:t>
            </w:r>
          </w:p>
        </w:tc>
      </w:tr>
      <w:tr>
        <w:tc>
          <w:tcPr/>
          <w:p>
            <w:pPr>
              <w:pStyle w:val="Compact"/>
            </w:pPr>
            <w:r>
              <w:t xml:space="preserve">Corporación y sala</w:t>
            </w:r>
          </w:p>
        </w:tc>
        <w:tc>
          <w:tcPr/>
          <w:p>
            <w:pPr>
              <w:pStyle w:val="Compact"/>
            </w:pPr>
            <w:r>
              <w:t xml:space="preserve">Corte Constitucional, Sala Segunda de Revisión (magistrada Diana Fajardo Rivera, magistrados Vladimir Fernández Andrade y Juan Carlos Cortés González)</w:t>
            </w:r>
          </w:p>
        </w:tc>
      </w:tr>
      <w:tr>
        <w:tc>
          <w:tcPr/>
          <w:p>
            <w:pPr>
              <w:pStyle w:val="Compact"/>
            </w:pPr>
            <w:r>
              <w:t xml:space="preserve">Magistrado ponente</w:t>
            </w:r>
          </w:p>
        </w:tc>
        <w:tc>
          <w:tcPr/>
          <w:p>
            <w:pPr>
              <w:pStyle w:val="Compact"/>
            </w:pPr>
            <w:r>
              <w:t xml:space="preserve">Juan Carlos Cortés González</w:t>
            </w:r>
          </w:p>
        </w:tc>
      </w:tr>
      <w:tr>
        <w:tc>
          <w:tcPr/>
          <w:p>
            <w:pPr>
              <w:pStyle w:val="Compact"/>
            </w:pPr>
            <w:r>
              <w:t xml:space="preserve">Fecha</w:t>
            </w:r>
          </w:p>
        </w:tc>
        <w:tc>
          <w:tcPr/>
          <w:p>
            <w:pPr>
              <w:pStyle w:val="Compact"/>
            </w:pPr>
            <w:r>
              <w:t xml:space="preserve">2 de agosto de 2024</w:t>
            </w:r>
          </w:p>
        </w:tc>
      </w:tr>
      <w:tr>
        <w:tc>
          <w:tcPr/>
          <w:p>
            <w:pPr>
              <w:pStyle w:val="Compact"/>
            </w:pPr>
            <w:r>
              <w:t xml:space="preserve">Expediente</w:t>
            </w:r>
          </w:p>
        </w:tc>
        <w:tc>
          <w:tcPr/>
          <w:p>
            <w:pPr>
              <w:pStyle w:val="Compact"/>
            </w:pPr>
            <w:r>
              <w:t xml:space="preserve">T-9.301.656</w:t>
            </w:r>
          </w:p>
        </w:tc>
      </w:tr>
      <w:tr>
        <w:tc>
          <w:tcPr/>
          <w:p>
            <w:pPr>
              <w:pStyle w:val="Compact"/>
            </w:pPr>
            <w:r>
              <w:t xml:space="preserve">Texto oficial</w:t>
            </w:r>
          </w:p>
        </w:tc>
        <w:tc>
          <w:tcPr/>
          <w:p>
            <w:pPr>
              <w:pStyle w:val="Compact"/>
            </w:pPr>
            <w:hyperlink r:id="rId17">
              <w:r>
                <w:rPr>
                  <w:rStyle w:val="Hyperlink"/>
                </w:rPr>
                <w:t xml:space="preserve">https://www.corteconstitucional.gov.co/relatoria/2024/T-323-24.htm</w:t>
              </w:r>
            </w:hyperlink>
          </w:p>
        </w:tc>
      </w:tr>
      <w:tr>
        <w:tc>
          <w:tcPr/>
          <w:p>
            <w:pPr>
              <w:pStyle w:val="Compact"/>
            </w:pPr>
            <w:r>
              <w:t xml:space="preserve">Material de apoyo</w:t>
            </w:r>
          </w:p>
        </w:tc>
        <w:tc>
          <w:tcPr/>
          <w:p>
            <w:pPr>
              <w:pStyle w:val="Compact"/>
            </w:pPr>
            <w:r>
              <w:t xml:space="preserve">ABC de la Sentencia T-323 de 2024 (Consejo Superior de la Judicatura, Circular PCSJC24-37 de 2024):</w:t>
            </w:r>
            <w:r>
              <w:t xml:space="preserve"> </w:t>
            </w:r>
            <w:hyperlink r:id="rId18">
              <w:r>
                <w:rPr>
                  <w:rStyle w:val="Hyperlink"/>
                </w:rPr>
                <w:t xml:space="preserve">https://escuelajudicial.ramajudicial.gov.co/sites/default/files/ABC_SentenciaIA_T323De2024.pdf</w:t>
              </w:r>
            </w:hyperlink>
            <w:r>
              <w:t xml:space="preserve"> </w:t>
            </w:r>
            <w:r>
              <w:t xml:space="preserve">· Lineamientos de uso de IA en la Rama Judicial (13 de diciembre de 2024):</w:t>
            </w:r>
            <w:r>
              <w:t xml:space="preserve"> </w:t>
            </w:r>
            <w:hyperlink r:id="rId19">
              <w:r>
                <w:rPr>
                  <w:rStyle w:val="Hyperlink"/>
                </w:rPr>
                <w:t xml:space="preserve">https://www.ramajudicial.gov.co/documents/164295699/174277484/DocumentoTecnico_LineamientosUsoIARamaJudicial_13122024_Vrev.pdf</w:t>
              </w:r>
            </w:hyperlink>
          </w:p>
        </w:tc>
      </w:tr>
    </w:tbl>
    <w:p>
      <w:pPr>
        <w:pStyle w:val="BodyText"/>
      </w:pPr>
      <w:r>
        <w:rPr>
          <w:b/>
          <w:bCs/>
        </w:rPr>
        <w:t xml:space="preserve">Por qué es la sentencia hito.</w:t>
      </w:r>
      <w:r>
        <w:t xml:space="preserve"> </w:t>
      </w:r>
      <w:r>
        <w:t xml:space="preserve">Es el primer pronunciamiento de una alta corte colombiana que fija condiciones para el uso de inteligencia artificial generativa en la decisión judicial, con órdenes a la Rama Judicial que ya se cumplieron (ABC de 2024 y lineamientos de diciembre de 2024), y es el estándar con el que la Corte Suprema evaluó en la STC17832-2025 una providencia fundada en citas inexistentes. Conecta los tres grupos del objeto de la disciplina: datos (privacidad del expediente), actos por medios electrónicos (la providencia) y riesgos (alucinaciones). Antecedente fundacional de toda la línea: la T-414 de 1992 (M.P. Ciro Angarita Barón), primera sentencia de habeas data y «libertad informática».</w:t>
      </w:r>
    </w:p>
    <w:p>
      <w:pPr>
        <w:pStyle w:val="BodyText"/>
      </w:pPr>
      <w:r>
        <w:rPr>
          <w:b/>
          <w:bCs/>
        </w:rPr>
        <w:t xml:space="preserve">Hechos relevantes.</w:t>
      </w:r>
      <w:r>
        <w:t xml:space="preserve"> </w:t>
      </w:r>
      <w:r>
        <w:t xml:space="preserve">Una madre, en representación de su hijo con trastorno del espectro autista, presentó tutela contra su EPS para que lo exonerara de copagos y cuotas moderadoras, cubriera el transporte a terapias y controles y garantizara el tratamiento integral. El 7 de diciembre de 2022 un juzgado municipal de Cartagena concedió el amparo; la EPS impugnó. El 30 de enero de 2023 el Juzgado Primero Laboral del Circuito de Cartagena confirmó la decisión y, para ampliar los argumentos de la decisión ya adoptada, transcribió en la sentencia las preguntas formuladas a ChatGPT 3.5 y sus respuestas. La Corte seleccionó el caso para revisión y decretó pruebas con intervenciones de universidades y autoridades.</w:t>
      </w:r>
    </w:p>
    <w:p>
      <w:pPr>
        <w:pStyle w:val="BodyText"/>
      </w:pPr>
      <w:r>
        <w:rPr>
          <w:b/>
          <w:bCs/>
        </w:rPr>
        <w:t xml:space="preserve">Problemas jurídicos.</w:t>
      </w:r>
      <w:r>
        <w:t xml:space="preserve"> </w:t>
      </w:r>
      <w:r>
        <w:t xml:space="preserve">(1) Si se vulneró el debido proceso en la decisión de segunda instancia porque el juez usó ChatGPT 3.5, en cuanto genera dudas sobre si quien decidió fue un juez de la República o una IA y sobre si la decisión fue debidamente motivada o fue producto de respuestas o alucinaciones de la IA. (2) Si la EPS vulneró los derechos a la salud, a la vida digna y a la seguridad social del niño al no exonerarlo de copagos y cuotas moderadoras, negar el transporte y no autorizar el tratamiento integral.</w:t>
      </w:r>
    </w:p>
    <w:p>
      <w:pPr>
        <w:pStyle w:val="BodyText"/>
      </w:pPr>
      <w:r>
        <w:rPr>
          <w:b/>
          <w:bCs/>
        </w:rPr>
        <w:t xml:space="preserve">Decisión.</w:t>
      </w:r>
      <w:r>
        <w:t xml:space="preserve"> </w:t>
      </w:r>
      <w:r>
        <w:t xml:space="preserve">Confirmó parcialmente la sentencia de segunda instancia: mantuvo el amparo y lo extendió al transporte para valoraciones, controles y ayudas diagnósticas. Concluyó que el uso de ChatGPT «no comportó una usurpación de la función de administración de justicia» (cita tomada de fragmento indexado del texto oficial; cotejar), porque el juez ya había fundamentado y adoptado la decisión; no hubo violación del debido proceso ni causal de nulidad. Encontró, sin embargo, que no se cumplieron a cabalidad la transparencia (exposición parcial del uso) ni la responsabilidad (datos de la IA no del todo precisos); la privacidad sí se garantizó porque no se introdujeron datos personales. Ordenó al Consejo Superior de la Judicatura divulgar una guía o lineamiento sobre IA generativa en la Rama Judicial y, a través de la Escuela Judicial Rodrigo Lara Bonilla, difundir la sentencia y continuar la capacitación; exhortó a los jueces a evaluar el uso adecuado de estas herramientas; dio órdenes a la EPS.</w:t>
      </w:r>
    </w:p>
    <w:p>
      <w:pPr>
        <w:pStyle w:val="BodyText"/>
      </w:pPr>
      <w:r>
        <w:rPr>
          <w:b/>
          <w:bCs/>
        </w:rPr>
        <w:t xml:space="preserve">Ratio decidendi.</w:t>
      </w:r>
      <w:r>
        <w:t xml:space="preserve"> </w:t>
      </w:r>
      <w:r>
        <w:t xml:space="preserve">El juez natural tiene que ser un ser humano: la IA «no puede ser usada para sustituir el razonamiento lógico y humano que es competencia de cada juez» (fragmento indexado; cotejar). No puede reemplazarlo en interpretar los hechos, valorar las pruebas, motivar y adoptar la decisión; una decisión adoptada por la IA sin valoración del juez sería inválida y violaría el debido proceso. Es admisible su uso razonable y ponderado, con enfoque de protección de derechos, bajo las cargas de transparencia, responsabilidad y protección de datos personales y con el requisito esencial de no sustitución de la racionalidad humana. Usos admitidos: gestión administrativa y documental, apoyo a la gestión judicial, corrección y resumen de textos, siempre con supervisión humana.</w:t>
      </w:r>
    </w:p>
    <w:p>
      <w:pPr>
        <w:pStyle w:val="BodyText"/>
      </w:pPr>
      <w:r>
        <w:rPr>
          <w:b/>
          <w:bCs/>
        </w:rPr>
        <w:t xml:space="preserve">Regla o subregla jurisprudencial.</w:t>
      </w:r>
      <w:r>
        <w:t xml:space="preserve"> </w:t>
      </w:r>
      <w:r>
        <w:t xml:space="preserve">Un funcionario judicial puede usar IA generativa como apoyo siempre que (i) no le delegue la interpretación de los hechos, la valoración de las pruebas, la motivación ni la decisión; (ii) evidencie con claridad y precisión el uso, su alcance y su ubicación en la providencia; (iii) verifique con rigor las fuentes y los datos y proteja la reserva de la información del proceso; y (iv) responda por el resultado. Criterios para la Rama Judicial (cotejar numeración en el texto): transparencia, responsabilidad, privacidad, no sustitución de la racionalidad humana, seriedad y verificación, prevención de riesgos, igualdad y equidad, control humano, regulación ética, adecuación a buenas prácticas y estándares colectivos, seguimiento continuo y adaptación, e idoneidad.</w:t>
      </w:r>
    </w:p>
    <w:p>
      <w:pPr>
        <w:pStyle w:val="BodyText"/>
      </w:pPr>
      <w:r>
        <w:rPr>
          <w:b/>
          <w:bCs/>
        </w:rPr>
        <w:t xml:space="preserve">Precedente que establece.</w:t>
      </w:r>
      <w:r>
        <w:t xml:space="preserve"> </w:t>
      </w:r>
      <w:r>
        <w:t xml:space="preserve">Vincula a los funcionarios y empleados de la Rama Judicial en el uso de IA generativa; su desarrollo institucional son el ABC (Circular PCSJC24-37 de 2024) y los lineamientos de diciembre de 2024. Para el abogado litigante no es orden directa, pero sí estándar de diligencia: la STC17832-2025 (Sala de Casación Civil, noviembre de 2025) dejó sin efectos una decisión del Tribunal Superior de Sincelejo que citó providencias de la Corte Suprema con pasajes inexistentes.</w:t>
      </w:r>
    </w:p>
    <w:p>
      <w:pPr>
        <w:pStyle w:val="BodyText"/>
      </w:pPr>
      <w:r>
        <w:rPr>
          <w:b/>
          <w:bCs/>
        </w:rPr>
        <w:t xml:space="preserve">Línea jurisprudencial para ubicarla.</w:t>
      </w:r>
      <w:r>
        <w:t xml:space="preserve"> </w:t>
      </w:r>
      <w:r>
        <w:t xml:space="preserve">T-414/92 (primer habeas data: libertad informática y caducidad del dato negativo) → SU-082/95 (unifica el núcleo del habeas data) → C-748/11 (control previo de la Ley 1581 de 2012) → T-277/15 (derecho al olvido digital) → T-323/24 (IA generativa en la decisión judicial) → STC17832-2025, Corte Suprema (citas inexistentes).</w:t>
      </w:r>
    </w:p>
    <w:p>
      <w:pPr>
        <w:pStyle w:val="BodyText"/>
      </w:pPr>
      <w:r>
        <w:rPr>
          <w:b/>
          <w:bCs/>
        </w:rPr>
        <w:t xml:space="preserve">Utilidad pedagógica.</w:t>
      </w:r>
      <w:r>
        <w:t xml:space="preserve"> </w:t>
      </w:r>
      <w:r>
        <w:t xml:space="preserve">Permite practicar la distinción entre ratio y reglas prospectivas (la Corte no anuló, pero reguló), conectar los principios de la disciplina con un caso concreto y discutir la responsabilidad profesional del abogado que usa IA. Es un caso que los estudiantes reconocen por la prensa.</w:t>
      </w:r>
    </w:p>
    <w:p>
      <w:pPr>
        <w:pStyle w:val="BodyText"/>
      </w:pPr>
      <w:r>
        <w:rPr>
          <w:b/>
          <w:bCs/>
        </w:rPr>
        <w:t xml:space="preserve">Estado de verificación.</w:t>
      </w:r>
      <w:r>
        <w:t xml:space="preserve"> </w:t>
      </w:r>
      <w:r>
        <w:t xml:space="preserve">El texto íntegro de la providencia no pudo abrirse desde el entorno de preparación (política de red). Los datos de identificación, los hechos, la decisión, los criterios y las tres citas se tomaron de los fragmentos indexados de la relatoría, del boletín de la Corte y del ABC del Consejo Superior de la Judicatura. Antes de la clase, abrir la relatoría y cotejar: la formulación exacta de los problemas jurídicos, la numeración del resuelve, los fundamentos jurídicos de los criterios y la existencia de salvamentos o aclaraciones de voto.</w:t>
      </w:r>
    </w:p>
    <w:bookmarkEnd w:id="20"/>
    <w:bookmarkStart w:id="22" w:name="video-de-apoyo"/>
    <w:p>
      <w:pPr>
        <w:pStyle w:val="Heading2"/>
      </w:pPr>
      <w:r>
        <w:t xml:space="preserve">5. Video de apoyo</w:t>
      </w:r>
    </w:p>
    <w:p>
      <w:pPr>
        <w:pStyle w:val="FirstParagraph"/>
      </w:pPr>
      <w:r>
        <w:rPr>
          <w:b/>
          <w:bCs/>
        </w:rPr>
        <w:t xml:space="preserve">Video seleccionado.</w:t>
      </w:r>
      <w:r>
        <w:t xml:space="preserve"> </w:t>
      </w:r>
      <w:r>
        <w:rPr>
          <w:i/>
          <w:iCs/>
        </w:rPr>
        <w:t xml:space="preserve">How privacy can save your life</w:t>
      </w:r>
      <w:r>
        <w:t xml:space="preserve"> </w:t>
      </w:r>
      <w:r>
        <w:t xml:space="preserve">(Cómo la privacidad puede salvarte la vida), charla de</w:t>
      </w:r>
      <w:r>
        <w:t xml:space="preserve"> </w:t>
      </w:r>
      <w:r>
        <w:rPr>
          <w:b/>
          <w:bCs/>
        </w:rPr>
        <w:t xml:space="preserve">Carissa Véliz</w:t>
      </w:r>
      <w:r>
        <w:t xml:space="preserve"> </w:t>
      </w:r>
      <w:r>
        <w:t xml:space="preserve">en TEDxPorto (marzo de 2025; publicada en YouTube por TEDx Talks en octubre de 2025), 13:50. Véliz es profesora del Institute for Ethics in AI y de la Facultad de Filosofía de la Universidad de Oxford, autora de</w:t>
      </w:r>
      <w:r>
        <w:t xml:space="preserve"> </w:t>
      </w:r>
      <w:r>
        <w:rPr>
          <w:i/>
          <w:iCs/>
        </w:rPr>
        <w:t xml:space="preserve">Privacy Is Power</w:t>
      </w:r>
      <w:r>
        <w:t xml:space="preserve"> </w:t>
      </w:r>
      <w:r>
        <w:t xml:space="preserve">(2020) y editora de</w:t>
      </w:r>
      <w:r>
        <w:t xml:space="preserve"> </w:t>
      </w:r>
      <w:r>
        <w:rPr>
          <w:i/>
          <w:iCs/>
        </w:rPr>
        <w:t xml:space="preserve">The Oxford Handbook of Digital Ethics</w:t>
      </w:r>
      <w:r>
        <w:t xml:space="preserve">. Enlace:</w:t>
      </w:r>
      <w:r>
        <w:t xml:space="preserve"> </w:t>
      </w:r>
      <w:hyperlink r:id="rId21">
        <w:r>
          <w:rPr>
            <w:rStyle w:val="Hyperlink"/>
          </w:rPr>
          <w:t xml:space="preserve">https://www.youtube.com/watch?v=xSPRouBvgFE</w:t>
        </w:r>
      </w:hyperlink>
      <w:r>
        <w:t xml:space="preserve">. En inglés: proyectar con subtítulos en español.</w:t>
      </w:r>
    </w:p>
    <w:p>
      <w:pPr>
        <w:pStyle w:val="BodyText"/>
      </w:pPr>
      <w:r>
        <w:rPr>
          <w:b/>
          <w:bCs/>
        </w:rPr>
        <w:t xml:space="preserve">Por qué este video.</w:t>
      </w:r>
      <w:r>
        <w:t xml:space="preserve"> </w:t>
      </w:r>
      <w:r>
        <w:t xml:space="preserve">Trata el problema fundacional y más actual del Derecho Informático a la vez: el poder que otorga la información sobre las personas y cómo la IA lo multiplica. Con casos concretos (registros civiles, datos genéticos, ubicación) ilustra los principios de finalidad, necesidad y libertad de la Ley 1581 de 2012 y la razón de ser del habeas data. Cumple los criterios de la sesión: 2025, menos de 15 minutos, experta de reconocimiento mundial.</w:t>
      </w:r>
    </w:p>
    <w:p>
      <w:pPr>
        <w:pStyle w:val="BodyText"/>
      </w:pPr>
      <w:r>
        <w:rPr>
          <w:b/>
          <w:bCs/>
        </w:rPr>
        <w:t xml:space="preserve">Plan B.</w:t>
      </w:r>
      <w:r>
        <w:t xml:space="preserve"> </w:t>
      </w:r>
      <w:r>
        <w:rPr>
          <w:rStyle w:val="VerbatimChar"/>
        </w:rPr>
        <w:t xml:space="preserve">ENLACES_VIDEO.md</w:t>
      </w:r>
      <w:r>
        <w:t xml:space="preserve">: fragmento de</w:t>
      </w:r>
      <w:r>
        <w:t xml:space="preserve"> </w:t>
      </w:r>
      <w:r>
        <w:rPr>
          <w:i/>
          <w:iCs/>
        </w:rPr>
        <w:t xml:space="preserve">Desafíos del derecho en la era de la Inteligencia Artificial</w:t>
      </w:r>
      <w:r>
        <w:t xml:space="preserve"> </w:t>
      </w:r>
      <w:r>
        <w:t xml:space="preserve">(Facultad de Derecho, Uniandes, 6 de febrero de 2026) o fragmento de</w:t>
      </w:r>
      <w:r>
        <w:t xml:space="preserve"> </w:t>
      </w:r>
      <w:r>
        <w:rPr>
          <w:i/>
          <w:iCs/>
        </w:rPr>
        <w:t xml:space="preserve">Espresso Digital</w:t>
      </w:r>
      <w:r>
        <w:t xml:space="preserve">, cap. 2, con el magistrado Juan Carlos Cortés González, ponente de la T-323 de 2024 (Consejo Superior de la Judicatura, 2024).</w:t>
      </w:r>
    </w:p>
    <w:p>
      <w:pPr>
        <w:pStyle w:val="BodyText"/>
      </w:pPr>
      <w:r>
        <w:rPr>
          <w:b/>
          <w:bCs/>
        </w:rPr>
        <w:t xml:space="preserve">Preguntas para la discusión (tras el video).</w:t>
      </w:r>
      <w:r>
        <w:t xml:space="preserve"> </w:t>
      </w:r>
      <w:r>
        <w:t xml:space="preserve">(1) ¿Por qué dice Véliz que la privacidad es poder y que es un bien colectivo? Relacione la idea con el habeas data (art. 15 C.P.) y con los principios de finalidad, necesidad y libertad de la Ley 1581 de 2012. (2) El ejemplo del registro civil muestra el riesgo de las bases de datos estatales. ¿Qué garantías exige hoy el Derecho Informático colombiano a la identidad digital, la biometría y la carpeta ciudadana? (3) ¿Cómo multiplica la inteligencia artificial la vigilancia que describe la charla? Conecte con la Circular Externa 002 de 2024 de la SIC y con la T-323 de 2024.</w:t>
      </w:r>
    </w:p>
    <w:p>
      <w:pPr>
        <w:pStyle w:val="BodyText"/>
      </w:pPr>
      <w:r>
        <w:rPr>
          <w:b/>
          <w:bCs/>
        </w:rPr>
        <w:t xml:space="preserve">Estado de verificación.</w:t>
      </w:r>
      <w:r>
        <w:t xml:space="preserve"> </w:t>
      </w:r>
      <w:r>
        <w:t xml:space="preserve">YouTube estaba bloqueado desde el entorno de preparación: fecha y duración provienen de fuentes indexadas coincidentes. Para verificar en dos minutos: abrir el enlace, confirmar fecha y duración y activar los subtítulos.</w:t>
      </w:r>
    </w:p>
    <w:bookmarkEnd w:id="22"/>
    <w:bookmarkStart w:id="28" w:name="desarrollo-teórico"/>
    <w:p>
      <w:pPr>
        <w:pStyle w:val="Heading2"/>
      </w:pPr>
      <w:r>
        <w:t xml:space="preserve">6. Desarrollo teórico</w:t>
      </w:r>
    </w:p>
    <w:bookmarkStart w:id="23" w:name="Xa13a85767d9e9efb9f48bd4fdc3add002ed5280"/>
    <w:p>
      <w:pPr>
        <w:pStyle w:val="Heading3"/>
      </w:pPr>
      <w:r>
        <w:t xml:space="preserve">6.1 Qué es el Derecho Informático (y qué no es)</w:t>
      </w:r>
    </w:p>
    <w:p>
      <w:pPr>
        <w:pStyle w:val="FirstParagraph"/>
      </w:pPr>
      <w:r>
        <w:rPr>
          <w:b/>
          <w:bCs/>
        </w:rPr>
        <w:t xml:space="preserve">Definición de trabajo.</w:t>
      </w:r>
      <w:r>
        <w:t xml:space="preserve"> </w:t>
      </w:r>
      <w:r>
        <w:t xml:space="preserve">Conjunto de principios, normas e instituciones que regulan las relaciones jurídicas en las que la información digital, los sistemas informáticos y las redes son objeto o instrumento de la conducta. La definición clásica de Julio Téllez Valdés lo describe como el conjunto de leyes, normas y principios aplicables a los hechos y actos derivados de la informática.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Noción</w:t>
            </w:r>
          </w:p>
        </w:tc>
        <w:tc>
          <w:tcPr/>
          <w:p>
            <w:pPr>
              <w:pStyle w:val="Compact"/>
            </w:pPr>
            <w:r>
              <w:t xml:space="preserve">Qué estudia</w:t>
            </w:r>
          </w:p>
        </w:tc>
        <w:tc>
          <w:tcPr/>
          <w:p>
            <w:pPr>
              <w:pStyle w:val="Compact"/>
            </w:pPr>
            <w:r>
              <w:t xml:space="preserve">Ejemplo</w:t>
            </w:r>
          </w:p>
        </w:tc>
      </w:tr>
      <w:tr>
        <w:tc>
          <w:tcPr/>
          <w:p>
            <w:pPr>
              <w:pStyle w:val="Compact"/>
            </w:pPr>
            <w:r>
              <w:t xml:space="preserve">Derecho Informático</w:t>
            </w:r>
          </w:p>
        </w:tc>
        <w:tc>
          <w:tcPr/>
          <w:p>
            <w:pPr>
              <w:pStyle w:val="Compact"/>
            </w:pPr>
            <w:r>
              <w:t xml:space="preserve">La informática como objeto de regulación</w:t>
            </w:r>
          </w:p>
        </w:tc>
        <w:tc>
          <w:tcPr/>
          <w:p>
            <w:pPr>
              <w:pStyle w:val="Compact"/>
            </w:pPr>
            <w:r>
              <w:t xml:space="preserve">Ley 1581 de 2012 sobre datos personales</w:t>
            </w:r>
          </w:p>
        </w:tc>
      </w:tr>
      <w:tr>
        <w:tc>
          <w:tcPr/>
          <w:p>
            <w:pPr>
              <w:pStyle w:val="Compact"/>
            </w:pPr>
            <w:r>
              <w:t xml:space="preserve">Informática jurídica</w:t>
            </w:r>
          </w:p>
        </w:tc>
        <w:tc>
          <w:tcPr/>
          <w:p>
            <w:pPr>
              <w:pStyle w:val="Compact"/>
            </w:pPr>
            <w:r>
              <w:t xml:space="preserve">La informática como herramienta del jurista</w:t>
            </w:r>
          </w:p>
        </w:tc>
        <w:tc>
          <w:tcPr/>
          <w:p>
            <w:pPr>
              <w:pStyle w:val="Compact"/>
            </w:pPr>
            <w:r>
              <w:t xml:space="preserve">Un sistema de gestión de expedientes; un buscador de jurisprudencia</w:t>
            </w:r>
          </w:p>
        </w:tc>
      </w:tr>
      <w:tr>
        <w:tc>
          <w:tcPr/>
          <w:p>
            <w:pPr>
              <w:pStyle w:val="Compact"/>
            </w:pPr>
            <w:r>
              <w:t xml:space="preserve">Derecho de las telecomunicaciones</w:t>
            </w:r>
          </w:p>
        </w:tc>
        <w:tc>
          <w:tcPr/>
          <w:p>
            <w:pPr>
              <w:pStyle w:val="Compact"/>
            </w:pPr>
            <w:r>
              <w:t xml:space="preserve">La infraestructura y los servicios de transmisión</w:t>
            </w:r>
          </w:p>
        </w:tc>
        <w:tc>
          <w:tcPr/>
          <w:p>
            <w:pPr>
              <w:pStyle w:val="Compact"/>
            </w:pPr>
            <w:r>
              <w:t xml:space="preserve">Ley 1341 de 2009 y la CRC</w:t>
            </w:r>
          </w:p>
        </w:tc>
      </w:tr>
    </w:tbl>
    <w:p>
      <w:pPr>
        <w:pStyle w:val="BodyText"/>
      </w:pPr>
      <w:r>
        <w:rPr>
          <w:b/>
          <w:bCs/>
        </w:rPr>
        <w:t xml:space="preserve">El debate de la autonomía.</w:t>
      </w:r>
      <w:r>
        <w:t xml:space="preserve"> </w:t>
      </w:r>
      <w:r>
        <w:t xml:space="preserve">Se exigen cuatro campos: normativo, docente, científico e institucional. En Colombia los cuatro existen: leyes estatutarias y ordinarias específicas; cátedras y posgrados (Departamento de Derecho Informático del Externado; GECTI de Uniandes desde 2001); doctrina y revistas; autoridades como la Delegatura para la Protección de Datos Personales de la SIC, la CRC y el MinTIC. Posición de la clase: disciplina con objeto, principios e instituciones propios, pero transversal.</w:t>
      </w:r>
    </w:p>
    <w:bookmarkEnd w:id="23"/>
    <w:bookmarkStart w:id="24" w:name="evolución-cuatro-etapas"/>
    <w:p>
      <w:pPr>
        <w:pStyle w:val="Heading3"/>
      </w:pPr>
      <w:r>
        <w:t xml:space="preserve">6.2 Evolución: cuatro etapas</w:t>
      </w:r>
    </w:p>
    <w:p>
      <w:pPr>
        <w:pStyle w:val="FirstParagraph"/>
      </w:pPr>
      <w:r>
        <w:rPr>
          <w:b/>
          <w:bCs/>
        </w:rPr>
        <w:t xml:space="preserve">Etapa 1 (1948-1990): cibernética y primeras leyes de datos.</w:t>
      </w:r>
      <w:r>
        <w:t xml:space="preserve"> </w:t>
      </w:r>
      <w:r>
        <w:t xml:space="preserve">Wiener,</w:t>
      </w:r>
      <w:r>
        <w:t xml:space="preserve"> </w:t>
      </w:r>
      <w:r>
        <w:rPr>
          <w:i/>
          <w:iCs/>
        </w:rPr>
        <w:t xml:space="preserve">Cibernética</w:t>
      </w:r>
      <w:r>
        <w:t xml:space="preserve"> </w:t>
      </w:r>
      <w:r>
        <w:t xml:space="preserve">(1948); Losano acuña</w:t>
      </w:r>
      <w:r>
        <w:t xml:space="preserve"> </w:t>
      </w:r>
      <w:r>
        <w:rPr>
          <w:i/>
          <w:iCs/>
        </w:rPr>
        <w:t xml:space="preserve">iuscibernética</w:t>
      </w:r>
      <w:r>
        <w:t xml:space="preserve"> </w:t>
      </w:r>
      <w:r>
        <w:t xml:space="preserve">y Frosini publica</w:t>
      </w:r>
      <w:r>
        <w:t xml:space="preserve"> </w:t>
      </w:r>
      <w:r>
        <w:rPr>
          <w:i/>
          <w:iCs/>
        </w:rPr>
        <w:t xml:space="preserve">Cibernética, derecho y sociedad</w:t>
      </w:r>
      <w:r>
        <w:t xml:space="preserve"> </w:t>
      </w:r>
      <w:r>
        <w:t xml:space="preserve">(1968). Leyes de datos de Hesse (1970), Suecia (1973), Estados Unidos (1974) y Francia (1978); Convenio 108 del Consejo de Europa (1981). En Colombia, la Constitución de 1991 constitucionaliza el habeas data (art. 15) y la Corte lo desarrolla desde la T-414 de 1992.</w:t>
      </w:r>
    </w:p>
    <w:p>
      <w:pPr>
        <w:pStyle w:val="BodyText"/>
      </w:pPr>
      <w:r>
        <w:rPr>
          <w:b/>
          <w:bCs/>
        </w:rPr>
        <w:t xml:space="preserve">Etapa 2 (1990-2008): comercio electrónico y equivalencia funcional.</w:t>
      </w:r>
      <w:r>
        <w:t xml:space="preserve"> </w:t>
      </w:r>
      <w:r>
        <w:t xml:space="preserve">Ley Modelo de la CNUDMI sobre Comercio Electrónico (1996) y sobre Firmas Electrónicas (2001). Colombia la adopta con la Ley 527 de 1999: mensajes de datos, equivalentes funcionales, admisibilidad y fuerza probatoria, firma digital y entidades de certificación. Directiva europea 95/46. Lessig,</w:t>
      </w:r>
      <w:r>
        <w:t xml:space="preserve"> </w:t>
      </w:r>
      <w:r>
        <w:rPr>
          <w:i/>
          <w:iCs/>
        </w:rPr>
        <w:t xml:space="preserve">Code and other laws of cyberspace</w:t>
      </w:r>
      <w:r>
        <w:t xml:space="preserve"> </w:t>
      </w:r>
      <w:r>
        <w:t xml:space="preserve">(1999): el código también regula.</w:t>
      </w:r>
    </w:p>
    <w:p>
      <w:pPr>
        <w:pStyle w:val="BodyText"/>
      </w:pPr>
      <w:r>
        <w:rPr>
          <w:b/>
          <w:bCs/>
        </w:rPr>
        <w:t xml:space="preserve">Etapa 3 (2001-2016): ciberdelincuencia, gobierno digital y datos como derecho fundamental.</w:t>
      </w:r>
      <w:r>
        <w:t xml:space="preserve"> </w:t>
      </w:r>
      <w:r>
        <w:t xml:space="preserve">Convenio de Budapest (2001), aprobado en Colombia por la Ley 1928 de 2018 (C-224 de 2019). Ley 1273 de 2009: bien jurídico de la protección de la información y de los datos (arts. 269A a 269J del Código Penal). Ley 1266 de 2008 (habeas data financiero) y Ley 1581 de 2012 (C-748 de 2011), reglamentada por el Decreto 1377 de 2013 y compilada en el Decreto 1074 de 2015. Ley 1341 de 2009 (sector TIC) y Ley 1712 de 2014 (transparencia). RGPD europeo (2016).</w:t>
      </w:r>
    </w:p>
    <w:p>
      <w:pPr>
        <w:pStyle w:val="BodyText"/>
      </w:pPr>
      <w:r>
        <w:rPr>
          <w:b/>
          <w:bCs/>
        </w:rPr>
        <w:t xml:space="preserve">Etapa 4 (2017-2026): inteligencia artificial y justicia digital.</w:t>
      </w:r>
      <w:r>
        <w:t xml:space="preserve"> </w:t>
      </w:r>
      <w:r>
        <w:t xml:space="preserve">CONPES 3975 de 2019 y CONPES 4144 de 2025; Ley 2213 de 2022 (justicia digital permanente); Circular Externa 002 de 2024 de la SIC (datos en sistemas de IA); T-323 de 2024; STC17832-2025 de la Corte Suprema; Reglamento europeo de IA (2024). La pregunta ya no es solo quién controla la información, sino quién responde por la decisión que una máquina ayuda a tomar.</w:t>
      </w:r>
    </w:p>
    <w:bookmarkEnd w:id="24"/>
    <w:bookmarkStart w:id="25" w:name="objeto-fuentes-y-principios"/>
    <w:p>
      <w:pPr>
        <w:pStyle w:val="Heading3"/>
      </w:pPr>
      <w:r>
        <w:t xml:space="preserve">6.3 Objeto, fuentes y principios</w:t>
      </w:r>
    </w:p>
    <w:p>
      <w:pPr>
        <w:pStyle w:val="FirstParagraph"/>
      </w:pPr>
      <w:r>
        <w:rPr>
          <w:b/>
          <w:bCs/>
        </w:rPr>
        <w:t xml:space="preserve">Objeto.</w:t>
      </w:r>
      <w:r>
        <w:t xml:space="preserve"> </w:t>
      </w:r>
      <w:r>
        <w:t xml:space="preserve">(i) La información sobre las personas; (ii) los actos y hechos jurídicos por medios electrónicos; (iii) las conductas lesivas contra sistemas e información. La IA atraviesa los tres.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Nivel</w:t>
            </w:r>
          </w:p>
        </w:tc>
        <w:tc>
          <w:tcPr/>
          <w:p>
            <w:pPr>
              <w:pStyle w:val="Compact"/>
            </w:pPr>
            <w:r>
              <w:t xml:space="preserve">Fuente</w:t>
            </w:r>
          </w:p>
        </w:tc>
        <w:tc>
          <w:tcPr/>
          <w:p>
            <w:pPr>
              <w:pStyle w:val="Compact"/>
            </w:pPr>
            <w:r>
              <w:t xml:space="preserve">Contenido de cabecera</w:t>
            </w:r>
          </w:p>
        </w:tc>
      </w:tr>
      <w:tr>
        <w:tc>
          <w:tcPr/>
          <w:p>
            <w:pPr>
              <w:pStyle w:val="Compact"/>
            </w:pPr>
            <w:r>
              <w:t xml:space="preserve">Constitución de 1991</w:t>
            </w:r>
          </w:p>
        </w:tc>
        <w:tc>
          <w:tcPr/>
          <w:p>
            <w:pPr>
              <w:pStyle w:val="Compact"/>
            </w:pPr>
            <w:r>
              <w:t xml:space="preserve">Arts. 15, 20, 61, 74</w:t>
            </w:r>
          </w:p>
        </w:tc>
        <w:tc>
          <w:tcPr/>
          <w:p>
            <w:pPr>
              <w:pStyle w:val="Compact"/>
            </w:pPr>
            <w:r>
              <w:t xml:space="preserve">Intimidad y habeas data; libertad de expresión e información; propiedad intelectual; acceso a documentos públicos</w:t>
            </w:r>
          </w:p>
        </w:tc>
      </w:tr>
      <w:tr>
        <w:tc>
          <w:tcPr/>
          <w:p>
            <w:pPr>
              <w:pStyle w:val="Compact"/>
            </w:pPr>
            <w:r>
              <w:t xml:space="preserve">Tratados y soft law</w:t>
            </w:r>
          </w:p>
        </w:tc>
        <w:tc>
          <w:tcPr/>
          <w:p>
            <w:pPr>
              <w:pStyle w:val="Compact"/>
            </w:pPr>
            <w:r>
              <w:t xml:space="preserve">Convenio de Budapest (Ley 1928 de 2018); Convenio 108; Recomendación UNESCO sobre ética de la IA (2021); principios OCDE (2019)</w:t>
            </w:r>
          </w:p>
        </w:tc>
        <w:tc>
          <w:tcPr/>
          <w:p>
            <w:pPr>
              <w:pStyle w:val="Compact"/>
            </w:pPr>
            <w:r>
              <w:t xml:space="preserve">Tipos penales y cooperación; estándares de datos; principios para la IA</w:t>
            </w:r>
          </w:p>
        </w:tc>
      </w:tr>
      <w:tr>
        <w:tc>
          <w:tcPr/>
          <w:p>
            <w:pPr>
              <w:pStyle w:val="Compact"/>
            </w:pPr>
            <w:r>
              <w:t xml:space="preserve">Leyes estatutarias</w:t>
            </w:r>
          </w:p>
        </w:tc>
        <w:tc>
          <w:tcPr/>
          <w:p>
            <w:pPr>
              <w:pStyle w:val="Compact"/>
            </w:pPr>
            <w:r>
              <w:t xml:space="preserve">Ley 1266 de 2008; Ley 1581 de 2012; Ley 1712 de 2014</w:t>
            </w:r>
          </w:p>
        </w:tc>
        <w:tc>
          <w:tcPr/>
          <w:p>
            <w:pPr>
              <w:pStyle w:val="Compact"/>
            </w:pPr>
            <w:r>
              <w:t xml:space="preserve">Habeas data financiero; régimen general de datos; transparencia</w:t>
            </w:r>
          </w:p>
        </w:tc>
      </w:tr>
      <w:tr>
        <w:tc>
          <w:tcPr/>
          <w:p>
            <w:pPr>
              <w:pStyle w:val="Compact"/>
            </w:pPr>
            <w:r>
              <w:t xml:space="preserve">Leyes ordinarias</w:t>
            </w:r>
          </w:p>
        </w:tc>
        <w:tc>
          <w:tcPr/>
          <w:p>
            <w:pPr>
              <w:pStyle w:val="Compact"/>
            </w:pPr>
            <w:r>
              <w:t xml:space="preserve">Ley 527 de 1999; Ley 1273 de 2009; Ley 1341 de 2009; Ley 2213 de 2022</w:t>
            </w:r>
          </w:p>
        </w:tc>
        <w:tc>
          <w:tcPr/>
          <w:p>
            <w:pPr>
              <w:pStyle w:val="Compact"/>
            </w:pPr>
            <w:r>
              <w:t xml:space="preserve">Mensajes de datos y firmas; delitos informáticos; sector TIC; justicia digital</w:t>
            </w:r>
          </w:p>
        </w:tc>
      </w:tr>
      <w:tr>
        <w:tc>
          <w:tcPr/>
          <w:p>
            <w:pPr>
              <w:pStyle w:val="Compact"/>
            </w:pPr>
            <w:r>
              <w:t xml:space="preserve">Reglamentos y regulación</w:t>
            </w:r>
          </w:p>
        </w:tc>
        <w:tc>
          <w:tcPr/>
          <w:p>
            <w:pPr>
              <w:pStyle w:val="Compact"/>
            </w:pPr>
            <w:r>
              <w:t xml:space="preserve">Decreto 1377 de 2013 y Decreto 1074 de 2015; Circular Externa 002 de 2024 de la SIC; resoluciones de la CRC</w:t>
            </w:r>
          </w:p>
        </w:tc>
        <w:tc>
          <w:tcPr/>
          <w:p>
            <w:pPr>
              <w:pStyle w:val="Compact"/>
            </w:pPr>
            <w:r>
              <w:t xml:space="preserve">Desarrollo de la Ley 1581; IA y datos; comunicaciones</w:t>
            </w:r>
          </w:p>
        </w:tc>
      </w:tr>
      <w:tr>
        <w:tc>
          <w:tcPr/>
          <w:p>
            <w:pPr>
              <w:pStyle w:val="Compact"/>
            </w:pPr>
            <w:r>
              <w:t xml:space="preserve">Jurisprudencia</w:t>
            </w:r>
          </w:p>
        </w:tc>
        <w:tc>
          <w:tcPr/>
          <w:p>
            <w:pPr>
              <w:pStyle w:val="Compact"/>
            </w:pPr>
            <w:r>
              <w:t xml:space="preserve">T-414 de 1992, SU-082 de 1995, C-748 de 2011, T-277 de 2015, T-323 de 2024 (Corte Constitucional); STC17832-2025 (Corte Suprema)</w:t>
            </w:r>
          </w:p>
        </w:tc>
        <w:tc>
          <w:tcPr/>
          <w:p>
            <w:pPr>
              <w:pStyle w:val="Compact"/>
            </w:pPr>
            <w:r>
              <w:t xml:space="preserve">Habeas data; control de la ley de datos; derecho al olvido; IA en la decisión judicial</w:t>
            </w:r>
          </w:p>
        </w:tc>
      </w:tr>
      <w:tr>
        <w:tc>
          <w:tcPr/>
          <w:p>
            <w:pPr>
              <w:pStyle w:val="Compact"/>
            </w:pPr>
            <w:r>
              <w:t xml:space="preserve">Autorregulación y código</w:t>
            </w:r>
          </w:p>
        </w:tc>
        <w:tc>
          <w:tcPr/>
          <w:p>
            <w:pPr>
              <w:pStyle w:val="Compact"/>
            </w:pPr>
            <w:r>
              <w:t xml:space="preserve">Políticas de tratamiento, términos de servicio, estándares técnicos, arquitectura de los sistemas</w:t>
            </w:r>
          </w:p>
        </w:tc>
        <w:tc>
          <w:tcPr/>
          <w:p>
            <w:pPr>
              <w:pStyle w:val="Compact"/>
            </w:pPr>
            <w:r>
              <w:t xml:space="preserve">La «lex informatica»: el diseño técnico también regula</w:t>
            </w:r>
          </w:p>
        </w:tc>
      </w:tr>
    </w:tbl>
    <w:p>
      <w:pPr>
        <w:pStyle w:val="BodyText"/>
      </w:pPr>
      <w:r>
        <w:rPr>
          <w:b/>
          <w:bCs/>
        </w:rPr>
        <w:t xml:space="preserve">Principios estructurales.</w:t>
      </w:r>
      <w:r>
        <w:t xml:space="preserve"> </w:t>
      </w:r>
      <w:r>
        <w:t xml:space="preserve">(1) Equivalencia funcional (Ley 527, arts. 6 a 8). (2) Neutralidad tecnológica. (3) No discriminación de los mensajes de datos (Ley 527, arts. 5 y 10). (4) Autodeterminación informativa (art. 15 C.P.; Ley 1581, art. 4). (5) Responsabilidad demostrada (Decreto 1377 de 2013, arts. 26 y 27). (6) Supervisión humana y no sustitución del juicio (T-323 de 2024). (7) Transparencia y explicabilidad (T-323 de 2024; Circular 002 de 2024 de la SIC).</w:t>
      </w:r>
    </w:p>
    <w:bookmarkEnd w:id="25"/>
    <w:bookmarkStart w:id="26" w:name="problemas-contemporáneos-2024-2026"/>
    <w:p>
      <w:pPr>
        <w:pStyle w:val="Heading3"/>
      </w:pPr>
      <w:r>
        <w:t xml:space="preserve">6.4 Problemas contemporáneos (2024-2026)</w:t>
      </w:r>
    </w:p>
    <w:p>
      <w:pPr>
        <w:pStyle w:val="FirstParagraph"/>
      </w:pPr>
      <w:r>
        <w:t xml:space="preserve">IA generativa en la justicia y la práctica jurídica (alucinaciones, confidencialidad, trazabilidad); biometría y datos sensibles; deepfakes y clonación de voz; fraude digital y ciberdelincuencia; decisiones automatizadas en crédito, salud, empleo y Estado; jurisdicción y territorialidad (proveedores en el exterior, transferencia y transmisión internacional de datos); brecha digital y debido proceso en la justicia digital permanente.</w:t>
      </w:r>
    </w:p>
    <w:bookmarkEnd w:id="26"/>
    <w:bookmarkStart w:id="27" w:name="mapa-de-campos"/>
    <w:p>
      <w:pPr>
        <w:pStyle w:val="Heading3"/>
      </w:pPr>
      <w:r>
        <w:t xml:space="preserve">6.5 Mapa de campos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Pregunta que responde</w:t>
            </w:r>
          </w:p>
        </w:tc>
        <w:tc>
          <w:tcPr/>
          <w:p>
            <w:pPr>
              <w:pStyle w:val="Compact"/>
            </w:pPr>
            <w:r>
              <w:t xml:space="preserve">Norma de cabecera</w:t>
            </w:r>
          </w:p>
        </w:tc>
        <w:tc>
          <w:tcPr/>
          <w:p>
            <w:pPr>
              <w:pStyle w:val="Compact"/>
            </w:pPr>
            <w:r>
              <w:t xml:space="preserve">Caso o referencia</w:t>
            </w:r>
          </w:p>
        </w:tc>
      </w:tr>
      <w:tr>
        <w:tc>
          <w:tcPr/>
          <w:p>
            <w:pPr>
              <w:pStyle w:val="Compact"/>
            </w:pPr>
            <w:r>
              <w:t xml:space="preserve">Datos personales y habeas data</w:t>
            </w:r>
          </w:p>
        </w:tc>
        <w:tc>
          <w:tcPr/>
          <w:p>
            <w:pPr>
              <w:pStyle w:val="Compact"/>
            </w:pPr>
            <w:r>
              <w:t xml:space="preserve">¿Quién controla la información sobre mí?</w:t>
            </w:r>
          </w:p>
        </w:tc>
        <w:tc>
          <w:tcPr/>
          <w:p>
            <w:pPr>
              <w:pStyle w:val="Compact"/>
            </w:pPr>
            <w:r>
              <w:t xml:space="preserve">Art. 15 C.P.; Ley 1266 de 2008; Ley 1581 de 2012</w:t>
            </w:r>
          </w:p>
        </w:tc>
        <w:tc>
          <w:tcPr/>
          <w:p>
            <w:pPr>
              <w:pStyle w:val="Compact"/>
            </w:pPr>
            <w:r>
              <w:t xml:space="preserve">T-414 de 1992; C-748 de 2011; video de Véliz</w:t>
            </w:r>
          </w:p>
        </w:tc>
      </w:tr>
      <w:tr>
        <w:tc>
          <w:tcPr/>
          <w:p>
            <w:pPr>
              <w:pStyle w:val="Compact"/>
            </w:pPr>
            <w:r>
              <w:t xml:space="preserve">Comercio electrónico y contratación</w:t>
            </w:r>
          </w:p>
        </w:tc>
        <w:tc>
          <w:tcPr/>
          <w:p>
            <w:pPr>
              <w:pStyle w:val="Compact"/>
            </w:pPr>
            <w:r>
              <w:t xml:space="preserve">¿Vale lo que pacto por medios electrónicos?</w:t>
            </w:r>
          </w:p>
        </w:tc>
        <w:tc>
          <w:tcPr/>
          <w:p>
            <w:pPr>
              <w:pStyle w:val="Compact"/>
            </w:pPr>
            <w:r>
              <w:t xml:space="preserve">Ley 527 de 1999</w:t>
            </w:r>
          </w:p>
        </w:tc>
        <w:tc>
          <w:tcPr/>
          <w:p>
            <w:pPr>
              <w:pStyle w:val="Compact"/>
            </w:pPr>
            <w:r>
              <w:t xml:space="preserve">Contratación por WhatsApp y correo; firma electrónica</w:t>
            </w:r>
          </w:p>
        </w:tc>
      </w:tr>
      <w:tr>
        <w:tc>
          <w:tcPr/>
          <w:p>
            <w:pPr>
              <w:pStyle w:val="Compact"/>
            </w:pPr>
            <w:r>
              <w:t xml:space="preserve">Prueba electrónica</w:t>
            </w:r>
          </w:p>
        </w:tc>
        <w:tc>
          <w:tcPr/>
          <w:p>
            <w:pPr>
              <w:pStyle w:val="Compact"/>
            </w:pPr>
            <w:r>
              <w:t xml:space="preserve">¿Cómo se aporta y valora un mensaje de datos?</w:t>
            </w:r>
          </w:p>
        </w:tc>
        <w:tc>
          <w:tcPr/>
          <w:p>
            <w:pPr>
              <w:pStyle w:val="Compact"/>
            </w:pPr>
            <w:r>
              <w:t xml:space="preserve">Ley 527, arts. 10 y 11; CGP, art. 247</w:t>
            </w:r>
          </w:p>
        </w:tc>
        <w:tc>
          <w:tcPr/>
          <w:p>
            <w:pPr>
              <w:pStyle w:val="Compact"/>
            </w:pPr>
            <w:r>
              <w:t xml:space="preserve">Capturas de pantalla y cadena de custodia</w:t>
            </w:r>
          </w:p>
        </w:tc>
      </w:tr>
      <w:tr>
        <w:tc>
          <w:tcPr/>
          <w:p>
            <w:pPr>
              <w:pStyle w:val="Compact"/>
            </w:pPr>
            <w:r>
              <w:t xml:space="preserve">Delitos informáticos</w:t>
            </w:r>
          </w:p>
        </w:tc>
        <w:tc>
          <w:tcPr/>
          <w:p>
            <w:pPr>
              <w:pStyle w:val="Compact"/>
            </w:pPr>
            <w:r>
              <w:t xml:space="preserve">¿Qué conductas digitales son delito?</w:t>
            </w:r>
          </w:p>
        </w:tc>
        <w:tc>
          <w:tcPr/>
          <w:p>
            <w:pPr>
              <w:pStyle w:val="Compact"/>
            </w:pPr>
            <w:r>
              <w:t xml:space="preserve">Ley 1273 de 2009; Convenio de Budapest</w:t>
            </w:r>
          </w:p>
        </w:tc>
        <w:tc>
          <w:tcPr/>
          <w:p>
            <w:pPr>
              <w:pStyle w:val="Compact"/>
            </w:pPr>
            <w:r>
              <w:t xml:space="preserve">Acceso abusivo, hurto por medios informáticos, suplantación</w:t>
            </w:r>
          </w:p>
        </w:tc>
      </w:tr>
      <w:tr>
        <w:tc>
          <w:tcPr/>
          <w:p>
            <w:pPr>
              <w:pStyle w:val="Compact"/>
            </w:pPr>
            <w:r>
              <w:t xml:space="preserve">Propiedad intelectual digital</w:t>
            </w:r>
          </w:p>
        </w:tc>
        <w:tc>
          <w:tcPr/>
          <w:p>
            <w:pPr>
              <w:pStyle w:val="Compact"/>
            </w:pPr>
            <w:r>
              <w:t xml:space="preserve">¿A quién pertenece el software, la obra y el dato?</w:t>
            </w:r>
          </w:p>
        </w:tc>
        <w:tc>
          <w:tcPr/>
          <w:p>
            <w:pPr>
              <w:pStyle w:val="Compact"/>
            </w:pPr>
            <w:r>
              <w:t xml:space="preserve">Ley 23 de 1982; Decisión Andina 351; Ley 1915 de 2018</w:t>
            </w:r>
          </w:p>
        </w:tc>
        <w:tc>
          <w:tcPr/>
          <w:p>
            <w:pPr>
              <w:pStyle w:val="Compact"/>
            </w:pPr>
            <w:r>
              <w:t xml:space="preserve">Software, bases de datos, obras generadas con IA</w:t>
            </w:r>
          </w:p>
        </w:tc>
      </w:tr>
      <w:tr>
        <w:tc>
          <w:tcPr/>
          <w:p>
            <w:pPr>
              <w:pStyle w:val="Compact"/>
            </w:pPr>
            <w:r>
              <w:t xml:space="preserve">Gobierno y justicia digital</w:t>
            </w:r>
          </w:p>
        </w:tc>
        <w:tc>
          <w:tcPr/>
          <w:p>
            <w:pPr>
              <w:pStyle w:val="Compact"/>
            </w:pPr>
            <w:r>
              <w:t xml:space="preserve">¿Cómo se relaciona el ciudadano con el Estado en línea?</w:t>
            </w:r>
          </w:p>
        </w:tc>
        <w:tc>
          <w:tcPr/>
          <w:p>
            <w:pPr>
              <w:pStyle w:val="Compact"/>
            </w:pPr>
            <w:r>
              <w:t xml:space="preserve">CPACA; Ley 2213 de 2022; Ley 1712 de 2014</w:t>
            </w:r>
          </w:p>
        </w:tc>
        <w:tc>
          <w:tcPr/>
          <w:p>
            <w:pPr>
              <w:pStyle w:val="Compact"/>
            </w:pPr>
            <w:r>
              <w:t xml:space="preserve">Expediente digital; notificaciones electrónicas</w:t>
            </w:r>
          </w:p>
        </w:tc>
      </w:tr>
      <w:tr>
        <w:tc>
          <w:tcPr/>
          <w:p>
            <w:pPr>
              <w:pStyle w:val="Compact"/>
            </w:pPr>
            <w:r>
              <w:t xml:space="preserve">Inteligencia artificial</w:t>
            </w:r>
          </w:p>
        </w:tc>
        <w:tc>
          <w:tcPr/>
          <w:p>
            <w:pPr>
              <w:pStyle w:val="Compact"/>
            </w:pPr>
            <w:r>
              <w:t xml:space="preserve">¿Quién responde por la decisión asistida por una máquina?</w:t>
            </w:r>
          </w:p>
        </w:tc>
        <w:tc>
          <w:tcPr/>
          <w:p>
            <w:pPr>
              <w:pStyle w:val="Compact"/>
            </w:pPr>
            <w:r>
              <w:t xml:space="preserve">CONPES 4144 de 2025; Circular 002 de 2024 SIC; T-323 de 2024</w:t>
            </w:r>
          </w:p>
        </w:tc>
        <w:tc>
          <w:tcPr/>
          <w:p>
            <w:pPr>
              <w:pStyle w:val="Compact"/>
            </w:pPr>
            <w:r>
              <w:t xml:space="preserve">Juez y ChatGPT; STC17832-2025</w:t>
            </w:r>
          </w:p>
        </w:tc>
      </w:tr>
    </w:tbl>
    <w:bookmarkEnd w:id="27"/>
    <w:bookmarkEnd w:id="28"/>
    <w:bookmarkStart w:id="29" w:name="agenda-minuto-a-minuto-120-minutos"/>
    <w:p>
      <w:pPr>
        <w:pStyle w:val="Heading2"/>
      </w:pPr>
      <w:r>
        <w:t xml:space="preserve">7. Agenda minuto a minuto (120 minutos)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Minuto</w:t>
            </w:r>
          </w:p>
        </w:tc>
        <w:tc>
          <w:tcPr/>
          <w:p>
            <w:pPr>
              <w:pStyle w:val="Compact"/>
            </w:pPr>
            <w:r>
              <w:t xml:space="preserve">Bloque</w:t>
            </w:r>
          </w:p>
        </w:tc>
        <w:tc>
          <w:tcPr/>
          <w:p>
            <w:pPr>
              <w:pStyle w:val="Compact"/>
            </w:pPr>
            <w:r>
              <w:t xml:space="preserve">Qué ocurre</w:t>
            </w:r>
          </w:p>
        </w:tc>
        <w:tc>
          <w:tcPr/>
          <w:p>
            <w:pPr>
              <w:pStyle w:val="Compact"/>
            </w:pPr>
            <w:r>
              <w:t xml:space="preserve">Material</w:t>
            </w:r>
          </w:p>
        </w:tc>
      </w:tr>
      <w:tr>
        <w:tc>
          <w:tcPr/>
          <w:p>
            <w:pPr>
              <w:pStyle w:val="Compact"/>
            </w:pPr>
            <w:r>
              <w:t xml:space="preserve">0-8</w:t>
            </w:r>
          </w:p>
        </w:tc>
        <w:tc>
          <w:tcPr/>
          <w:p>
            <w:pPr>
              <w:pStyle w:val="Compact"/>
            </w:pPr>
            <w:r>
              <w:t xml:space="preserve">Apertura</w:t>
            </w:r>
          </w:p>
        </w:tc>
        <w:tc>
          <w:tcPr/>
          <w:p>
            <w:pPr>
              <w:pStyle w:val="Compact"/>
            </w:pPr>
            <w:r>
              <w:t xml:space="preserve">Dos preguntas detonantes («¿Un juez puede preguntarle a ChatGPT?», «¿Un banco puede guardar su deuda para siempre?»); se recogen tres respuestas rápidas y se anuncian los objetivos</w:t>
            </w:r>
          </w:p>
        </w:tc>
        <w:tc>
          <w:tcPr/>
          <w:p>
            <w:pPr>
              <w:pStyle w:val="Compact"/>
            </w:pPr>
            <w:r>
              <w:t xml:space="preserve">Diapositivas 1-3</w:t>
            </w:r>
          </w:p>
        </w:tc>
      </w:tr>
      <w:tr>
        <w:tc>
          <w:tcPr/>
          <w:p>
            <w:pPr>
              <w:pStyle w:val="Compact"/>
            </w:pPr>
            <w:r>
              <w:t xml:space="preserve">8-25</w:t>
            </w:r>
          </w:p>
        </w:tc>
        <w:tc>
          <w:tcPr/>
          <w:p>
            <w:pPr>
              <w:pStyle w:val="Compact"/>
            </w:pPr>
            <w:r>
              <w:t xml:space="preserve">Fundamentos</w:t>
            </w:r>
          </w:p>
        </w:tc>
        <w:tc>
          <w:tcPr/>
          <w:p>
            <w:pPr>
              <w:pStyle w:val="Compact"/>
            </w:pPr>
            <w:r>
              <w:t xml:space="preserve">Definición, distinciones, autonomía. Ejercicio relámpago: clasificar cinco situaciones</w:t>
            </w:r>
          </w:p>
        </w:tc>
        <w:tc>
          <w:tcPr/>
          <w:p>
            <w:pPr>
              <w:pStyle w:val="Compact"/>
            </w:pPr>
            <w:r>
              <w:t xml:space="preserve">Diapositivas 4-7</w:t>
            </w:r>
          </w:p>
        </w:tc>
      </w:tr>
      <w:tr>
        <w:tc>
          <w:tcPr/>
          <w:p>
            <w:pPr>
              <w:pStyle w:val="Compact"/>
            </w:pPr>
            <w:r>
              <w:t xml:space="preserve">25-45</w:t>
            </w:r>
          </w:p>
        </w:tc>
        <w:tc>
          <w:tcPr/>
          <w:p>
            <w:pPr>
              <w:pStyle w:val="Compact"/>
            </w:pPr>
            <w:r>
              <w:t xml:space="preserve">Evolución, objeto y fuentes</w:t>
            </w:r>
          </w:p>
        </w:tc>
        <w:tc>
          <w:tcPr/>
          <w:p>
            <w:pPr>
              <w:pStyle w:val="Compact"/>
            </w:pPr>
            <w:r>
              <w:t xml:space="preserve">Las cuatro etapas, los hitos colombianos, el objeto y la pirámide de fuentes. Contraste con la lectura: ¿qué agrega o discute el autor?</w:t>
            </w:r>
          </w:p>
        </w:tc>
        <w:tc>
          <w:tcPr/>
          <w:p>
            <w:pPr>
              <w:pStyle w:val="Compact"/>
            </w:pPr>
            <w:r>
              <w:t xml:space="preserve">Diapositivas 8-12; lectura</w:t>
            </w:r>
          </w:p>
        </w:tc>
      </w:tr>
      <w:tr>
        <w:tc>
          <w:tcPr/>
          <w:p>
            <w:pPr>
              <w:pStyle w:val="Compact"/>
            </w:pPr>
            <w:r>
              <w:t xml:space="preserve">45-60</w:t>
            </w:r>
          </w:p>
        </w:tc>
        <w:tc>
          <w:tcPr/>
          <w:p>
            <w:pPr>
              <w:pStyle w:val="Compact"/>
            </w:pPr>
            <w:r>
              <w:t xml:space="preserve">Principios y campos</w:t>
            </w:r>
          </w:p>
        </w:tc>
        <w:tc>
          <w:tcPr/>
          <w:p>
            <w:pPr>
              <w:pStyle w:val="Compact"/>
            </w:pPr>
            <w:r>
              <w:t xml:space="preserve">Siete principios, mapa de siete campos y problemas 2024-2026. Cada grupo recibe un campo y formula la pregunta que responde</w:t>
            </w:r>
          </w:p>
        </w:tc>
        <w:tc>
          <w:tcPr/>
          <w:p>
            <w:pPr>
              <w:pStyle w:val="Compact"/>
            </w:pPr>
            <w:r>
              <w:t xml:space="preserve">Diapositivas 13-16</w:t>
            </w:r>
          </w:p>
        </w:tc>
      </w:tr>
      <w:tr>
        <w:tc>
          <w:tcPr/>
          <w:p>
            <w:pPr>
              <w:pStyle w:val="Compact"/>
            </w:pPr>
            <w:r>
              <w:t xml:space="preserve">60-70</w:t>
            </w:r>
          </w:p>
        </w:tc>
        <w:tc>
          <w:tcPr/>
          <w:p>
            <w:pPr>
              <w:pStyle w:val="Compact"/>
            </w:pPr>
            <w:r>
              <w:t xml:space="preserve">Pausa</w:t>
            </w:r>
          </w:p>
        </w:tc>
        <w:tc>
          <w:tcPr/>
          <w:p>
            <w:pPr>
              <w:pStyle w:val="Compact"/>
            </w:pPr>
          </w:p>
        </w:tc>
        <w:tc>
          <w:tcPr/>
          <w:p>
            <w:pPr>
              <w:pStyle w:val="Compact"/>
            </w:pPr>
          </w:p>
        </w:tc>
      </w:tr>
      <w:tr>
        <w:tc>
          <w:tcPr/>
          <w:p>
            <w:pPr>
              <w:pStyle w:val="Compact"/>
            </w:pPr>
            <w:r>
              <w:t xml:space="preserve">70-82</w:t>
            </w:r>
          </w:p>
        </w:tc>
        <w:tc>
          <w:tcPr/>
          <w:p>
            <w:pPr>
              <w:pStyle w:val="Compact"/>
            </w:pPr>
            <w:r>
              <w:t xml:space="preserve">Video de apoyo</w:t>
            </w:r>
          </w:p>
        </w:tc>
        <w:tc>
          <w:tcPr/>
          <w:p>
            <w:pPr>
              <w:pStyle w:val="Compact"/>
            </w:pPr>
            <w:r>
              <w:t xml:space="preserve">Proyección completa (13:50) y tres preguntas de discusión</w:t>
            </w:r>
          </w:p>
        </w:tc>
        <w:tc>
          <w:tcPr/>
          <w:p>
            <w:pPr>
              <w:pStyle w:val="Compact"/>
            </w:pPr>
            <w:r>
              <w:t xml:space="preserve">Diapositivas 17-19; video</w:t>
            </w:r>
          </w:p>
        </w:tc>
      </w:tr>
      <w:tr>
        <w:tc>
          <w:tcPr/>
          <w:p>
            <w:pPr>
              <w:pStyle w:val="Compact"/>
            </w:pPr>
            <w:r>
              <w:t xml:space="preserve">82-105</w:t>
            </w:r>
          </w:p>
        </w:tc>
        <w:tc>
          <w:tcPr/>
          <w:p>
            <w:pPr>
              <w:pStyle w:val="Compact"/>
            </w:pPr>
            <w:r>
              <w:t xml:space="preserve">Taller: sentencia hito</w:t>
            </w:r>
          </w:p>
        </w:tc>
        <w:tc>
          <w:tcPr/>
          <w:p>
            <w:pPr>
              <w:pStyle w:val="Compact"/>
            </w:pPr>
            <w:r>
              <w:t xml:space="preserve">Grupos de cuatro completan la matriz de análisis de la T-323 de 2024 y la contrastan con la STC17832-2025. Puesta en común</w:t>
            </w:r>
          </w:p>
        </w:tc>
        <w:tc>
          <w:tcPr/>
          <w:p>
            <w:pPr>
              <w:pStyle w:val="Compact"/>
            </w:pPr>
            <w:r>
              <w:t xml:space="preserve">Diapositivas 20-25; guía de trabajo</w:t>
            </w:r>
          </w:p>
        </w:tc>
      </w:tr>
      <w:tr>
        <w:tc>
          <w:tcPr/>
          <w:p>
            <w:pPr>
              <w:pStyle w:val="Compact"/>
            </w:pPr>
            <w:r>
              <w:t xml:space="preserve">105-115</w:t>
            </w:r>
          </w:p>
        </w:tc>
        <w:tc>
          <w:tcPr/>
          <w:p>
            <w:pPr>
              <w:pStyle w:val="Compact"/>
            </w:pPr>
            <w:r>
              <w:t xml:space="preserve">Aplicación</w:t>
            </w:r>
          </w:p>
        </w:tc>
        <w:tc>
          <w:tcPr/>
          <w:p>
            <w:pPr>
              <w:pStyle w:val="Compact"/>
            </w:pPr>
            <w:r>
              <w:t xml:space="preserve">Tres minicasos; cada grupo resuelve uno con la regla de la sentencia</w:t>
            </w:r>
          </w:p>
        </w:tc>
        <w:tc>
          <w:tcPr/>
          <w:p>
            <w:pPr>
              <w:pStyle w:val="Compact"/>
            </w:pPr>
            <w:r>
              <w:t xml:space="preserve">Diapositiva 26; guía</w:t>
            </w:r>
          </w:p>
        </w:tc>
      </w:tr>
      <w:tr>
        <w:tc>
          <w:tcPr/>
          <w:p>
            <w:pPr>
              <w:pStyle w:val="Compact"/>
            </w:pPr>
            <w:r>
              <w:t xml:space="preserve">115-120</w:t>
            </w:r>
          </w:p>
        </w:tc>
        <w:tc>
          <w:tcPr/>
          <w:p>
            <w:pPr>
              <w:pStyle w:val="Compact"/>
            </w:pPr>
            <w:r>
              <w:t xml:space="preserve">Cierre y evaluación</w:t>
            </w:r>
          </w:p>
        </w:tc>
        <w:tc>
          <w:tcPr/>
          <w:p>
            <w:pPr>
              <w:pStyle w:val="Compact"/>
            </w:pPr>
            <w:r>
              <w:t xml:space="preserve">Conclusiones, quiz de cinco preguntas y ticket de salida</w:t>
            </w:r>
          </w:p>
        </w:tc>
        <w:tc>
          <w:tcPr/>
          <w:p>
            <w:pPr>
              <w:pStyle w:val="Compact"/>
            </w:pPr>
            <w:r>
              <w:t xml:space="preserve">Diapositivas 27-29</w:t>
            </w:r>
          </w:p>
        </w:tc>
      </w:tr>
    </w:tbl>
    <w:p>
      <w:pPr>
        <w:pStyle w:val="BodyText"/>
      </w:pPr>
      <w:r>
        <w:rPr>
          <w:b/>
          <w:bCs/>
        </w:rPr>
        <w:t xml:space="preserve">Si la clase se parte en dos sesiones de 60 minutos:</w:t>
      </w:r>
      <w:r>
        <w:t xml:space="preserve"> </w:t>
      </w:r>
      <w:r>
        <w:t xml:space="preserve">sesión A, bloques de apertura a principios y campos (minutos 0-60); sesión B, video, taller de la sentencia, aplicación y cierre (minutos 70-120), con la lectura y la ficha de la sentencia como tarea intermedia.</w:t>
      </w:r>
    </w:p>
    <w:bookmarkEnd w:id="29"/>
    <w:bookmarkStart w:id="30" w:name="actividades-y-claves-para-el-docente"/>
    <w:p>
      <w:pPr>
        <w:pStyle w:val="Heading2"/>
      </w:pPr>
      <w:r>
        <w:t xml:space="preserve">8. Actividades y claves para el docente</w:t>
      </w:r>
    </w:p>
    <w:p>
      <w:pPr>
        <w:pStyle w:val="FirstParagraph"/>
      </w:pPr>
      <w:r>
        <w:rPr>
          <w:b/>
          <w:bCs/>
        </w:rPr>
        <w:t xml:space="preserve">Antes de la clase (individual).</w:t>
      </w:r>
      <w:r>
        <w:t xml:space="preserve"> </w:t>
      </w:r>
      <w:r>
        <w:t xml:space="preserve">Ficha de lectura de una página: tesis del autor, tres ideas centrales con página, una crítica y la respuesta a la pregunta de la ficha. Lectura de la sentencia con la matriz de la guía.</w:t>
      </w:r>
    </w:p>
    <w:p>
      <w:pPr>
        <w:pStyle w:val="BodyText"/>
      </w:pPr>
      <w:r>
        <w:rPr>
          <w:b/>
          <w:bCs/>
        </w:rPr>
        <w:t xml:space="preserve">Ejercicio relámpago (diapositiva 7). Claves:</w:t>
      </w:r>
      <w:r>
        <w:t xml:space="preserve"> </w:t>
      </w:r>
      <w:r>
        <w:t xml:space="preserve">1 informática jurídica. 2 Derecho Informático (datos personales, Ley 1581 de 2012). 3 Derecho de las telecomunicaciones. 4 Derecho Informático (prueba electrónica, Ley 527 y art. 247 CGP). 5 informática jurídica como herramienta y Derecho Informático como problema regulado (T-323 de 2024).</w:t>
      </w:r>
    </w:p>
    <w:p>
      <w:pPr>
        <w:pStyle w:val="BodyText"/>
      </w:pPr>
      <w:r>
        <w:rPr>
          <w:b/>
          <w:bCs/>
        </w:rPr>
        <w:t xml:space="preserve">Taller de la sentencia (grupal, 23 min).</w:t>
      </w:r>
      <w:r>
        <w:t xml:space="preserve"> </w:t>
      </w:r>
      <w:r>
        <w:t xml:space="preserve">Matriz: hechos, problema jurídico, decisión, ratio, regla, precedente, obiter, utilidad, crítica.</w:t>
      </w:r>
      <w:r>
        <w:t xml:space="preserve"> </w:t>
      </w:r>
      <w:r>
        <w:rPr>
          <w:b/>
          <w:bCs/>
        </w:rPr>
        <w:t xml:space="preserve">Pregunta de contraste:</w:t>
      </w:r>
      <w:r>
        <w:t xml:space="preserve"> </w:t>
      </w:r>
      <w:r>
        <w:t xml:space="preserve">¿la regla de la T-323 habría evitado lo ocurrido en la STC17832-2025?</w:t>
      </w:r>
      <w:r>
        <w:t xml:space="preserve"> </w:t>
      </w:r>
      <w:r>
        <w:rPr>
          <w:b/>
          <w:bCs/>
        </w:rPr>
        <w:t xml:space="preserve">Clave:</w:t>
      </w:r>
      <w:r>
        <w:t xml:space="preserve"> </w:t>
      </w:r>
      <w:r>
        <w:t xml:space="preserve">la regla se dirige a la Rama Judicial y exige verificación y transparencia; el tribunal la incumplió (citas no verificadas, sin evidenciar el uso). Lo que falta para el litigante: un deber expreso de verificación y revelación del uso de IA en los escritos, que hoy se deriva de la lealtad procesal (CGP, art. 78) y del régimen disciplinario del abogado (Ley 1123 de 2007), no de la sentencia.</w:t>
      </w:r>
    </w:p>
    <w:p>
      <w:pPr>
        <w:pStyle w:val="BodyText"/>
      </w:pPr>
      <w:r>
        <w:rPr>
          <w:b/>
          <w:bCs/>
        </w:rPr>
        <w:t xml:space="preserve">Aplicación (grupal, 10 min). Claves.</w:t>
      </w:r>
      <w:r>
        <w:t xml:space="preserve"> </w:t>
      </w:r>
      <w:r>
        <w:rPr>
          <w:i/>
          <w:iCs/>
        </w:rPr>
        <w:t xml:space="preserve">Caso 1 (auto redactado por la máquina):</w:t>
      </w:r>
      <w:r>
        <w:t xml:space="preserve"> </w:t>
      </w:r>
      <w:r>
        <w:t xml:space="preserve">se afectan no sustitución (si no valoró), transparencia, seriedad y verificación y responsabilidad; debió revisar, dejar constancia del uso y verificar las normas; no es nulo si el juez lo examinó y lo hizo suyo, sí lo sería si la decisión fue de la máquina sin valoración.</w:t>
      </w:r>
      <w:r>
        <w:t xml:space="preserve"> </w:t>
      </w:r>
      <w:r>
        <w:rPr>
          <w:i/>
          <w:iCs/>
        </w:rPr>
        <w:t xml:space="preserve">Caso 2 (tutela con cita inexistente):</w:t>
      </w:r>
      <w:r>
        <w:t xml:space="preserve"> </w:t>
      </w:r>
      <w:r>
        <w:t xml:space="preserve">falta a la lealtad y probidad (Ley 1123 de 2007) y puede ser falta disciplinaria; pérdida de credibilidad y eventual temeridad; daño al usuario; protocolo: abrir cada cita en la relatoría, cotejar el extracto con el texto, dejar constancia interna de la herramienta y de la verificación.</w:t>
      </w:r>
      <w:r>
        <w:t xml:space="preserve"> </w:t>
      </w:r>
      <w:r>
        <w:rPr>
          <w:i/>
          <w:iCs/>
        </w:rPr>
        <w:t xml:space="preserve">Caso 3 (EPS que decide sola):</w:t>
      </w:r>
      <w:r>
        <w:t xml:space="preserve"> </w:t>
      </w:r>
      <w:r>
        <w:t xml:space="preserve">salud, habeas data (datos sensibles, Ley 1581), debido proceso administrativo y derecho a una explicación; exigir revisión humana, motivación, información sobre el tratamiento (art. 8 Ley 1581) y, de ser necesario, tutela; apoyarse en control humano y transparencia (T-323 de 2024; Circular 002 de 2024 de la SIC).</w:t>
      </w:r>
    </w:p>
    <w:p>
      <w:pPr>
        <w:pStyle w:val="BodyText"/>
      </w:pPr>
      <w:r>
        <w:rPr>
          <w:b/>
          <w:bCs/>
        </w:rPr>
        <w:t xml:space="preserve">Cierre.</w:t>
      </w:r>
      <w:r>
        <w:t xml:space="preserve"> </w:t>
      </w:r>
      <w:r>
        <w:t xml:space="preserve">Quiz de cinco preguntas (en la guía) y ticket de salida: «una regla que me llevo, una duda que me queda».</w:t>
      </w:r>
    </w:p>
    <w:bookmarkEnd w:id="30"/>
    <w:bookmarkStart w:id="31" w:name="evaluación"/>
    <w:p>
      <w:pPr>
        <w:pStyle w:val="Heading2"/>
      </w:pPr>
      <w:r>
        <w:t xml:space="preserve">9. Evaluación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w:t>
            </w:r>
          </w:p>
        </w:tc>
        <w:tc>
          <w:tcPr/>
          <w:p>
            <w:pPr>
              <w:pStyle w:val="Compact"/>
            </w:pPr>
            <w:r>
              <w:t xml:space="preserve">Peso sugerido</w:t>
            </w:r>
          </w:p>
        </w:tc>
        <w:tc>
          <w:tcPr/>
          <w:p>
            <w:pPr>
              <w:pStyle w:val="Compact"/>
            </w:pPr>
            <w:r>
              <w:t xml:space="preserve">Criterio</w:t>
            </w:r>
          </w:p>
        </w:tc>
      </w:tr>
      <w:tr>
        <w:tc>
          <w:tcPr/>
          <w:p>
            <w:pPr>
              <w:pStyle w:val="Compact"/>
            </w:pPr>
            <w:r>
              <w:t xml:space="preserve">Ficha de lectura</w:t>
            </w:r>
          </w:p>
        </w:tc>
        <w:tc>
          <w:tcPr/>
          <w:p>
            <w:pPr>
              <w:pStyle w:val="Compact"/>
            </w:pPr>
            <w:r>
              <w:t xml:space="preserve">30 %</w:t>
            </w:r>
          </w:p>
        </w:tc>
        <w:tc>
          <w:tcPr/>
          <w:p>
            <w:pPr>
              <w:pStyle w:val="Compact"/>
            </w:pPr>
            <w:r>
              <w:t xml:space="preserve">Comprensión de la tesis del autor y capacidad crítica</w:t>
            </w:r>
          </w:p>
        </w:tc>
      </w:tr>
      <w:tr>
        <w:tc>
          <w:tcPr/>
          <w:p>
            <w:pPr>
              <w:pStyle w:val="Compact"/>
            </w:pPr>
            <w:r>
              <w:t xml:space="preserve">Matriz de la sentencia</w:t>
            </w:r>
          </w:p>
        </w:tc>
        <w:tc>
          <w:tcPr/>
          <w:p>
            <w:pPr>
              <w:pStyle w:val="Compact"/>
            </w:pPr>
            <w:r>
              <w:t xml:space="preserve">40 %</w:t>
            </w:r>
          </w:p>
        </w:tc>
        <w:tc>
          <w:tcPr/>
          <w:p>
            <w:pPr>
              <w:pStyle w:val="Compact"/>
            </w:pPr>
            <w:r>
              <w:t xml:space="preserve">Precisión en hechos, problema, ratio y regla; distinción entre ratio y obiter</w:t>
            </w:r>
          </w:p>
        </w:tc>
      </w:tr>
      <w:tr>
        <w:tc>
          <w:tcPr/>
          <w:p>
            <w:pPr>
              <w:pStyle w:val="Compact"/>
            </w:pPr>
            <w:r>
              <w:t xml:space="preserve">Aplicación y quiz</w:t>
            </w:r>
          </w:p>
        </w:tc>
        <w:tc>
          <w:tcPr/>
          <w:p>
            <w:pPr>
              <w:pStyle w:val="Compact"/>
            </w:pPr>
            <w:r>
              <w:t xml:space="preserve">30 %</w:t>
            </w:r>
          </w:p>
        </w:tc>
        <w:tc>
          <w:tcPr/>
          <w:p>
            <w:pPr>
              <w:pStyle w:val="Compact"/>
            </w:pPr>
            <w:r>
              <w:t xml:space="preserve">Uso correcto de las reglas en los casos; respuestas del quiz</w:t>
            </w:r>
          </w:p>
        </w:tc>
      </w:tr>
    </w:tbl>
    <w:bookmarkEnd w:id="31"/>
    <w:bookmarkStart w:id="32" w:name="banco-de-preguntas-para-discusión"/>
    <w:p>
      <w:pPr>
        <w:pStyle w:val="Heading2"/>
      </w:pPr>
      <w:r>
        <w:t xml:space="preserve">10. Banco de preguntas para discusión</w:t>
      </w:r>
    </w:p>
    <w:p>
      <w:pPr>
        <w:pStyle w:val="Compact"/>
        <w:numPr>
          <w:ilvl w:val="0"/>
          <w:numId w:val="1002"/>
        </w:numPr>
      </w:pPr>
      <w:r>
        <w:t xml:space="preserve">¿Es el Derecho Informático una rama autónoma o un método transversal? Defienda una posición con los cuatro criterios de autonomía.</w:t>
      </w:r>
    </w:p>
    <w:p>
      <w:pPr>
        <w:pStyle w:val="Compact"/>
        <w:numPr>
          <w:ilvl w:val="0"/>
          <w:numId w:val="1002"/>
        </w:numPr>
      </w:pPr>
      <w:r>
        <w:t xml:space="preserve">¿Qué cambia en el razonamiento probatorio cuando el documento es un mensaje de datos? Relacione la Ley 527 de 1999 con el artículo 247 del CGP.</w:t>
      </w:r>
    </w:p>
    <w:p>
      <w:pPr>
        <w:pStyle w:val="Compact"/>
        <w:numPr>
          <w:ilvl w:val="0"/>
          <w:numId w:val="1002"/>
        </w:numPr>
      </w:pPr>
      <w:r>
        <w:t xml:space="preserve">¿Por qué el habeas data es un derecho fundamental autónomo y no una simple manifestación de la intimidad? Use la T-414 de 1992 y la charla de Véliz.</w:t>
      </w:r>
    </w:p>
    <w:p>
      <w:pPr>
        <w:pStyle w:val="Compact"/>
        <w:numPr>
          <w:ilvl w:val="0"/>
          <w:numId w:val="1002"/>
        </w:numPr>
      </w:pPr>
      <w:r>
        <w:t xml:space="preserve">Si la Corte dijo en la T-323 de 2024 que el juez no delegó su decisión, ¿por qué fijó criterios y dio órdenes? ¿Qué tipo de precedente es ese?</w:t>
      </w:r>
    </w:p>
    <w:p>
      <w:pPr>
        <w:pStyle w:val="Compact"/>
        <w:numPr>
          <w:ilvl w:val="0"/>
          <w:numId w:val="1002"/>
        </w:numPr>
      </w:pPr>
      <w:r>
        <w:t xml:space="preserve">¿Debe prohibirse la IA generativa en los despachos judiciales, regularse o dejarse a la autorregulación? Use la lectura y el video.</w:t>
      </w:r>
    </w:p>
    <w:p>
      <w:pPr>
        <w:pStyle w:val="Compact"/>
        <w:numPr>
          <w:ilvl w:val="0"/>
          <w:numId w:val="1002"/>
        </w:numPr>
      </w:pPr>
      <w:r>
        <w:t xml:space="preserve">¿Quién responde cuando un sistema automatizado niega un servicio de salud: el programador, la EPS o el funcionario que lo adoptó?</w:t>
      </w:r>
    </w:p>
    <w:bookmarkEnd w:id="32"/>
    <w:bookmarkStart w:id="37" w:name="referencias"/>
    <w:p>
      <w:pPr>
        <w:pStyle w:val="Heading2"/>
      </w:pPr>
      <w:r>
        <w:t xml:space="preserve">11. Referencias</w:t>
      </w:r>
    </w:p>
    <w:p>
      <w:pPr>
        <w:pStyle w:val="FirstParagraph"/>
      </w:pPr>
      <w:r>
        <w:t xml:space="preserve">Catálogo completo con estado de verificación de cada fuente:</w:t>
      </w:r>
      <w:r>
        <w:t xml:space="preserve"> </w:t>
      </w:r>
      <w:r>
        <w:rPr>
          <w:rStyle w:val="VerbatimChar"/>
        </w:rPr>
        <w:t xml:space="preserve">FUENTES.md</w:t>
      </w:r>
      <w:r>
        <w:t xml:space="preserve"> </w:t>
      </w:r>
      <w:r>
        <w:t xml:space="preserve">en esta carpeta. Principales:</w:t>
      </w:r>
    </w:p>
    <w:p>
      <w:pPr>
        <w:pStyle w:val="Compact"/>
        <w:numPr>
          <w:ilvl w:val="0"/>
          <w:numId w:val="1003"/>
        </w:numPr>
      </w:pPr>
      <w:r>
        <w:t xml:space="preserve">Donoso Abarca, L. y Reusser Monsálvez, C. (2021).</w:t>
      </w:r>
      <w:r>
        <w:t xml:space="preserve"> </w:t>
      </w:r>
      <w:r>
        <w:rPr>
          <w:i/>
          <w:iCs/>
        </w:rPr>
        <w:t xml:space="preserve">Derecho Informático</w:t>
      </w:r>
      <w:r>
        <w:t xml:space="preserve">. Serie Materiales Docentes n.º 31. Academia Judicial de Chile.</w:t>
      </w:r>
      <w:r>
        <w:t xml:space="preserve"> </w:t>
      </w:r>
      <w:hyperlink r:id="rId12">
        <w:r>
          <w:rPr>
            <w:rStyle w:val="Hyperlink"/>
          </w:rPr>
          <w:t xml:space="preserve">https://academiajudicial.cl/wp-content/uploads/2022/03/Derecho-informatico.pdf</w:t>
        </w:r>
      </w:hyperlink>
    </w:p>
    <w:p>
      <w:pPr>
        <w:pStyle w:val="Compact"/>
        <w:numPr>
          <w:ilvl w:val="0"/>
          <w:numId w:val="1003"/>
        </w:numPr>
      </w:pPr>
      <w:r>
        <w:t xml:space="preserve">Flórez Rojas, M. L. (coord.) (2022).</w:t>
      </w:r>
      <w:r>
        <w:t xml:space="preserve"> </w:t>
      </w:r>
      <w:r>
        <w:rPr>
          <w:i/>
          <w:iCs/>
        </w:rPr>
        <w:t xml:space="preserve">Derecho de las tecnologías y las tecnologías para el derecho</w:t>
      </w:r>
      <w:r>
        <w:t xml:space="preserve">. GECTI, Ediciones Uniandes.</w:t>
      </w:r>
      <w:r>
        <w:t xml:space="preserve"> </w:t>
      </w:r>
      <w:hyperlink r:id="rId14">
        <w:r>
          <w:rPr>
            <w:rStyle w:val="Hyperlink"/>
          </w:rPr>
          <w:t xml:space="preserve">https://ediciones.uniandes.edu.co/library/publication/derecho-de-las-tecnologias-y-las-tecnologias-para-el-derecho</w:t>
        </w:r>
      </w:hyperlink>
    </w:p>
    <w:p>
      <w:pPr>
        <w:pStyle w:val="Compact"/>
        <w:numPr>
          <w:ilvl w:val="0"/>
          <w:numId w:val="1003"/>
        </w:numPr>
      </w:pPr>
      <w:r>
        <w:t xml:space="preserve">Llanes Robaina, J. et al. (2025). La formación en Derecho Informático: necesidad en la carrera de Derecho.</w:t>
      </w:r>
      <w:r>
        <w:t xml:space="preserve"> </w:t>
      </w:r>
      <w:r>
        <w:rPr>
          <w:i/>
          <w:iCs/>
        </w:rPr>
        <w:t xml:space="preserve">Mendive</w:t>
      </w:r>
      <w:r>
        <w:t xml:space="preserve">, 23(4), e4260.</w:t>
      </w:r>
      <w:r>
        <w:t xml:space="preserve"> </w:t>
      </w:r>
      <w:hyperlink r:id="rId15">
        <w:r>
          <w:rPr>
            <w:rStyle w:val="Hyperlink"/>
          </w:rPr>
          <w:t xml:space="preserve">https://mendive.upr.edu.cu/index.php/MendiveUPR/article/view/4260</w:t>
        </w:r>
      </w:hyperlink>
    </w:p>
    <w:p>
      <w:pPr>
        <w:pStyle w:val="Compact"/>
        <w:numPr>
          <w:ilvl w:val="0"/>
          <w:numId w:val="1003"/>
        </w:numPr>
      </w:pPr>
      <w:r>
        <w:t xml:space="preserve">Corte Constitucional. Sentencia T-323 de 2024 (M.P. Juan Carlos Cortés González).</w:t>
      </w:r>
      <w:r>
        <w:t xml:space="preserve"> </w:t>
      </w:r>
      <w:hyperlink r:id="rId17">
        <w:r>
          <w:rPr>
            <w:rStyle w:val="Hyperlink"/>
          </w:rPr>
          <w:t xml:space="preserve">https://www.corteconstitucional.gov.co/relatoria/2024/T-323-24.htm</w:t>
        </w:r>
      </w:hyperlink>
    </w:p>
    <w:p>
      <w:pPr>
        <w:pStyle w:val="Compact"/>
        <w:numPr>
          <w:ilvl w:val="0"/>
          <w:numId w:val="1003"/>
        </w:numPr>
      </w:pPr>
      <w:r>
        <w:t xml:space="preserve">Corte Constitucional. Sentencia T-414 de 1992 (M.P. Ciro Angarita Barón).</w:t>
      </w:r>
      <w:r>
        <w:t xml:space="preserve"> </w:t>
      </w:r>
      <w:hyperlink r:id="rId33">
        <w:r>
          <w:rPr>
            <w:rStyle w:val="Hyperlink"/>
          </w:rPr>
          <w:t xml:space="preserve">https://www.corteconstitucional.gov.co/relatoria/1992/T-414-92.htm</w:t>
        </w:r>
      </w:hyperlink>
    </w:p>
    <w:p>
      <w:pPr>
        <w:pStyle w:val="Compact"/>
        <w:numPr>
          <w:ilvl w:val="0"/>
          <w:numId w:val="1003"/>
        </w:numPr>
      </w:pPr>
      <w:r>
        <w:t xml:space="preserve">Consejo Superior de la Judicatura (2024). ABC de la Sentencia T-323 de 2024 (Circular PCSJC24-37).</w:t>
      </w:r>
      <w:r>
        <w:t xml:space="preserve"> </w:t>
      </w:r>
      <w:hyperlink r:id="rId18">
        <w:r>
          <w:rPr>
            <w:rStyle w:val="Hyperlink"/>
          </w:rPr>
          <w:t xml:space="preserve">https://escuelajudicial.ramajudicial.gov.co/sites/default/files/ABC_SentenciaIA_T323De2024.pdf</w:t>
        </w:r>
      </w:hyperlink>
    </w:p>
    <w:p>
      <w:pPr>
        <w:pStyle w:val="Compact"/>
        <w:numPr>
          <w:ilvl w:val="0"/>
          <w:numId w:val="1003"/>
        </w:numPr>
      </w:pPr>
      <w:r>
        <w:t xml:space="preserve">Corte Suprema de Justicia, Sala de Casación Civil. STC17832-2025.</w:t>
      </w:r>
      <w:r>
        <w:t xml:space="preserve"> </w:t>
      </w:r>
      <w:hyperlink r:id="rId34">
        <w:r>
          <w:rPr>
            <w:rStyle w:val="Hyperlink"/>
          </w:rPr>
          <w:t xml:space="preserve">https://cortesuprema.gov.co</w:t>
        </w:r>
      </w:hyperlink>
    </w:p>
    <w:p>
      <w:pPr>
        <w:pStyle w:val="Compact"/>
        <w:numPr>
          <w:ilvl w:val="0"/>
          <w:numId w:val="1003"/>
        </w:numPr>
      </w:pPr>
      <w:r>
        <w:t xml:space="preserve">Véliz, C. (2025).</w:t>
      </w:r>
      <w:r>
        <w:t xml:space="preserve"> </w:t>
      </w:r>
      <w:r>
        <w:rPr>
          <w:i/>
          <w:iCs/>
        </w:rPr>
        <w:t xml:space="preserve">How privacy can save your life</w:t>
      </w:r>
      <w:r>
        <w:t xml:space="preserve">. TEDxPorto.</w:t>
      </w:r>
      <w:r>
        <w:t xml:space="preserve"> </w:t>
      </w:r>
      <w:hyperlink r:id="rId21">
        <w:r>
          <w:rPr>
            <w:rStyle w:val="Hyperlink"/>
          </w:rPr>
          <w:t xml:space="preserve">https://www.youtube.com/watch?v=xSPRouBvgFE</w:t>
        </w:r>
      </w:hyperlink>
    </w:p>
    <w:p>
      <w:pPr>
        <w:pStyle w:val="Compact"/>
        <w:numPr>
          <w:ilvl w:val="0"/>
          <w:numId w:val="1003"/>
        </w:numPr>
      </w:pPr>
      <w:r>
        <w:t xml:space="preserve">Normas: Constitución Política, arts. 15, 20, 61 y 74; Ley 527 de 1999; Ley 1266 de 2008; Ley 1273 de 2009; Ley 1341 de 2009; Ley 1581 de 2012; Decreto 1377 de 2013 (compilado en el Decreto 1074 de 2015); Ley 1712 de 2014; Ley 1928 de 2018; Ley 2213 de 2022; CGP, art. 247; Circular Externa 002 de 2024 de la SIC; CONPES 3975 de 2019 y 4144 de 2025. Textos oficiales en</w:t>
      </w:r>
      <w:r>
        <w:t xml:space="preserve"> </w:t>
      </w:r>
      <w:hyperlink r:id="rId35">
        <w:r>
          <w:rPr>
            <w:rStyle w:val="Hyperlink"/>
          </w:rPr>
          <w:t xml:space="preserve">https://www.suin-juriscol.gov.co</w:t>
        </w:r>
      </w:hyperlink>
      <w:r>
        <w:t xml:space="preserve"> </w:t>
      </w:r>
      <w:r>
        <w:t xml:space="preserve">y</w:t>
      </w:r>
      <w:r>
        <w:t xml:space="preserve"> </w:t>
      </w:r>
      <w:hyperlink r:id="rId36">
        <w:r>
          <w:rPr>
            <w:rStyle w:val="Hyperlink"/>
          </w:rPr>
          <w:t xml:space="preserve">https://www.secretariasenado.gov.co</w:t>
        </w:r>
      </w:hyperlink>
    </w:p>
    <w:p>
      <w:pPr>
        <w:pStyle w:val="Compact"/>
        <w:numPr>
          <w:ilvl w:val="0"/>
          <w:numId w:val="1003"/>
        </w:numPr>
      </w:pPr>
      <w:r>
        <w:t xml:space="preserve">Doctrina de referencia: Téllez Valdés, J. (1991).</w:t>
      </w:r>
      <w:r>
        <w:t xml:space="preserve"> </w:t>
      </w:r>
      <w:r>
        <w:rPr>
          <w:i/>
          <w:iCs/>
        </w:rPr>
        <w:t xml:space="preserve">Derecho informático</w:t>
      </w:r>
      <w:r>
        <w:t xml:space="preserve">. IIJ-UNAM; Lessig, L. (1999).</w:t>
      </w:r>
      <w:r>
        <w:t xml:space="preserve"> </w:t>
      </w:r>
      <w:r>
        <w:rPr>
          <w:i/>
          <w:iCs/>
        </w:rPr>
        <w:t xml:space="preserve">Code and other laws of cyberspace</w:t>
      </w:r>
      <w:r>
        <w:t xml:space="preserve">. Basic Books; Frosini, V. (1968).</w:t>
      </w:r>
      <w:r>
        <w:t xml:space="preserve"> </w:t>
      </w:r>
      <w:r>
        <w:rPr>
          <w:i/>
          <w:iCs/>
        </w:rPr>
        <w:t xml:space="preserve">Cibernética, derecho y sociedad</w:t>
      </w:r>
      <w:r>
        <w:t xml:space="preserve">; Losano, M. (1969).</w:t>
      </w:r>
      <w:r>
        <w:t xml:space="preserve"> </w:t>
      </w:r>
      <w:r>
        <w:rPr>
          <w:i/>
          <w:iCs/>
        </w:rPr>
        <w:t xml:space="preserve">Giuscibernetica</w:t>
      </w:r>
      <w:r>
        <w:t xml:space="preserve">.</w:t>
      </w:r>
    </w:p>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academiajudicial.cl/recursos/materiales-docentes/derecho-informatico/" TargetMode="External" /><Relationship Type="http://schemas.openxmlformats.org/officeDocument/2006/relationships/hyperlink" Id="rId12" Target="https://academiajudicial.cl/wp-content/uploads/2022/03/Derecho-informatico.pdf" TargetMode="External" /><Relationship Type="http://schemas.openxmlformats.org/officeDocument/2006/relationships/hyperlink" Id="rId34" Target="https://cortesuprema.gov.co" TargetMode="External" /><Relationship Type="http://schemas.openxmlformats.org/officeDocument/2006/relationships/hyperlink" Id="rId14" Target="https://ediciones.uniandes.edu.co/library/publication/derecho-de-las-tecnologias-y-las-tecnologias-para-el-derecho" TargetMode="External" /><Relationship Type="http://schemas.openxmlformats.org/officeDocument/2006/relationships/hyperlink" Id="rId18" Target="https://escuelajudicial.ramajudicial.gov.co/sites/default/files/ABC_SentenciaIA_T323De2024.pdf" TargetMode="External" /><Relationship Type="http://schemas.openxmlformats.org/officeDocument/2006/relationships/hyperlink" Id="rId15" Target="https://mendive.upr.edu.cu/index.php/MendiveUPR/article/view/4260" TargetMode="External" /><Relationship Type="http://schemas.openxmlformats.org/officeDocument/2006/relationships/hyperlink" Id="rId33" Target="https://www.corteconstitucional.gov.co/relatoria/1992/T-414-92.htm" TargetMode="External" /><Relationship Type="http://schemas.openxmlformats.org/officeDocument/2006/relationships/hyperlink" Id="rId17" Target="https://www.corteconstitucional.gov.co/relatoria/2024/T-323-24.htm" TargetMode="External" /><Relationship Type="http://schemas.openxmlformats.org/officeDocument/2006/relationships/hyperlink" Id="rId19" Target="https://www.ramajudicial.gov.co/documents/164295699/174277484/DocumentoTecnico_LineamientosUsoIARamaJudicial_13122024_Vrev.pdf" TargetMode="External" /><Relationship Type="http://schemas.openxmlformats.org/officeDocument/2006/relationships/hyperlink" Id="rId36" Target="https://www.secretariasenado.gov.co" TargetMode="External" /><Relationship Type="http://schemas.openxmlformats.org/officeDocument/2006/relationships/hyperlink" Id="rId35" Target="https://www.suin-juriscol.gov.co" TargetMode="External" /><Relationship Type="http://schemas.openxmlformats.org/officeDocument/2006/relationships/hyperlink" Id="rId21" Target="https://www.youtube.com/watch?v=xSPRouBvgFE" TargetMode="External" /></Relationships>
</file>

<file path=word/_rels/footnotes.xml.rels><?xml version="1.0" encoding="UTF-8"?><Relationships xmlns="http://schemas.openxmlformats.org/package/2006/relationships"><Relationship Type="http://schemas.openxmlformats.org/officeDocument/2006/relationships/hyperlink" Id="rId13" Target="https://academiajudicial.cl/recursos/materiales-docentes/derecho-informatico/" TargetMode="External" /><Relationship Type="http://schemas.openxmlformats.org/officeDocument/2006/relationships/hyperlink" Id="rId12" Target="https://academiajudicial.cl/wp-content/uploads/2022/03/Derecho-informatico.pdf" TargetMode="External" /><Relationship Type="http://schemas.openxmlformats.org/officeDocument/2006/relationships/hyperlink" Id="rId34" Target="https://cortesuprema.gov.co" TargetMode="External" /><Relationship Type="http://schemas.openxmlformats.org/officeDocument/2006/relationships/hyperlink" Id="rId14" Target="https://ediciones.uniandes.edu.co/library/publication/derecho-de-las-tecnologias-y-las-tecnologias-para-el-derecho" TargetMode="External" /><Relationship Type="http://schemas.openxmlformats.org/officeDocument/2006/relationships/hyperlink" Id="rId18" Target="https://escuelajudicial.ramajudicial.gov.co/sites/default/files/ABC_SentenciaIA_T323De2024.pdf" TargetMode="External" /><Relationship Type="http://schemas.openxmlformats.org/officeDocument/2006/relationships/hyperlink" Id="rId15" Target="https://mendive.upr.edu.cu/index.php/MendiveUPR/article/view/4260" TargetMode="External" /><Relationship Type="http://schemas.openxmlformats.org/officeDocument/2006/relationships/hyperlink" Id="rId33" Target="https://www.corteconstitucional.gov.co/relatoria/1992/T-414-92.htm" TargetMode="External" /><Relationship Type="http://schemas.openxmlformats.org/officeDocument/2006/relationships/hyperlink" Id="rId17" Target="https://www.corteconstitucional.gov.co/relatoria/2024/T-323-24.htm" TargetMode="External" /><Relationship Type="http://schemas.openxmlformats.org/officeDocument/2006/relationships/hyperlink" Id="rId19" Target="https://www.ramajudicial.gov.co/documents/164295699/174277484/DocumentoTecnico_LineamientosUsoIARamaJudicial_13122024_Vrev.pdf" TargetMode="External" /><Relationship Type="http://schemas.openxmlformats.org/officeDocument/2006/relationships/hyperlink" Id="rId36" Target="https://www.secretariasenado.gov.co" TargetMode="External" /><Relationship Type="http://schemas.openxmlformats.org/officeDocument/2006/relationships/hyperlink" Id="rId35" Target="https://www.suin-juriscol.gov.co" TargetMode="External" /><Relationship Type="http://schemas.openxmlformats.org/officeDocument/2006/relationships/hyperlink" Id="rId21" Target="https://www.youtube.com/watch?v=xSPRouBvgF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2026-10-05T03:31:25Z</dcterms:created>
  <dcterms:modified xsi:type="dcterms:W3CDTF">2026-10-05T03:31:25Z</dcterms:modified>
</cp:coreProperties>
</file>

<file path=docProps/custom.xml><?xml version="1.0" encoding="utf-8"?>
<Properties xmlns="http://schemas.openxmlformats.org/officeDocument/2006/custom-properties" xmlns:vt="http://schemas.openxmlformats.org/officeDocument/2006/docPropsVTypes"/>
</file>