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i w:val="0"/>
          <w:sz w:val="28"/>
        </w:rPr>
        <w:t>GUÍA OPERATIVA Y PENDIENTES</w:t>
      </w:r>
    </w:p>
    <w:p>
      <w:pPr>
        <w:spacing w:after="0" w:before="0"/>
        <w:jc w:val="center"/>
      </w:pPr>
      <w:r>
        <w:rPr>
          <w:b w:val="0"/>
          <w:i w:val="0"/>
        </w:rPr>
        <w:t>Caso Carmen Socorro Barón Galindo vs. María del Pilar Barón G. – Ejecutivo singular de mínima cuantía (Cúcuta)</w:t>
      </w:r>
    </w:p>
    <w:p>
      <w:pPr>
        <w:spacing w:after="240" w:before="0"/>
        <w:jc w:val="center"/>
      </w:pPr>
      <w:r>
        <w:rPr>
          <w:b w:val="0"/>
          <w:i/>
        </w:rPr>
        <w:t>Documento de trabajo interno – 30 de septiembre de 2026</w:t>
      </w:r>
    </w:p>
    <w:p>
      <w:pPr>
        <w:keepNext/>
        <w:spacing w:after="120" w:before="240"/>
        <w:jc w:val="left"/>
      </w:pPr>
      <w:r>
        <w:rPr>
          <w:b/>
          <w:i w:val="0"/>
          <w:sz w:val="24"/>
        </w:rPr>
        <w:t>1. DECISIONES TOMADAS (RESUMEN EJECUTIVO)</w:t>
      </w:r>
    </w:p>
    <w:p>
      <w:pPr>
        <w:spacing w:after="120" w:before="0"/>
        <w:ind w:left="425" w:hanging="425"/>
        <w:jc w:val="both"/>
      </w:pPr>
      <w:r>
        <w:rPr>
          <w:b w:val="0"/>
          <w:i w:val="0"/>
        </w:rPr>
        <w:t xml:space="preserve">1. </w:t>
      </w:r>
      <w:r>
        <w:rPr>
          <w:b/>
          <w:i w:val="0"/>
        </w:rPr>
        <w:t>La letra NO puede presentarse en blanco.</w:t>
      </w:r>
      <w:r>
        <w:rPr>
          <w:b w:val="0"/>
          <w:i w:val="0"/>
        </w:rPr>
        <w:t xml:space="preserve"> El art. 622 del C. de Co. autoriza al tenedor a llenar los espacios "antes de presentar el título para el ejercicio del derecho que en él se incorpora". Sin valor, sin vencimiento y sin firma de la giradora el juez niega el mandamiento (arts. 422 y 430 CGP: la obligación no sería clara ni exigible). Debe llenarse </w:t>
      </w:r>
      <w:r>
        <w:rPr>
          <w:b/>
          <w:i w:val="0"/>
        </w:rPr>
        <w:t>antes</w:t>
      </w:r>
      <w:r>
        <w:rPr>
          <w:b w:val="0"/>
          <w:i w:val="0"/>
        </w:rPr>
        <w:t xml:space="preserve"> de radicar, exactamente como se indica en el numeral 2.</w:t>
      </w:r>
    </w:p>
    <w:p>
      <w:pPr>
        <w:spacing w:after="120" w:before="0"/>
        <w:ind w:left="425" w:hanging="425"/>
        <w:jc w:val="both"/>
      </w:pPr>
      <w:r>
        <w:rPr>
          <w:b w:val="0"/>
          <w:i w:val="0"/>
        </w:rPr>
        <w:t xml:space="preserve">2. </w:t>
      </w:r>
      <w:r>
        <w:rPr>
          <w:b/>
          <w:i w:val="0"/>
        </w:rPr>
        <w:t>No hay requisito de procedibilidad.</w:t>
      </w:r>
      <w:r>
        <w:rPr>
          <w:b w:val="0"/>
          <w:i w:val="0"/>
        </w:rPr>
        <w:t xml:space="preserve"> La conciliación extrajudicial no es exigible en procesos ejecutivos (el requisito de la Ley 2220 de 2022, arts. 67 y ss., y antes de la Ley 640 de 2001, arts. 35 y 38, se limita a procesos declarativos) y, además, se solicitan medidas cautelares. Tampoco se requiere requerimiento previo para constituir en mora: la letra tiene fecha cierta de vencimiento (art. 1608, num. 1, C.C.).</w:t>
      </w:r>
    </w:p>
    <w:p>
      <w:pPr>
        <w:spacing w:after="120" w:before="0"/>
        <w:ind w:left="425" w:hanging="425"/>
        <w:jc w:val="both"/>
      </w:pPr>
      <w:r>
        <w:rPr>
          <w:b w:val="0"/>
          <w:i w:val="0"/>
        </w:rPr>
        <w:t xml:space="preserve">3. </w:t>
      </w:r>
      <w:r>
        <w:rPr>
          <w:b/>
          <w:i w:val="0"/>
        </w:rPr>
        <w:t>Se demanda solo a María del Pilar.</w:t>
      </w:r>
      <w:r>
        <w:rPr>
          <w:b w:val="0"/>
          <w:i w:val="0"/>
        </w:rPr>
        <w:t xml:space="preserve"> Es aceptante y deudora solidaria (arts. 632 y 785 C. de Co.; art. 1571 C.C.), tiene inmueble (matrícula 260-64376) y salario (COMFAORIENTE). Demandar también al sobrino que vive en Europa obligaría a emplazamiento y curador ad litem (arts. 108 y 293 CGP) y retrasaría meses el mandamiento y las medidas. El poder deja abierta la ejecución contra él.</w:t>
      </w:r>
    </w:p>
    <w:p>
      <w:pPr>
        <w:spacing w:after="120" w:before="0"/>
        <w:ind w:left="425" w:hanging="425"/>
        <w:jc w:val="both"/>
      </w:pPr>
      <w:r>
        <w:rPr>
          <w:b w:val="0"/>
          <w:i w:val="0"/>
        </w:rPr>
        <w:t xml:space="preserve">4. </w:t>
      </w:r>
      <w:r>
        <w:rPr>
          <w:b/>
          <w:i w:val="0"/>
        </w:rPr>
        <w:t>Vía y juez:</w:t>
      </w:r>
      <w:r>
        <w:rPr>
          <w:b w:val="0"/>
          <w:i w:val="0"/>
        </w:rPr>
        <w:t xml:space="preserve"> proceso ejecutivo singular de mínima cuantía (capital inferior a 40 SMLMV = $70.036.200 en 2026, con SMLMV de $1.750.905 según Decreto 1469 de 2025), única instancia. En Cúcuta existen Juzgados Municipales de Pequeñas Causas y Competencia Múltiple (Juzgado 001, Calle 16 No. 12-06, barrio La Libertad; Juzgado 002, Ciudadela Juan Atalaya), y por el parágrafo del art. 17 CGP a ellos corresponde la mínima cuantía; por eso los escritos se dirigen al "Juez Municipal de Pequeñas Causas y Competencia Múltiple (o Civil Municipal) de San José de Cúcuta – Reparto". Nota: el Consejo de Estado suspendió en febrero de 2026 el decreto del salario mínimo y luego revocó la suspensión (abril de 2026); la cuantía no se afecta en ningún escenario porque el capital está muy por debajo del límite.</w:t>
      </w:r>
    </w:p>
    <w:p>
      <w:pPr>
        <w:spacing w:after="120" w:before="0"/>
        <w:ind w:left="425" w:hanging="425"/>
        <w:jc w:val="both"/>
      </w:pPr>
      <w:r>
        <w:rPr>
          <w:b w:val="0"/>
          <w:i w:val="0"/>
        </w:rPr>
        <w:t xml:space="preserve">5. </w:t>
      </w:r>
      <w:r>
        <w:rPr>
          <w:b/>
          <w:i w:val="0"/>
        </w:rPr>
        <w:t>Valor de la letra: $21.106.522</w:t>
      </w:r>
      <w:r>
        <w:rPr>
          <w:b w:val="0"/>
          <w:i w:val="0"/>
        </w:rPr>
        <w:t xml:space="preserve"> (ver numeral 3). Es el capital insoluto que se prueba con el desembolso, los abonos registrados y el recibo de Remitly, sin el rubro de $100.000 de la declaración de renta ni el retanqueo que la propia libreta de la clienta acredita a favor del sobrino. Si la clienta confirma que los $2.500.000 del retanqueo sí se entregaron a los deudores, el valor sube a </w:t>
      </w:r>
      <w:r>
        <w:rPr>
          <w:b/>
          <w:i w:val="0"/>
        </w:rPr>
        <w:t>$23.606.522</w:t>
      </w:r>
      <w:r>
        <w:rPr>
          <w:b w:val="0"/>
          <w:i w:val="0"/>
        </w:rPr>
        <w:t xml:space="preserve"> y hay que cambiarlo en la letra, el poder, la demanda y el escrito de medidas (todos los campos están resaltados en amarillo).</w:t>
      </w:r>
    </w:p>
    <w:p>
      <w:pPr>
        <w:spacing w:after="120" w:before="0"/>
        <w:ind w:left="425" w:hanging="425"/>
        <w:jc w:val="both"/>
      </w:pPr>
      <w:r>
        <w:rPr>
          <w:b w:val="0"/>
          <w:i w:val="0"/>
        </w:rPr>
        <w:t xml:space="preserve">6. </w:t>
      </w:r>
      <w:r>
        <w:rPr>
          <w:b/>
          <w:i w:val="0"/>
        </w:rPr>
        <w:t>Intereses:</w:t>
      </w:r>
      <w:r>
        <w:rPr>
          <w:b w:val="0"/>
          <w:i w:val="0"/>
        </w:rPr>
        <w:t xml:space="preserve"> no se pactan intereses de plazo (el plazo es de una semana). Los moratorios corren desde el día siguiente al vencimiento a la tasa máxima legal (1,5 veces el interés bancario corriente, art. 884 C. de Co.), que para el capital de $21.106.522 equivale en septiembre de 2026 a unos $456.000 mensuales (2,1605 % mensual: usura de 29,24 % E.A. según Resolución 1260 del 31 de agosto de 2026 de la Superfinanciera, con IBC de 19,49 %; en agosto era 29,66 %). La tasa de octubre se certifica el 30 de septiembre; por eso los escritos remiten a la tasa máxima legal sin fijar porcentaje.</w:t>
      </w:r>
    </w:p>
    <w:p>
      <w:pPr>
        <w:spacing w:after="120" w:before="0"/>
        <w:ind w:left="425" w:hanging="425"/>
        <w:jc w:val="both"/>
      </w:pPr>
      <w:r>
        <w:rPr>
          <w:b w:val="0"/>
          <w:i w:val="0"/>
        </w:rPr>
        <w:t xml:space="preserve">7. </w:t>
      </w:r>
      <w:r>
        <w:rPr>
          <w:b/>
          <w:i w:val="0"/>
        </w:rPr>
        <w:t>Medidas cautelares en memorial separado</w:t>
      </w:r>
      <w:r>
        <w:rPr>
          <w:b w:val="0"/>
          <w:i w:val="0"/>
        </w:rPr>
        <w:t xml:space="preserve"> (varios despachos lo exigen para que no vaya en el traslado): embargo del inmueble 260-64376 (sin secuestro por ahora: el secuestro de la vivienda genera honorarios de secuestre y conflicto familiar y solo es indispensable antes del remate) y embargo de la quinta parte del salario que exceda del mínimo, con exclusión de prestaciones sociales (art. 344 CST). El embargo de cuentas bancarias se dejó fuera del escrito inicial: los depósitos de ahorro son inembargables hasta el tope anual del art. 126 EOSF, el salario se consigna en cuenta (riesgo de doble afectación) y diez oficios bancarios en mínima cuantía demoran el mandamiento; se puede pedir después si inmueble y salario resultan insuficientes.</w:t>
      </w:r>
    </w:p>
    <w:p>
      <w:pPr>
        <w:keepNext/>
        <w:spacing w:after="120" w:before="240"/>
        <w:jc w:val="left"/>
      </w:pPr>
      <w:r>
        <w:rPr>
          <w:b/>
          <w:i w:val="0"/>
          <w:sz w:val="24"/>
        </w:rPr>
        <w:t>2. CÓMO LLENAR LA LETRA, CAMPO POR CAMPO</w:t>
      </w:r>
    </w:p>
    <w:p>
      <w:pPr>
        <w:spacing w:after="120" w:before="0"/>
        <w:jc w:val="both"/>
      </w:pPr>
      <w:r>
        <w:rPr>
          <w:b w:val="0"/>
          <w:i w:val="0"/>
        </w:rPr>
        <w:t xml:space="preserve">Se usa la misma letra ya firmada por los dos aceptantes (no se cambia de formato). Llenar con el mismo bolígrafo, letra clara, sin tachones ni enmendaduras. El valor en números y en letras debe coincidir. Escanear después </w:t>
      </w:r>
      <w:r>
        <w:rPr>
          <w:b/>
          <w:i w:val="0"/>
        </w:rPr>
        <w:t>por ambas caras</w:t>
      </w:r>
      <w:r>
        <w:rPr>
          <w:b w:val="0"/>
          <w:i w:val="0"/>
        </w:rPr>
        <w:t xml:space="preserve"> en PDF legible.</w:t>
      </w:r>
    </w:p>
    <w:tbl>
      <w:tblPr>
        <w:tblStyle w:val="TableGrid"/>
        <w:tblW w:type="auto" w:w="0"/>
        <w:jc w:val="center"/>
        <w:tblLook w:firstColumn="1" w:firstRow="1" w:lastColumn="0" w:lastRow="0" w:noHBand="0" w:noVBand="1" w:val="04A0"/>
      </w:tblPr>
      <w:tblGrid>
        <w:gridCol w:w="3041"/>
        <w:gridCol w:w="3041"/>
        <w:gridCol w:w="3041"/>
      </w:tblGrid>
      <w:tr>
        <w:tc>
          <w:tcPr>
            <w:tcW w:type="dxa" w:w="2551"/>
            <w:shd w:val="clear" w:color="auto" w:fill="D9D9D9"/>
          </w:tcPr>
          <w:p>
            <w:pPr>
              <w:spacing w:after="40"/>
            </w:pPr>
            <w:r/>
            <w:r>
              <w:rPr>
                <w:b/>
                <w:i w:val="0"/>
                <w:sz w:val="19"/>
              </w:rPr>
              <w:t>Campo del formato</w:t>
            </w:r>
          </w:p>
        </w:tc>
        <w:tc>
          <w:tcPr>
            <w:tcW w:type="dxa" w:w="3402"/>
            <w:shd w:val="clear" w:color="auto" w:fill="D9D9D9"/>
          </w:tcPr>
          <w:p>
            <w:pPr>
              <w:spacing w:after="40"/>
            </w:pPr>
            <w:r/>
            <w:r>
              <w:rPr>
                <w:b/>
                <w:i w:val="0"/>
                <w:sz w:val="19"/>
              </w:rPr>
              <w:t>Qué escribir</w:t>
            </w:r>
          </w:p>
        </w:tc>
        <w:tc>
          <w:tcPr>
            <w:tcW w:type="dxa" w:w="3685"/>
            <w:shd w:val="clear" w:color="auto" w:fill="D9D9D9"/>
          </w:tcPr>
          <w:p>
            <w:pPr>
              <w:spacing w:after="40"/>
            </w:pPr>
            <w:r/>
            <w:r>
              <w:rPr>
                <w:b/>
                <w:i w:val="0"/>
                <w:sz w:val="19"/>
              </w:rPr>
              <w:t>Por qué</w:t>
            </w:r>
          </w:p>
        </w:tc>
      </w:tr>
      <w:tr>
        <w:tc>
          <w:tcPr>
            <w:tcW w:type="dxa" w:w="2551"/>
          </w:tcPr>
          <w:p>
            <w:pPr>
              <w:spacing w:after="40"/>
            </w:pPr>
            <w:r/>
            <w:r>
              <w:rPr>
                <w:b w:val="0"/>
                <w:i w:val="0"/>
                <w:sz w:val="19"/>
              </w:rPr>
              <w:t>No.</w:t>
            </w:r>
          </w:p>
        </w:tc>
        <w:tc>
          <w:tcPr>
            <w:tcW w:type="dxa" w:w="3402"/>
          </w:tcPr>
          <w:p>
            <w:pPr>
              <w:spacing w:after="40"/>
            </w:pPr>
            <w:r/>
            <w:r>
              <w:rPr>
                <w:b w:val="0"/>
                <w:i w:val="0"/>
                <w:sz w:val="19"/>
              </w:rPr>
              <w:t>001</w:t>
            </w:r>
          </w:p>
        </w:tc>
        <w:tc>
          <w:tcPr>
            <w:tcW w:type="dxa" w:w="3685"/>
          </w:tcPr>
          <w:p>
            <w:pPr>
              <w:spacing w:after="40"/>
            </w:pPr>
            <w:r/>
            <w:r>
              <w:rPr>
                <w:b w:val="0"/>
                <w:i w:val="0"/>
                <w:sz w:val="19"/>
              </w:rPr>
              <w:t>Número de identificación del título; cualquier número sirve, pero debe coincidir con la demanda.</w:t>
            </w:r>
          </w:p>
        </w:tc>
      </w:tr>
      <w:tr>
        <w:tc>
          <w:tcPr>
            <w:tcW w:type="dxa" w:w="2551"/>
          </w:tcPr>
          <w:p>
            <w:pPr>
              <w:spacing w:after="40"/>
            </w:pPr>
            <w:r/>
            <w:r>
              <w:rPr>
                <w:b w:val="0"/>
                <w:i w:val="0"/>
                <w:sz w:val="19"/>
              </w:rPr>
              <w:t>Fecha: (fecha de creación)</w:t>
            </w:r>
          </w:p>
        </w:tc>
        <w:tc>
          <w:tcPr>
            <w:tcW w:type="dxa" w:w="3402"/>
          </w:tcPr>
          <w:p>
            <w:pPr>
              <w:spacing w:after="40"/>
            </w:pPr>
            <w:r/>
            <w:r>
              <w:rPr>
                <w:b/>
                <w:i w:val="0"/>
                <w:sz w:val="19"/>
              </w:rPr>
              <w:t>1 de octubre de 2026</w:t>
            </w:r>
            <w:r>
              <w:rPr>
                <w:b w:val="0"/>
                <w:i w:val="0"/>
                <w:sz w:val="19"/>
              </w:rPr>
              <w:t xml:space="preserve"> (o el día real en que la clienta firme; nunca una fecha anterior a la firma)</w:t>
            </w:r>
          </w:p>
        </w:tc>
        <w:tc>
          <w:tcPr>
            <w:tcW w:type="dxa" w:w="3685"/>
          </w:tcPr>
          <w:p>
            <w:pPr>
              <w:spacing w:after="40"/>
            </w:pPr>
            <w:r/>
            <w:r>
              <w:rPr>
                <w:b w:val="0"/>
                <w:i w:val="0"/>
                <w:sz w:val="19"/>
              </w:rPr>
              <w:t>Es la fecha en que el título queda creado (firma de la giradora). Una fecha anterior a la real sería un antedatado indebido.</w:t>
            </w:r>
          </w:p>
        </w:tc>
      </w:tr>
      <w:tr>
        <w:tc>
          <w:tcPr>
            <w:tcW w:type="dxa" w:w="2551"/>
          </w:tcPr>
          <w:p>
            <w:pPr>
              <w:spacing w:after="40"/>
            </w:pPr>
            <w:r/>
            <w:r>
              <w:rPr>
                <w:b w:val="0"/>
                <w:i w:val="0"/>
                <w:sz w:val="19"/>
              </w:rPr>
              <w:t>Señor(es):</w:t>
            </w:r>
          </w:p>
        </w:tc>
        <w:tc>
          <w:tcPr>
            <w:tcW w:type="dxa" w:w="3402"/>
          </w:tcPr>
          <w:p>
            <w:pPr>
              <w:spacing w:after="40"/>
            </w:pPr>
            <w:r/>
            <w:r>
              <w:rPr>
                <w:b w:val="0"/>
                <w:i w:val="0"/>
                <w:sz w:val="19"/>
              </w:rPr>
              <w:t xml:space="preserve">MARÍA DEL PILAR BARÓN </w:t>
            </w:r>
            <w:r>
              <w:rPr>
                <w:b/>
                <w:i w:val="0"/>
                <w:sz w:val="19"/>
                <w:highlight w:val="yellow"/>
              </w:rPr>
              <w:t>GALINDO</w:t>
            </w:r>
            <w:r>
              <w:rPr>
                <w:b w:val="0"/>
                <w:i w:val="0"/>
                <w:sz w:val="19"/>
              </w:rPr>
              <w:t xml:space="preserve"> y </w:t>
            </w:r>
            <w:r>
              <w:rPr>
                <w:b/>
                <w:i w:val="0"/>
                <w:sz w:val="19"/>
                <w:highlight w:val="yellow"/>
              </w:rPr>
              <w:t>NOMBRE COMPLETO DEL GIRADO 1</w:t>
            </w:r>
            <w:r>
              <w:rPr>
                <w:b w:val="0"/>
                <w:i w:val="0"/>
                <w:sz w:val="19"/>
              </w:rPr>
              <w:t xml:space="preserve"> (C.C. 1.090.487.307)</w:t>
            </w:r>
          </w:p>
        </w:tc>
        <w:tc>
          <w:tcPr>
            <w:tcW w:type="dxa" w:w="3685"/>
          </w:tcPr>
          <w:p>
            <w:pPr>
              <w:spacing w:after="40"/>
            </w:pPr>
            <w:r/>
            <w:r>
              <w:rPr>
                <w:b w:val="0"/>
                <w:i w:val="0"/>
                <w:sz w:val="19"/>
              </w:rPr>
              <w:t>Nombre de los girados (aceptantes). Si no se obtiene el nombre del girado 1, escribir "el aceptante identificado con C.C. 1.090.487.307"; la ejecución contra María del Pilar no depende de ese dato.</w:t>
            </w:r>
          </w:p>
        </w:tc>
      </w:tr>
      <w:tr>
        <w:tc>
          <w:tcPr>
            <w:tcW w:type="dxa" w:w="2551"/>
          </w:tcPr>
          <w:p>
            <w:pPr>
              <w:spacing w:after="40"/>
            </w:pPr>
            <w:r/>
            <w:r>
              <w:rPr>
                <w:b w:val="0"/>
                <w:i w:val="0"/>
                <w:sz w:val="19"/>
              </w:rPr>
              <w:t>se servirá(n) pagar solidariamente en</w:t>
            </w:r>
          </w:p>
        </w:tc>
        <w:tc>
          <w:tcPr>
            <w:tcW w:type="dxa" w:w="3402"/>
          </w:tcPr>
          <w:p>
            <w:pPr>
              <w:spacing w:after="40"/>
            </w:pPr>
            <w:r/>
            <w:r>
              <w:rPr>
                <w:b w:val="0"/>
                <w:i w:val="0"/>
                <w:sz w:val="19"/>
              </w:rPr>
              <w:t>San José de Cúcuta</w:t>
            </w:r>
          </w:p>
        </w:tc>
        <w:tc>
          <w:tcPr>
            <w:tcW w:type="dxa" w:w="3685"/>
          </w:tcPr>
          <w:p>
            <w:pPr>
              <w:spacing w:after="40"/>
            </w:pPr>
            <w:r/>
            <w:r>
              <w:rPr>
                <w:b w:val="0"/>
                <w:i w:val="0"/>
                <w:sz w:val="19"/>
              </w:rPr>
              <w:t>Lugar de pago: fija la competencia territorial (art. 28, num. 3, CGP).</w:t>
            </w:r>
          </w:p>
        </w:tc>
      </w:tr>
      <w:tr>
        <w:tc>
          <w:tcPr>
            <w:tcW w:type="dxa" w:w="2551"/>
          </w:tcPr>
          <w:p>
            <w:pPr>
              <w:spacing w:after="40"/>
            </w:pPr>
            <w:r/>
            <w:r>
              <w:rPr>
                <w:b w:val="0"/>
                <w:i w:val="0"/>
                <w:sz w:val="19"/>
              </w:rPr>
              <w:t>El ___ de ___ del año ___ (vencimiento)</w:t>
            </w:r>
          </w:p>
        </w:tc>
        <w:tc>
          <w:tcPr>
            <w:tcW w:type="dxa" w:w="3402"/>
          </w:tcPr>
          <w:p>
            <w:pPr>
              <w:spacing w:after="40"/>
            </w:pPr>
            <w:r/>
            <w:r>
              <w:rPr>
                <w:b/>
                <w:i w:val="0"/>
                <w:sz w:val="19"/>
              </w:rPr>
              <w:t>8 de octubre de 2026</w:t>
            </w:r>
          </w:p>
        </w:tc>
        <w:tc>
          <w:tcPr>
            <w:tcW w:type="dxa" w:w="3685"/>
          </w:tcPr>
          <w:p>
            <w:pPr>
              <w:spacing w:after="40"/>
            </w:pPr>
            <w:r/>
            <w:r>
              <w:rPr>
                <w:b w:val="0"/>
                <w:i w:val="0"/>
                <w:sz w:val="19"/>
              </w:rPr>
              <w:t xml:space="preserve">Fecha cierta de vencimiento (art. 673, num. 2, C. de Co.). NO escribir "a la vista" (activaría el año del art. 692 y los moratorios solo correrían desde la presentación). Radicar la demanda </w:t>
            </w:r>
            <w:r>
              <w:rPr>
                <w:b/>
                <w:i w:val="0"/>
                <w:sz w:val="19"/>
              </w:rPr>
              <w:t>a partir del 9 de octubre de 2026</w:t>
            </w:r>
            <w:r>
              <w:rPr>
                <w:b w:val="0"/>
                <w:i w:val="0"/>
                <w:sz w:val="19"/>
              </w:rPr>
              <w:t>.</w:t>
            </w:r>
          </w:p>
        </w:tc>
      </w:tr>
      <w:tr>
        <w:tc>
          <w:tcPr>
            <w:tcW w:type="dxa" w:w="2551"/>
          </w:tcPr>
          <w:p>
            <w:pPr>
              <w:spacing w:after="40"/>
            </w:pPr>
            <w:r/>
            <w:r>
              <w:rPr>
                <w:b w:val="0"/>
                <w:i w:val="0"/>
                <w:sz w:val="19"/>
              </w:rPr>
              <w:t>a la orden de:</w:t>
            </w:r>
          </w:p>
        </w:tc>
        <w:tc>
          <w:tcPr>
            <w:tcW w:type="dxa" w:w="3402"/>
          </w:tcPr>
          <w:p>
            <w:pPr>
              <w:spacing w:after="40"/>
            </w:pPr>
            <w:r/>
            <w:r>
              <w:rPr>
                <w:b w:val="0"/>
                <w:i w:val="0"/>
                <w:sz w:val="19"/>
              </w:rPr>
              <w:t>CARMEN SOCORRO BARÓN GALINDO, C.C. 27.682.014</w:t>
            </w:r>
          </w:p>
        </w:tc>
        <w:tc>
          <w:tcPr>
            <w:tcW w:type="dxa" w:w="3685"/>
          </w:tcPr>
          <w:p>
            <w:pPr>
              <w:spacing w:after="40"/>
            </w:pPr>
            <w:r/>
            <w:r>
              <w:rPr>
                <w:b w:val="0"/>
                <w:i w:val="0"/>
                <w:sz w:val="19"/>
              </w:rPr>
              <w:t>Beneficiaria; la acreedora puede ser giradora y beneficiaria (art. 676 C. de Co.).</w:t>
            </w:r>
          </w:p>
        </w:tc>
      </w:tr>
      <w:tr>
        <w:tc>
          <w:tcPr>
            <w:tcW w:type="dxa" w:w="2551"/>
          </w:tcPr>
          <w:p>
            <w:pPr>
              <w:spacing w:after="40"/>
            </w:pPr>
            <w:r/>
            <w:r>
              <w:rPr>
                <w:b w:val="0"/>
                <w:i w:val="0"/>
                <w:sz w:val="19"/>
              </w:rPr>
              <w:t>La cantidad de:</w:t>
            </w:r>
          </w:p>
        </w:tc>
        <w:tc>
          <w:tcPr>
            <w:tcW w:type="dxa" w:w="3402"/>
          </w:tcPr>
          <w:p>
            <w:pPr>
              <w:spacing w:after="40"/>
            </w:pPr>
            <w:r/>
            <w:r>
              <w:rPr>
                <w:b w:val="0"/>
                <w:i w:val="0"/>
                <w:sz w:val="19"/>
              </w:rPr>
              <w:t>VEINTIÚN MILLONES CIENTO SEIS MIL QUINIENTOS VEINTIDÓS pesos m/l</w:t>
            </w:r>
          </w:p>
        </w:tc>
        <w:tc>
          <w:tcPr>
            <w:tcW w:type="dxa" w:w="3685"/>
          </w:tcPr>
          <w:p>
            <w:pPr>
              <w:spacing w:after="40"/>
            </w:pPr>
            <w:r/>
            <w:r>
              <w:rPr>
                <w:b w:val="0"/>
                <w:i w:val="0"/>
                <w:sz w:val="19"/>
              </w:rPr>
              <w:t>Valor en letras (art. 623 C. de Co.: en caso de diferencia prevalece la cifra en letras).</w:t>
            </w:r>
          </w:p>
        </w:tc>
      </w:tr>
      <w:tr>
        <w:tc>
          <w:tcPr>
            <w:tcW w:type="dxa" w:w="2551"/>
          </w:tcPr>
          <w:p>
            <w:pPr>
              <w:spacing w:after="40"/>
            </w:pPr>
            <w:r/>
            <w:r>
              <w:rPr>
                <w:b w:val="0"/>
                <w:i w:val="0"/>
                <w:sz w:val="19"/>
              </w:rPr>
              <w:t>Por $</w:t>
            </w:r>
          </w:p>
        </w:tc>
        <w:tc>
          <w:tcPr>
            <w:tcW w:type="dxa" w:w="3402"/>
          </w:tcPr>
          <w:p>
            <w:pPr>
              <w:spacing w:after="40"/>
            </w:pPr>
            <w:r/>
            <w:r>
              <w:rPr>
                <w:b w:val="0"/>
                <w:i w:val="0"/>
                <w:sz w:val="19"/>
              </w:rPr>
              <w:t>21.106.522</w:t>
            </w:r>
          </w:p>
        </w:tc>
        <w:tc>
          <w:tcPr>
            <w:tcW w:type="dxa" w:w="3685"/>
          </w:tcPr>
          <w:p>
            <w:pPr>
              <w:spacing w:after="40"/>
            </w:pPr>
            <w:r/>
            <w:r>
              <w:rPr>
                <w:b w:val="0"/>
                <w:i w:val="0"/>
                <w:sz w:val="19"/>
              </w:rPr>
              <w:t>Valor en números, igual al anterior.</w:t>
            </w:r>
          </w:p>
        </w:tc>
      </w:tr>
      <w:tr>
        <w:tc>
          <w:tcPr>
            <w:tcW w:type="dxa" w:w="2551"/>
          </w:tcPr>
          <w:p>
            <w:pPr>
              <w:spacing w:after="40"/>
            </w:pPr>
            <w:r/>
            <w:r>
              <w:rPr>
                <w:b w:val="0"/>
                <w:i w:val="0"/>
                <w:sz w:val="19"/>
              </w:rPr>
              <w:t>en ___ cuota(s) de $ ___</w:t>
            </w:r>
          </w:p>
        </w:tc>
        <w:tc>
          <w:tcPr>
            <w:tcW w:type="dxa" w:w="3402"/>
          </w:tcPr>
          <w:p>
            <w:pPr>
              <w:spacing w:after="40"/>
            </w:pPr>
            <w:r/>
            <w:r>
              <w:rPr>
                <w:b w:val="0"/>
                <w:i w:val="0"/>
                <w:sz w:val="19"/>
              </w:rPr>
              <w:t>1 (una) cuota de $21.106.522</w:t>
            </w:r>
          </w:p>
        </w:tc>
        <w:tc>
          <w:tcPr>
            <w:tcW w:type="dxa" w:w="3685"/>
          </w:tcPr>
          <w:p>
            <w:pPr>
              <w:spacing w:after="40"/>
            </w:pPr>
            <w:r/>
            <w:r>
              <w:rPr>
                <w:b w:val="0"/>
                <w:i w:val="0"/>
                <w:sz w:val="19"/>
              </w:rPr>
              <w:t>Una sola cuota al vencimiento.</w:t>
            </w:r>
          </w:p>
        </w:tc>
      </w:tr>
      <w:tr>
        <w:tc>
          <w:tcPr>
            <w:tcW w:type="dxa" w:w="2551"/>
          </w:tcPr>
          <w:p>
            <w:pPr>
              <w:spacing w:after="40"/>
            </w:pPr>
            <w:r/>
            <w:r>
              <w:rPr>
                <w:b w:val="0"/>
                <w:i w:val="0"/>
                <w:sz w:val="19"/>
              </w:rPr>
              <w:t>más intereses durante el plazo del ___ % mensual</w:t>
            </w:r>
          </w:p>
        </w:tc>
        <w:tc>
          <w:tcPr>
            <w:tcW w:type="dxa" w:w="3402"/>
          </w:tcPr>
          <w:p>
            <w:pPr>
              <w:spacing w:after="40"/>
            </w:pPr>
            <w:r/>
            <w:r>
              <w:rPr>
                <w:b w:val="0"/>
                <w:i w:val="0"/>
                <w:sz w:val="19"/>
              </w:rPr>
              <w:t>0 (cero) %</w:t>
            </w:r>
          </w:p>
        </w:tc>
        <w:tc>
          <w:tcPr>
            <w:tcW w:type="dxa" w:w="3685"/>
          </w:tcPr>
          <w:p>
            <w:pPr>
              <w:spacing w:after="40"/>
            </w:pPr>
            <w:r/>
            <w:r>
              <w:rPr>
                <w:b w:val="0"/>
                <w:i w:val="0"/>
                <w:sz w:val="19"/>
              </w:rPr>
              <w:t>No se cobran intereses de plazo. Escribir "0 (cero)" y no dejar el espacio vacío ni tacharlo (un espacio vacío o una tachadura se prestan a alegar alteración). El texto preimpreso "y de mora a la tasa máxima legal autorizada" se deja intacto.</w:t>
            </w:r>
          </w:p>
        </w:tc>
      </w:tr>
      <w:tr>
        <w:tc>
          <w:tcPr>
            <w:tcW w:type="dxa" w:w="2551"/>
          </w:tcPr>
          <w:p>
            <w:pPr>
              <w:spacing w:after="40"/>
            </w:pPr>
            <w:r/>
            <w:r>
              <w:rPr>
                <w:b w:val="0"/>
                <w:i w:val="0"/>
                <w:sz w:val="19"/>
              </w:rPr>
              <w:t>DIRECCIÓN ACEPTANTES – 2</w:t>
            </w:r>
          </w:p>
        </w:tc>
        <w:tc>
          <w:tcPr>
            <w:tcW w:type="dxa" w:w="3402"/>
          </w:tcPr>
          <w:p>
            <w:pPr>
              <w:spacing w:after="40"/>
            </w:pPr>
            <w:r/>
            <w:r>
              <w:rPr>
                <w:b w:val="0"/>
                <w:i w:val="0"/>
                <w:sz w:val="19"/>
              </w:rPr>
              <w:t>Calle 22 A # 4-101, Apto 102, Prados del Norte, Cúcuta</w:t>
            </w:r>
          </w:p>
        </w:tc>
        <w:tc>
          <w:tcPr>
            <w:tcW w:type="dxa" w:w="3685"/>
          </w:tcPr>
          <w:p>
            <w:pPr>
              <w:spacing w:after="40"/>
            </w:pPr>
            <w:r/>
            <w:r>
              <w:rPr>
                <w:b w:val="0"/>
                <w:i w:val="0"/>
                <w:sz w:val="19"/>
              </w:rPr>
              <w:t>Dirección de María del Pilar (la misma del inmueble). Casilla 1: la del girado 1 si se conoce; si no, dejar en blanco.</w:t>
            </w:r>
          </w:p>
        </w:tc>
      </w:tr>
      <w:tr>
        <w:tc>
          <w:tcPr>
            <w:tcW w:type="dxa" w:w="2551"/>
          </w:tcPr>
          <w:p>
            <w:pPr>
              <w:spacing w:after="40"/>
            </w:pPr>
            <w:r/>
            <w:r>
              <w:rPr>
                <w:b w:val="0"/>
                <w:i w:val="0"/>
                <w:sz w:val="19"/>
              </w:rPr>
              <w:t>TELÉFONO</w:t>
            </w:r>
          </w:p>
        </w:tc>
        <w:tc>
          <w:tcPr>
            <w:tcW w:type="dxa" w:w="3402"/>
          </w:tcPr>
          <w:p>
            <w:pPr>
              <w:spacing w:after="40"/>
            </w:pPr>
            <w:r/>
            <w:r>
              <w:rPr>
                <w:b w:val="0"/>
                <w:i w:val="0"/>
                <w:sz w:val="19"/>
              </w:rPr>
              <w:t>Celular de María del Pilar, si se conoce</w:t>
            </w:r>
          </w:p>
        </w:tc>
        <w:tc>
          <w:tcPr>
            <w:tcW w:type="dxa" w:w="3685"/>
          </w:tcPr>
          <w:p>
            <w:pPr>
              <w:spacing w:after="40"/>
            </w:pPr>
            <w:r/>
            <w:r>
              <w:rPr>
                <w:b w:val="0"/>
                <w:i w:val="0"/>
                <w:sz w:val="19"/>
              </w:rPr>
              <w:t>Opcional.</w:t>
            </w:r>
          </w:p>
        </w:tc>
      </w:tr>
      <w:tr>
        <w:tc>
          <w:tcPr>
            <w:tcW w:type="dxa" w:w="2551"/>
          </w:tcPr>
          <w:p>
            <w:pPr>
              <w:spacing w:after="40"/>
            </w:pPr>
            <w:r/>
            <w:r>
              <w:rPr>
                <w:b w:val="0"/>
                <w:i w:val="0"/>
                <w:sz w:val="19"/>
              </w:rPr>
              <w:t>Atentamente, (GIRADOR)</w:t>
            </w:r>
          </w:p>
        </w:tc>
        <w:tc>
          <w:tcPr>
            <w:tcW w:type="dxa" w:w="3402"/>
          </w:tcPr>
          <w:p>
            <w:pPr>
              <w:spacing w:after="40"/>
            </w:pPr>
            <w:r/>
            <w:r>
              <w:rPr>
                <w:b/>
                <w:i w:val="0"/>
                <w:sz w:val="19"/>
              </w:rPr>
              <w:t>Firma de CARMEN SOCORRO BARÓN GALINDO</w:t>
            </w:r>
            <w:r>
              <w:rPr>
                <w:b w:val="0"/>
                <w:i w:val="0"/>
                <w:sz w:val="19"/>
              </w:rPr>
              <w:t xml:space="preserve"> y debajo "C.C. 27.682.014"</w:t>
            </w:r>
          </w:p>
        </w:tc>
        <w:tc>
          <w:tcPr>
            <w:tcW w:type="dxa" w:w="3685"/>
          </w:tcPr>
          <w:p>
            <w:pPr>
              <w:spacing w:after="40"/>
            </w:pPr>
            <w:r/>
            <w:r>
              <w:rPr>
                <w:b/>
                <w:i w:val="0"/>
                <w:sz w:val="19"/>
              </w:rPr>
              <w:t>Indispensable.</w:t>
            </w:r>
            <w:r>
              <w:rPr>
                <w:b w:val="0"/>
                <w:i w:val="0"/>
                <w:sz w:val="19"/>
              </w:rPr>
              <w:t xml:space="preserve"> Es la firma del creador del título (art. 621, num. 2, C. de Co.). Firma una sola vez, como giradora; como beneficiaria no firma (art. 676).</w:t>
            </w:r>
          </w:p>
        </w:tc>
      </w:tr>
      <w:tr>
        <w:tc>
          <w:tcPr>
            <w:tcW w:type="dxa" w:w="2551"/>
          </w:tcPr>
          <w:p>
            <w:pPr>
              <w:spacing w:after="40"/>
            </w:pPr>
            <w:r/>
            <w:r>
              <w:rPr>
                <w:b w:val="0"/>
                <w:i w:val="0"/>
                <w:sz w:val="19"/>
              </w:rPr>
              <w:t>Casillas "ACEPTADA – GIRADOS" 1 y 2</w:t>
            </w:r>
          </w:p>
        </w:tc>
        <w:tc>
          <w:tcPr>
            <w:tcW w:type="dxa" w:w="3402"/>
          </w:tcPr>
          <w:p>
            <w:pPr>
              <w:spacing w:after="40"/>
            </w:pPr>
            <w:r/>
            <w:r>
              <w:rPr>
                <w:b w:val="0"/>
                <w:i w:val="0"/>
                <w:sz w:val="19"/>
              </w:rPr>
              <w:t>NO tocar</w:t>
            </w:r>
          </w:p>
        </w:tc>
        <w:tc>
          <w:tcPr>
            <w:tcW w:type="dxa" w:w="3685"/>
          </w:tcPr>
          <w:p>
            <w:pPr>
              <w:spacing w:after="40"/>
            </w:pPr>
            <w:r/>
            <w:r>
              <w:rPr>
                <w:b w:val="0"/>
                <w:i w:val="0"/>
                <w:sz w:val="19"/>
              </w:rPr>
              <w:t>Ya están diligenciadas y firmadas por los aceptantes.</w:t>
            </w:r>
          </w:p>
        </w:tc>
      </w:tr>
    </w:tbl>
    <w:p>
      <w:pPr>
        <w:spacing w:after="80"/>
      </w:pPr>
    </w:p>
    <w:p>
      <w:pPr>
        <w:spacing w:after="120" w:before="0"/>
        <w:jc w:val="both"/>
      </w:pPr>
      <w:r>
        <w:rPr>
          <w:b/>
          <w:i w:val="0"/>
        </w:rPr>
        <w:t>Cronograma sugerido:</w:t>
      </w:r>
      <w:r>
        <w:rPr>
          <w:b w:val="0"/>
          <w:i w:val="0"/>
        </w:rPr>
        <w:t xml:space="preserve"> 1 de octubre: la clienta firma la letra como giradora y firma el poder (y lo envía desde su correo). 1 a 3 de octubre: obtener el certificado de tradición de la matrícula 260-64376 y revisar anotaciones. 8 de octubre: vencimiento. </w:t>
      </w:r>
      <w:r>
        <w:rPr>
          <w:b/>
          <w:i w:val="0"/>
        </w:rPr>
        <w:t>9 de octubre o después: radicar</w:t>
      </w:r>
      <w:r>
        <w:rPr>
          <w:b w:val="0"/>
          <w:i w:val="0"/>
        </w:rPr>
        <w:t xml:space="preserve"> demanda, poder, escrito de medidas y anexos por el canal digital de la Rama Judicial para Cúcuta, y entregar el original físico de la letra al juzgado cuando lo pida (llevarlo el día de la radicación si se radica en ventanilla). Antes de llenar la letra deben estar resueltos los pendientes 1, 13 y 14 (valor) y reunida la prueba del pendiente 15.</w:t>
      </w:r>
    </w:p>
    <w:p>
      <w:pPr>
        <w:keepNext/>
        <w:spacing w:after="120" w:before="240"/>
        <w:jc w:val="left"/>
      </w:pPr>
      <w:r>
        <w:rPr>
          <w:b/>
          <w:i w:val="0"/>
          <w:sz w:val="24"/>
        </w:rPr>
        <w:t>3. VALOR A CONSIGNAR EN LA LETRA: ESCENARIOS</w:t>
      </w:r>
    </w:p>
    <w:tbl>
      <w:tblPr>
        <w:tblStyle w:val="TableGrid"/>
        <w:tblW w:type="auto" w:w="0"/>
        <w:jc w:val="center"/>
        <w:tblLook w:firstColumn="1" w:firstRow="1" w:lastColumn="0" w:lastRow="0" w:noHBand="0" w:noVBand="1" w:val="04A0"/>
      </w:tblPr>
      <w:tblGrid>
        <w:gridCol w:w="3041"/>
        <w:gridCol w:w="3041"/>
        <w:gridCol w:w="3041"/>
      </w:tblGrid>
      <w:tr>
        <w:tc>
          <w:tcPr>
            <w:tcW w:type="dxa" w:w="3118"/>
            <w:shd w:val="clear" w:color="auto" w:fill="D9D9D9"/>
          </w:tcPr>
          <w:p>
            <w:pPr>
              <w:spacing w:after="40"/>
            </w:pPr>
            <w:r/>
            <w:r>
              <w:rPr>
                <w:b/>
                <w:i w:val="0"/>
                <w:sz w:val="19"/>
              </w:rPr>
              <w:t>Escenario</w:t>
            </w:r>
          </w:p>
        </w:tc>
        <w:tc>
          <w:tcPr>
            <w:tcW w:type="dxa" w:w="4252"/>
            <w:shd w:val="clear" w:color="auto" w:fill="D9D9D9"/>
          </w:tcPr>
          <w:p>
            <w:pPr>
              <w:spacing w:after="40"/>
            </w:pPr>
            <w:r/>
            <w:r>
              <w:rPr>
                <w:b/>
                <w:i w:val="0"/>
                <w:sz w:val="19"/>
              </w:rPr>
              <w:t>Cálculo</w:t>
            </w:r>
          </w:p>
        </w:tc>
        <w:tc>
          <w:tcPr>
            <w:tcW w:type="dxa" w:w="2268"/>
            <w:shd w:val="clear" w:color="auto" w:fill="D9D9D9"/>
          </w:tcPr>
          <w:p>
            <w:pPr>
              <w:spacing w:after="40"/>
            </w:pPr>
            <w:r/>
            <w:r>
              <w:rPr>
                <w:b/>
                <w:i w:val="0"/>
                <w:sz w:val="19"/>
              </w:rPr>
              <w:t>Valor</w:t>
            </w:r>
          </w:p>
        </w:tc>
      </w:tr>
      <w:tr>
        <w:tc>
          <w:tcPr>
            <w:tcW w:type="dxa" w:w="3118"/>
          </w:tcPr>
          <w:p>
            <w:pPr>
              <w:spacing w:after="40"/>
            </w:pPr>
            <w:r/>
            <w:r>
              <w:rPr>
                <w:b/>
                <w:i w:val="0"/>
                <w:sz w:val="19"/>
              </w:rPr>
              <w:t>A – Recomendado (capital insoluto conservador)</w:t>
            </w:r>
          </w:p>
        </w:tc>
        <w:tc>
          <w:tcPr>
            <w:tcW w:type="dxa" w:w="4252"/>
          </w:tcPr>
          <w:p>
            <w:pPr>
              <w:spacing w:after="40"/>
            </w:pPr>
            <w:r/>
            <w:r>
              <w:rPr>
                <w:b w:val="0"/>
                <w:i w:val="0"/>
                <w:sz w:val="19"/>
              </w:rPr>
              <w:t>$29.000.000 – $4.778.118 (7 abonos de Camilo) – $615.360 (Remitly 10-ago-2026) – $2.500.000 (abonos de María del Pilar, mayo y junio de 2025)</w:t>
            </w:r>
          </w:p>
        </w:tc>
        <w:tc>
          <w:tcPr>
            <w:tcW w:type="dxa" w:w="2268"/>
          </w:tcPr>
          <w:p>
            <w:pPr>
              <w:spacing w:after="40"/>
            </w:pPr>
            <w:r/>
            <w:r>
              <w:rPr>
                <w:b/>
                <w:i w:val="0"/>
                <w:sz w:val="19"/>
              </w:rPr>
              <w:t>$21.106.522</w:t>
            </w:r>
          </w:p>
        </w:tc>
      </w:tr>
      <w:tr>
        <w:tc>
          <w:tcPr>
            <w:tcW w:type="dxa" w:w="3118"/>
          </w:tcPr>
          <w:p>
            <w:pPr>
              <w:spacing w:after="40"/>
            </w:pPr>
            <w:r/>
            <w:r>
              <w:rPr>
                <w:b w:val="0"/>
                <w:i w:val="0"/>
                <w:sz w:val="19"/>
              </w:rPr>
              <w:t>B – Si la clienta confirma que el retanqueo de $2.500.000 (sept. 2025) se entregó a los deudores</w:t>
            </w:r>
          </w:p>
        </w:tc>
        <w:tc>
          <w:tcPr>
            <w:tcW w:type="dxa" w:w="4252"/>
          </w:tcPr>
          <w:p>
            <w:pPr>
              <w:spacing w:after="40"/>
            </w:pPr>
            <w:r/>
            <w:r>
              <w:rPr>
                <w:b w:val="0"/>
                <w:i w:val="0"/>
                <w:sz w:val="19"/>
              </w:rPr>
              <w:t>Escenario A + $2.500.000</w:t>
            </w:r>
          </w:p>
        </w:tc>
        <w:tc>
          <w:tcPr>
            <w:tcW w:type="dxa" w:w="2268"/>
          </w:tcPr>
          <w:p>
            <w:pPr>
              <w:spacing w:after="40"/>
            </w:pPr>
            <w:r/>
            <w:r>
              <w:rPr>
                <w:b w:val="0"/>
                <w:i w:val="0"/>
                <w:sz w:val="19"/>
              </w:rPr>
              <w:t>$23.606.522</w:t>
            </w:r>
          </w:p>
        </w:tc>
      </w:tr>
      <w:tr>
        <w:tc>
          <w:tcPr>
            <w:tcW w:type="dxa" w:w="3118"/>
          </w:tcPr>
          <w:p>
            <w:pPr>
              <w:spacing w:after="40"/>
            </w:pPr>
            <w:r/>
            <w:r>
              <w:rPr>
                <w:b w:val="0"/>
                <w:i w:val="0"/>
                <w:sz w:val="19"/>
              </w:rPr>
              <w:t>C – Cifra de la liquidación provisional (6.1)</w:t>
            </w:r>
          </w:p>
        </w:tc>
        <w:tc>
          <w:tcPr>
            <w:tcW w:type="dxa" w:w="4252"/>
          </w:tcPr>
          <w:p>
            <w:pPr>
              <w:spacing w:after="40"/>
            </w:pPr>
            <w:r/>
            <w:r>
              <w:rPr>
                <w:b w:val="0"/>
                <w:i w:val="0"/>
                <w:sz w:val="19"/>
              </w:rPr>
              <w:t>Escenario B + $100.000 de la declaración de renta</w:t>
            </w:r>
          </w:p>
        </w:tc>
        <w:tc>
          <w:tcPr>
            <w:tcW w:type="dxa" w:w="2268"/>
          </w:tcPr>
          <w:p>
            <w:pPr>
              <w:spacing w:after="40"/>
            </w:pPr>
            <w:r/>
            <w:r>
              <w:rPr>
                <w:b w:val="0"/>
                <w:i w:val="0"/>
                <w:sz w:val="19"/>
              </w:rPr>
              <w:t>$23.706.522 (no recomendado: incluye un rubro que no es capital del mutuo y expone la letra a la excepción de llenado abusivo)</w:t>
            </w:r>
          </w:p>
        </w:tc>
      </w:tr>
      <w:tr>
        <w:tc>
          <w:tcPr>
            <w:tcW w:type="dxa" w:w="3118"/>
          </w:tcPr>
          <w:p>
            <w:pPr>
              <w:spacing w:after="40"/>
            </w:pPr>
            <w:r/>
            <w:r>
              <w:rPr>
                <w:b w:val="0"/>
                <w:i w:val="0"/>
                <w:sz w:val="19"/>
              </w:rPr>
              <w:t>D – Si el apunte "1.500.000 se abonó a capital" resulta ser un abono ADICIONAL de los deudores (y no parte de los $4.778.118)</w:t>
            </w:r>
          </w:p>
        </w:tc>
        <w:tc>
          <w:tcPr>
            <w:tcW w:type="dxa" w:w="4252"/>
          </w:tcPr>
          <w:p>
            <w:pPr>
              <w:spacing w:after="40"/>
            </w:pPr>
            <w:r/>
            <w:r>
              <w:rPr>
                <w:b w:val="0"/>
                <w:i w:val="0"/>
                <w:sz w:val="19"/>
              </w:rPr>
              <w:t>Escenario A − $1.500.000</w:t>
            </w:r>
          </w:p>
        </w:tc>
        <w:tc>
          <w:tcPr>
            <w:tcW w:type="dxa" w:w="2268"/>
          </w:tcPr>
          <w:p>
            <w:pPr>
              <w:spacing w:after="40"/>
            </w:pPr>
            <w:r/>
            <w:r>
              <w:rPr>
                <w:b w:val="0"/>
                <w:i w:val="0"/>
                <w:sz w:val="19"/>
              </w:rPr>
              <w:t>$19.606.522</w:t>
            </w:r>
          </w:p>
        </w:tc>
      </w:tr>
    </w:tbl>
    <w:p>
      <w:pPr>
        <w:spacing w:after="80"/>
      </w:pPr>
    </w:p>
    <w:p>
      <w:pPr>
        <w:spacing w:after="120" w:before="0"/>
        <w:jc w:val="both"/>
      </w:pPr>
      <w:r>
        <w:rPr>
          <w:b w:val="0"/>
          <w:i w:val="0"/>
        </w:rPr>
        <w:t xml:space="preserve">Los $100.000 de la declaración de renta, los €460 debidos a Martha ($1.978.000) y los intereses que la clienta paga al banco no van en la letra: son rubros ajenos al capital prestado o acreencias de terceros, y su inclusión sería exactamente el "llenado contrario a las instrucciones" que la deudora puede probar con la propia libreta de la clienta (Corte Constitucional T-673 de 2010 y T-060 de 2012). Los intereses moratorios al tope legal compensan en adelante el costo financiero. </w:t>
      </w:r>
      <w:r>
        <w:rPr>
          <w:b/>
          <w:i w:val="0"/>
        </w:rPr>
        <w:t>Regla ante la duda: el menor valor.</w:t>
      </w:r>
      <w:r>
        <w:rPr>
          <w:b w:val="0"/>
          <w:i w:val="0"/>
        </w:rPr>
        <w:t xml:space="preserve"> Un exceso en la letra se pierde en excepciones y compromete la credibilidad de todo el cobro; un defecto no destruye el título. La base del cálculo ($29.000.000) es el crédito que tomó la clienta: debe confirmarse cuánto se entregó efectivamente a los deudores (transferencias, consignaciones, pagos hechos por cuenta de ellos); si el banco desembolsó neto o la clienta retuvo algo, la letra se llena con lo entregado.</w:t>
      </w:r>
    </w:p>
    <w:p>
      <w:pPr>
        <w:keepNext/>
        <w:spacing w:after="120" w:before="240"/>
        <w:jc w:val="left"/>
      </w:pPr>
      <w:r>
        <w:rPr>
          <w:b/>
          <w:i w:val="0"/>
          <w:sz w:val="24"/>
        </w:rPr>
        <w:t>4. PENDIENTES CONCRETOS (QUIÉN Y QUÉ)</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454"/>
            <w:shd w:val="clear" w:color="auto" w:fill="D9D9D9"/>
          </w:tcPr>
          <w:p>
            <w:pPr>
              <w:spacing w:after="40"/>
            </w:pPr>
            <w:r/>
            <w:r>
              <w:rPr>
                <w:b/>
                <w:i w:val="0"/>
                <w:sz w:val="18"/>
              </w:rPr>
              <w:t>#</w:t>
            </w:r>
          </w:p>
        </w:tc>
        <w:tc>
          <w:tcPr>
            <w:tcW w:type="dxa" w:w="3798"/>
            <w:shd w:val="clear" w:color="auto" w:fill="D9D9D9"/>
          </w:tcPr>
          <w:p>
            <w:pPr>
              <w:spacing w:after="40"/>
            </w:pPr>
            <w:r/>
            <w:r>
              <w:rPr>
                <w:b/>
                <w:i w:val="0"/>
                <w:sz w:val="18"/>
              </w:rPr>
              <w:t>Pendiente</w:t>
            </w:r>
          </w:p>
        </w:tc>
        <w:tc>
          <w:tcPr>
            <w:tcW w:type="dxa" w:w="1417"/>
            <w:shd w:val="clear" w:color="auto" w:fill="D9D9D9"/>
          </w:tcPr>
          <w:p>
            <w:pPr>
              <w:spacing w:after="40"/>
            </w:pPr>
            <w:r/>
            <w:r>
              <w:rPr>
                <w:b/>
                <w:i w:val="0"/>
                <w:sz w:val="18"/>
              </w:rPr>
              <w:t>Responsable</w:t>
            </w:r>
          </w:p>
        </w:tc>
        <w:tc>
          <w:tcPr>
            <w:tcW w:type="dxa" w:w="3402"/>
            <w:shd w:val="clear" w:color="auto" w:fill="D9D9D9"/>
          </w:tcPr>
          <w:p>
            <w:pPr>
              <w:spacing w:after="40"/>
            </w:pPr>
            <w:r/>
            <w:r>
              <w:rPr>
                <w:b/>
                <w:i w:val="0"/>
                <w:sz w:val="18"/>
              </w:rPr>
              <w:t>Para qué</w:t>
            </w:r>
          </w:p>
        </w:tc>
      </w:tr>
      <w:tr>
        <w:tc>
          <w:tcPr>
            <w:tcW w:type="dxa" w:w="454"/>
          </w:tcPr>
          <w:p>
            <w:pPr>
              <w:spacing w:after="40"/>
            </w:pPr>
            <w:r/>
            <w:r>
              <w:rPr>
                <w:b w:val="0"/>
                <w:i w:val="0"/>
                <w:sz w:val="18"/>
              </w:rPr>
              <w:t>1</w:t>
            </w:r>
          </w:p>
        </w:tc>
        <w:tc>
          <w:tcPr>
            <w:tcW w:type="dxa" w:w="3798"/>
          </w:tcPr>
          <w:p>
            <w:pPr>
              <w:spacing w:after="40"/>
            </w:pPr>
            <w:r/>
            <w:r>
              <w:rPr>
                <w:b w:val="0"/>
                <w:i w:val="0"/>
                <w:sz w:val="18"/>
              </w:rPr>
              <w:t>Preguntar a la clienta si los $2.500.000 del retanqueo se los entregó a Camilo o a María del Pilar, o los conservó ella</w:t>
            </w:r>
          </w:p>
        </w:tc>
        <w:tc>
          <w:tcPr>
            <w:tcW w:type="dxa" w:w="1417"/>
          </w:tcPr>
          <w:p>
            <w:pPr>
              <w:spacing w:after="40"/>
            </w:pPr>
            <w:r/>
            <w:r>
              <w:rPr>
                <w:b w:val="0"/>
                <w:i w:val="0"/>
                <w:sz w:val="18"/>
              </w:rPr>
              <w:t>Abogados</w:t>
            </w:r>
          </w:p>
        </w:tc>
        <w:tc>
          <w:tcPr>
            <w:tcW w:type="dxa" w:w="3402"/>
          </w:tcPr>
          <w:p>
            <w:pPr>
              <w:spacing w:after="40"/>
            </w:pPr>
            <w:r/>
            <w:r>
              <w:rPr>
                <w:b w:val="0"/>
                <w:i w:val="0"/>
                <w:sz w:val="18"/>
              </w:rPr>
              <w:t>Define el valor de la letra: $21.106.522 (no entregado) o $23.606.522 (entregado)</w:t>
            </w:r>
          </w:p>
        </w:tc>
      </w:tr>
      <w:tr>
        <w:tc>
          <w:tcPr>
            <w:tcW w:type="dxa" w:w="454"/>
          </w:tcPr>
          <w:p>
            <w:pPr>
              <w:spacing w:after="40"/>
            </w:pPr>
            <w:r/>
            <w:r>
              <w:rPr>
                <w:b w:val="0"/>
                <w:i w:val="0"/>
                <w:sz w:val="18"/>
              </w:rPr>
              <w:t>2</w:t>
            </w:r>
          </w:p>
        </w:tc>
        <w:tc>
          <w:tcPr>
            <w:tcW w:type="dxa" w:w="3798"/>
          </w:tcPr>
          <w:p>
            <w:pPr>
              <w:spacing w:after="40"/>
            </w:pPr>
            <w:r/>
            <w:r>
              <w:rPr>
                <w:b w:val="0"/>
                <w:i w:val="0"/>
                <w:sz w:val="18"/>
              </w:rPr>
              <w:t>Confirmar el segundo apellido de María del Pilar (en la letra solo dice "Barón G."). Fuente inmediata: el certificado de tradición de la matrícula 260-64376 muestra el nombre completo del titular</w:t>
            </w:r>
          </w:p>
        </w:tc>
        <w:tc>
          <w:tcPr>
            <w:tcW w:type="dxa" w:w="1417"/>
          </w:tcPr>
          <w:p>
            <w:pPr>
              <w:spacing w:after="40"/>
            </w:pPr>
            <w:r/>
            <w:r>
              <w:rPr>
                <w:b w:val="0"/>
                <w:i w:val="0"/>
                <w:sz w:val="18"/>
              </w:rPr>
              <w:t>Abogados</w:t>
            </w:r>
          </w:p>
        </w:tc>
        <w:tc>
          <w:tcPr>
            <w:tcW w:type="dxa" w:w="3402"/>
          </w:tcPr>
          <w:p>
            <w:pPr>
              <w:spacing w:after="40"/>
            </w:pPr>
            <w:r/>
            <w:r>
              <w:rPr>
                <w:b w:val="0"/>
                <w:i w:val="0"/>
                <w:sz w:val="18"/>
              </w:rPr>
              <w:t>Art. 82, num. 2, CGP: nombre completo de las partes; si falta, inadmisión</w:t>
            </w:r>
          </w:p>
        </w:tc>
      </w:tr>
      <w:tr>
        <w:tc>
          <w:tcPr>
            <w:tcW w:type="dxa" w:w="454"/>
          </w:tcPr>
          <w:p>
            <w:pPr>
              <w:spacing w:after="40"/>
            </w:pPr>
            <w:r/>
            <w:r>
              <w:rPr>
                <w:b w:val="0"/>
                <w:i w:val="0"/>
                <w:sz w:val="18"/>
              </w:rPr>
              <w:t>3</w:t>
            </w:r>
          </w:p>
        </w:tc>
        <w:tc>
          <w:tcPr>
            <w:tcW w:type="dxa" w:w="3798"/>
          </w:tcPr>
          <w:p>
            <w:pPr>
              <w:spacing w:after="40"/>
            </w:pPr>
            <w:r/>
            <w:r>
              <w:rPr>
                <w:b w:val="0"/>
                <w:i w:val="0"/>
                <w:sz w:val="18"/>
              </w:rPr>
              <w:t xml:space="preserve">Obtener certificado de tradición y libertad de la matrícula 260-64376 (en línea, certificados.supernotariado.gov.co) y revisar: titular actual, hipotecas, embargos previos, </w:t>
            </w:r>
            <w:r>
              <w:rPr>
                <w:b/>
                <w:i w:val="0"/>
                <w:sz w:val="18"/>
              </w:rPr>
              <w:t>afectación a vivienda familiar</w:t>
            </w:r>
            <w:r>
              <w:rPr>
                <w:b w:val="0"/>
                <w:i w:val="0"/>
                <w:sz w:val="18"/>
              </w:rPr>
              <w:t xml:space="preserve"> y </w:t>
            </w:r>
            <w:r>
              <w:rPr>
                <w:b/>
                <w:i w:val="0"/>
                <w:sz w:val="18"/>
              </w:rPr>
              <w:t>patrimonio de familia</w:t>
            </w:r>
          </w:p>
        </w:tc>
        <w:tc>
          <w:tcPr>
            <w:tcW w:type="dxa" w:w="1417"/>
          </w:tcPr>
          <w:p>
            <w:pPr>
              <w:spacing w:after="40"/>
            </w:pPr>
            <w:r/>
            <w:r>
              <w:rPr>
                <w:b w:val="0"/>
                <w:i w:val="0"/>
                <w:sz w:val="18"/>
              </w:rPr>
              <w:t>Abogados</w:t>
            </w:r>
          </w:p>
        </w:tc>
        <w:tc>
          <w:tcPr>
            <w:tcW w:type="dxa" w:w="3402"/>
          </w:tcPr>
          <w:p>
            <w:pPr>
              <w:spacing w:after="40"/>
            </w:pPr>
            <w:r/>
            <w:r>
              <w:rPr>
                <w:b w:val="0"/>
                <w:i w:val="0"/>
                <w:sz w:val="18"/>
              </w:rPr>
              <w:t>Anexo de la demanda y del escrito de medidas. Si hay afectación o patrimonio de familia, el embargo del inmueble es improcedente (Ley 258/1996, art. 7; Ley 495/1999; CSJ STC2370-2021) y hay que retirarlo del escrito</w:t>
            </w:r>
          </w:p>
        </w:tc>
      </w:tr>
      <w:tr>
        <w:tc>
          <w:tcPr>
            <w:tcW w:type="dxa" w:w="454"/>
          </w:tcPr>
          <w:p>
            <w:pPr>
              <w:spacing w:after="40"/>
            </w:pPr>
            <w:r/>
            <w:r>
              <w:rPr>
                <w:b w:val="0"/>
                <w:i w:val="0"/>
                <w:sz w:val="18"/>
              </w:rPr>
              <w:t>4</w:t>
            </w:r>
          </w:p>
        </w:tc>
        <w:tc>
          <w:tcPr>
            <w:tcW w:type="dxa" w:w="3798"/>
          </w:tcPr>
          <w:p>
            <w:pPr>
              <w:spacing w:after="40"/>
            </w:pPr>
            <w:r/>
            <w:r>
              <w:rPr>
                <w:b w:val="0"/>
                <w:i w:val="0"/>
                <w:sz w:val="18"/>
              </w:rPr>
              <w:t>Datos de la clienta: dirección de residencia, celular y correo electrónico propio</w:t>
            </w:r>
          </w:p>
        </w:tc>
        <w:tc>
          <w:tcPr>
            <w:tcW w:type="dxa" w:w="1417"/>
          </w:tcPr>
          <w:p>
            <w:pPr>
              <w:spacing w:after="40"/>
            </w:pPr>
            <w:r/>
            <w:r>
              <w:rPr>
                <w:b w:val="0"/>
                <w:i w:val="0"/>
                <w:sz w:val="18"/>
              </w:rPr>
              <w:t>Clienta</w:t>
            </w:r>
          </w:p>
        </w:tc>
        <w:tc>
          <w:tcPr>
            <w:tcW w:type="dxa" w:w="3402"/>
          </w:tcPr>
          <w:p>
            <w:pPr>
              <w:spacing w:after="40"/>
            </w:pPr>
            <w:r/>
            <w:r>
              <w:rPr>
                <w:b w:val="0"/>
                <w:i w:val="0"/>
                <w:sz w:val="18"/>
              </w:rPr>
              <w:t>Poder por mensaje de datos (art. 5, Ley 2213/2022) y notificaciones. Si no tiene correo, el poder se otorga con presentación personal ante notario (página 2 del poder)</w:t>
            </w:r>
          </w:p>
        </w:tc>
      </w:tr>
      <w:tr>
        <w:tc>
          <w:tcPr>
            <w:tcW w:type="dxa" w:w="454"/>
          </w:tcPr>
          <w:p>
            <w:pPr>
              <w:spacing w:after="40"/>
            </w:pPr>
            <w:r/>
            <w:r>
              <w:rPr>
                <w:b w:val="0"/>
                <w:i w:val="0"/>
                <w:sz w:val="18"/>
              </w:rPr>
              <w:t>5</w:t>
            </w:r>
          </w:p>
        </w:tc>
        <w:tc>
          <w:tcPr>
            <w:tcW w:type="dxa" w:w="3798"/>
          </w:tcPr>
          <w:p>
            <w:pPr>
              <w:spacing w:after="40"/>
            </w:pPr>
            <w:r/>
            <w:r>
              <w:rPr>
                <w:b w:val="0"/>
                <w:i w:val="0"/>
                <w:sz w:val="18"/>
              </w:rPr>
              <w:t>Firma de la clienta como giradora en la letra y firma del poder; envío del poder en PDF desde su correo al correo djbc23@hotmail.com (guardar ese correo: se imprime y se anexa). Si la clienta no tiene correo, usar la página 2 del poder (presentación personal ante notario, juez u oficina judicial de apoyo, art. 74 CGP)</w:t>
            </w:r>
          </w:p>
        </w:tc>
        <w:tc>
          <w:tcPr>
            <w:tcW w:type="dxa" w:w="1417"/>
          </w:tcPr>
          <w:p>
            <w:pPr>
              <w:spacing w:after="40"/>
            </w:pPr>
            <w:r/>
            <w:r>
              <w:rPr>
                <w:b w:val="0"/>
                <w:i w:val="0"/>
                <w:sz w:val="18"/>
              </w:rPr>
              <w:t>Clienta / Abogados</w:t>
            </w:r>
          </w:p>
        </w:tc>
        <w:tc>
          <w:tcPr>
            <w:tcW w:type="dxa" w:w="3402"/>
          </w:tcPr>
          <w:p>
            <w:pPr>
              <w:spacing w:after="40"/>
            </w:pPr>
            <w:r/>
            <w:r>
              <w:rPr>
                <w:b w:val="0"/>
                <w:i w:val="0"/>
                <w:sz w:val="18"/>
              </w:rPr>
              <w:t>Sin firma de giradora no hay título; sin correo de remisión ni presentación personal, los juzgados inadmiten el poder</w:t>
            </w:r>
          </w:p>
        </w:tc>
      </w:tr>
      <w:tr>
        <w:tc>
          <w:tcPr>
            <w:tcW w:type="dxa" w:w="454"/>
          </w:tcPr>
          <w:p>
            <w:pPr>
              <w:spacing w:after="40"/>
            </w:pPr>
            <w:r/>
            <w:r>
              <w:rPr>
                <w:b w:val="0"/>
                <w:i w:val="0"/>
                <w:sz w:val="18"/>
              </w:rPr>
              <w:t>6</w:t>
            </w:r>
          </w:p>
        </w:tc>
        <w:tc>
          <w:tcPr>
            <w:tcW w:type="dxa" w:w="3798"/>
          </w:tcPr>
          <w:p>
            <w:pPr>
              <w:spacing w:after="40"/>
            </w:pPr>
            <w:r/>
            <w:r>
              <w:rPr>
                <w:b w:val="0"/>
                <w:i w:val="0"/>
                <w:sz w:val="18"/>
              </w:rPr>
              <w:t>Nombre completo del girado 1 (Camilo), C.C. 1.090.487.307 (preguntar a la clienta; la firma parece leerse "J. C. Gutiérrez B.", pero no es legible)</w:t>
            </w:r>
          </w:p>
        </w:tc>
        <w:tc>
          <w:tcPr>
            <w:tcW w:type="dxa" w:w="1417"/>
          </w:tcPr>
          <w:p>
            <w:pPr>
              <w:spacing w:after="40"/>
            </w:pPr>
            <w:r/>
            <w:r>
              <w:rPr>
                <w:b w:val="0"/>
                <w:i w:val="0"/>
                <w:sz w:val="18"/>
              </w:rPr>
              <w:t>Clienta</w:t>
            </w:r>
          </w:p>
        </w:tc>
        <w:tc>
          <w:tcPr>
            <w:tcW w:type="dxa" w:w="3402"/>
          </w:tcPr>
          <w:p>
            <w:pPr>
              <w:spacing w:after="40"/>
            </w:pPr>
            <w:r/>
            <w:r>
              <w:rPr>
                <w:b w:val="0"/>
                <w:i w:val="0"/>
                <w:sz w:val="18"/>
              </w:rPr>
              <w:t>Campo "Señor(es)" de la letra y hecho 2 de la demanda. No es indispensable para ejecutar a María del Pilar</w:t>
            </w:r>
          </w:p>
        </w:tc>
      </w:tr>
      <w:tr>
        <w:tc>
          <w:tcPr>
            <w:tcW w:type="dxa" w:w="454"/>
          </w:tcPr>
          <w:p>
            <w:pPr>
              <w:spacing w:after="40"/>
            </w:pPr>
            <w:r/>
            <w:r>
              <w:rPr>
                <w:b w:val="0"/>
                <w:i w:val="0"/>
                <w:sz w:val="18"/>
              </w:rPr>
              <w:t>7</w:t>
            </w:r>
          </w:p>
        </w:tc>
        <w:tc>
          <w:tcPr>
            <w:tcW w:type="dxa" w:w="3798"/>
          </w:tcPr>
          <w:p>
            <w:pPr>
              <w:spacing w:after="40"/>
            </w:pPr>
            <w:r/>
            <w:r>
              <w:rPr>
                <w:b w:val="0"/>
                <w:i w:val="0"/>
                <w:sz w:val="18"/>
              </w:rPr>
              <w:t>Obtener el certificado de existencia y representación de COMFAORIENTE (Cámara de Comercio de Cúcuta) para tomar el correo de notificaciones judiciales; NIT y dirección ya verificados</w:t>
            </w:r>
          </w:p>
        </w:tc>
        <w:tc>
          <w:tcPr>
            <w:tcW w:type="dxa" w:w="1417"/>
          </w:tcPr>
          <w:p>
            <w:pPr>
              <w:spacing w:after="40"/>
            </w:pPr>
            <w:r/>
            <w:r>
              <w:rPr>
                <w:b w:val="0"/>
                <w:i w:val="0"/>
                <w:sz w:val="18"/>
              </w:rPr>
              <w:t>Abogados</w:t>
            </w:r>
          </w:p>
        </w:tc>
        <w:tc>
          <w:tcPr>
            <w:tcW w:type="dxa" w:w="3402"/>
          </w:tcPr>
          <w:p>
            <w:pPr>
              <w:spacing w:after="40"/>
            </w:pPr>
            <w:r/>
            <w:r>
              <w:rPr>
                <w:b w:val="0"/>
                <w:i w:val="0"/>
                <w:sz w:val="18"/>
              </w:rPr>
              <w:t>Oficio de embargo de salario</w:t>
            </w:r>
          </w:p>
        </w:tc>
      </w:tr>
      <w:tr>
        <w:tc>
          <w:tcPr>
            <w:tcW w:type="dxa" w:w="454"/>
          </w:tcPr>
          <w:p>
            <w:pPr>
              <w:spacing w:after="40"/>
            </w:pPr>
            <w:r/>
            <w:r>
              <w:rPr>
                <w:b w:val="0"/>
                <w:i w:val="0"/>
                <w:sz w:val="18"/>
              </w:rPr>
              <w:t>8</w:t>
            </w:r>
          </w:p>
        </w:tc>
        <w:tc>
          <w:tcPr>
            <w:tcW w:type="dxa" w:w="3798"/>
          </w:tcPr>
          <w:p>
            <w:pPr>
              <w:spacing w:after="40"/>
            </w:pPr>
            <w:r/>
            <w:r>
              <w:rPr>
                <w:b w:val="0"/>
                <w:i w:val="0"/>
                <w:sz w:val="18"/>
              </w:rPr>
              <w:t>Confirmar que los correos djbc23@hotmail.com y Danielabotia_03@hotmail.com son los inscritos en el Registro Nacional de Abogados (SIRNA) para cada apoderado</w:t>
            </w:r>
          </w:p>
        </w:tc>
        <w:tc>
          <w:tcPr>
            <w:tcW w:type="dxa" w:w="1417"/>
          </w:tcPr>
          <w:p>
            <w:pPr>
              <w:spacing w:after="40"/>
            </w:pPr>
            <w:r/>
            <w:r>
              <w:rPr>
                <w:b w:val="0"/>
                <w:i w:val="0"/>
                <w:sz w:val="18"/>
              </w:rPr>
              <w:t>Dr. Bernal / Dra. Botia</w:t>
            </w:r>
          </w:p>
        </w:tc>
        <w:tc>
          <w:tcPr>
            <w:tcW w:type="dxa" w:w="3402"/>
          </w:tcPr>
          <w:p>
            <w:pPr>
              <w:spacing w:after="40"/>
            </w:pPr>
            <w:r/>
            <w:r>
              <w:rPr>
                <w:b w:val="0"/>
                <w:i w:val="0"/>
                <w:sz w:val="18"/>
              </w:rPr>
              <w:t>Art. 5 Ley 2213/2022: los juzgados inadmiten cuando el correo del poder no coincide con el del RNA</w:t>
            </w:r>
          </w:p>
        </w:tc>
      </w:tr>
      <w:tr>
        <w:tc>
          <w:tcPr>
            <w:tcW w:type="dxa" w:w="454"/>
          </w:tcPr>
          <w:p>
            <w:pPr>
              <w:spacing w:after="40"/>
            </w:pPr>
            <w:r/>
            <w:r>
              <w:rPr>
                <w:b w:val="0"/>
                <w:i w:val="0"/>
                <w:sz w:val="18"/>
              </w:rPr>
              <w:t>9</w:t>
            </w:r>
          </w:p>
        </w:tc>
        <w:tc>
          <w:tcPr>
            <w:tcW w:type="dxa" w:w="3798"/>
          </w:tcPr>
          <w:p>
            <w:pPr>
              <w:spacing w:after="40"/>
            </w:pPr>
            <w:r/>
            <w:r>
              <w:rPr>
                <w:b w:val="0"/>
                <w:i w:val="0"/>
                <w:sz w:val="18"/>
              </w:rPr>
              <w:t>Correo electrónico y celular de María del Pilar, si la clienta los conoce, y cómo los obtuvo (chats previos)</w:t>
            </w:r>
          </w:p>
        </w:tc>
        <w:tc>
          <w:tcPr>
            <w:tcW w:type="dxa" w:w="1417"/>
          </w:tcPr>
          <w:p>
            <w:pPr>
              <w:spacing w:after="40"/>
            </w:pPr>
            <w:r/>
            <w:r>
              <w:rPr>
                <w:b w:val="0"/>
                <w:i w:val="0"/>
                <w:sz w:val="18"/>
              </w:rPr>
              <w:t>Clienta</w:t>
            </w:r>
          </w:p>
        </w:tc>
        <w:tc>
          <w:tcPr>
            <w:tcW w:type="dxa" w:w="3402"/>
          </w:tcPr>
          <w:p>
            <w:pPr>
              <w:spacing w:after="40"/>
            </w:pPr>
            <w:r/>
            <w:r>
              <w:rPr>
                <w:b w:val="0"/>
                <w:i w:val="0"/>
                <w:sz w:val="18"/>
              </w:rPr>
              <w:t>Notificación por correo (art. 8, Ley 2213/2022) exige juramento, forma de obtención y evidencias. Si no se conocen, se mantiene la manifestación de desconocimiento ya incluida</w:t>
            </w:r>
          </w:p>
        </w:tc>
      </w:tr>
      <w:tr>
        <w:tc>
          <w:tcPr>
            <w:tcW w:type="dxa" w:w="454"/>
          </w:tcPr>
          <w:p>
            <w:pPr>
              <w:spacing w:after="40"/>
            </w:pPr>
            <w:r/>
            <w:r>
              <w:rPr>
                <w:b w:val="0"/>
                <w:i w:val="0"/>
                <w:sz w:val="18"/>
              </w:rPr>
              <w:t>10</w:t>
            </w:r>
          </w:p>
        </w:tc>
        <w:tc>
          <w:tcPr>
            <w:tcW w:type="dxa" w:w="3798"/>
          </w:tcPr>
          <w:p>
            <w:pPr>
              <w:spacing w:after="40"/>
            </w:pPr>
            <w:r/>
            <w:r>
              <w:rPr>
                <w:b w:val="0"/>
                <w:i w:val="0"/>
                <w:sz w:val="18"/>
              </w:rPr>
              <w:t>Copia de la cédula de la clienta</w:t>
            </w:r>
          </w:p>
        </w:tc>
        <w:tc>
          <w:tcPr>
            <w:tcW w:type="dxa" w:w="1417"/>
          </w:tcPr>
          <w:p>
            <w:pPr>
              <w:spacing w:after="40"/>
            </w:pPr>
            <w:r/>
            <w:r>
              <w:rPr>
                <w:b w:val="0"/>
                <w:i w:val="0"/>
                <w:sz w:val="18"/>
              </w:rPr>
              <w:t>Clienta</w:t>
            </w:r>
          </w:p>
        </w:tc>
        <w:tc>
          <w:tcPr>
            <w:tcW w:type="dxa" w:w="3402"/>
          </w:tcPr>
          <w:p>
            <w:pPr>
              <w:spacing w:after="40"/>
            </w:pPr>
            <w:r/>
            <w:r>
              <w:rPr>
                <w:b w:val="0"/>
                <w:i w:val="0"/>
                <w:sz w:val="18"/>
              </w:rPr>
              <w:t>Anexo</w:t>
            </w:r>
          </w:p>
        </w:tc>
      </w:tr>
      <w:tr>
        <w:tc>
          <w:tcPr>
            <w:tcW w:type="dxa" w:w="454"/>
          </w:tcPr>
          <w:p>
            <w:pPr>
              <w:spacing w:after="40"/>
            </w:pPr>
            <w:r/>
            <w:r>
              <w:rPr>
                <w:b w:val="0"/>
                <w:i w:val="0"/>
                <w:sz w:val="18"/>
              </w:rPr>
              <w:t>11</w:t>
            </w:r>
          </w:p>
        </w:tc>
        <w:tc>
          <w:tcPr>
            <w:tcW w:type="dxa" w:w="3798"/>
          </w:tcPr>
          <w:p>
            <w:pPr>
              <w:spacing w:after="40"/>
            </w:pPr>
            <w:r/>
            <w:r>
              <w:rPr>
                <w:b w:val="0"/>
                <w:i w:val="0"/>
                <w:sz w:val="18"/>
              </w:rPr>
              <w:t>Certificación o pantallazo de la Superintendencia Financiera con el interés bancario corriente del mes de radicación</w:t>
            </w:r>
          </w:p>
        </w:tc>
        <w:tc>
          <w:tcPr>
            <w:tcW w:type="dxa" w:w="1417"/>
          </w:tcPr>
          <w:p>
            <w:pPr>
              <w:spacing w:after="40"/>
            </w:pPr>
            <w:r/>
            <w:r>
              <w:rPr>
                <w:b w:val="0"/>
                <w:i w:val="0"/>
                <w:sz w:val="18"/>
              </w:rPr>
              <w:t>Abogados</w:t>
            </w:r>
          </w:p>
        </w:tc>
        <w:tc>
          <w:tcPr>
            <w:tcW w:type="dxa" w:w="3402"/>
          </w:tcPr>
          <w:p>
            <w:pPr>
              <w:spacing w:after="40"/>
            </w:pPr>
            <w:r/>
            <w:r>
              <w:rPr>
                <w:b w:val="0"/>
                <w:i w:val="0"/>
                <w:sz w:val="18"/>
              </w:rPr>
              <w:t>Anexo opcional; facilita la liquidación</w:t>
            </w:r>
          </w:p>
        </w:tc>
      </w:tr>
      <w:tr>
        <w:tc>
          <w:tcPr>
            <w:tcW w:type="dxa" w:w="454"/>
          </w:tcPr>
          <w:p>
            <w:pPr>
              <w:spacing w:after="40"/>
            </w:pPr>
            <w:r/>
            <w:r>
              <w:rPr>
                <w:b w:val="0"/>
                <w:i w:val="0"/>
                <w:sz w:val="18"/>
              </w:rPr>
              <w:t>13</w:t>
            </w:r>
          </w:p>
        </w:tc>
        <w:tc>
          <w:tcPr>
            <w:tcW w:type="dxa" w:w="3798"/>
          </w:tcPr>
          <w:p>
            <w:pPr>
              <w:spacing w:after="40"/>
            </w:pPr>
            <w:r/>
            <w:r>
              <w:rPr>
                <w:b w:val="0"/>
                <w:i w:val="0"/>
                <w:sz w:val="18"/>
              </w:rPr>
              <w:t>Aclarar el apunte de la libreta "1.500.000 se abonó a capital": ¿es parte de los $4.778.118 que la clienta aplicó a su crédito, o un abono adicional de los deudores?</w:t>
            </w:r>
          </w:p>
        </w:tc>
        <w:tc>
          <w:tcPr>
            <w:tcW w:type="dxa" w:w="1417"/>
          </w:tcPr>
          <w:p>
            <w:pPr>
              <w:spacing w:after="40"/>
            </w:pPr>
            <w:r/>
            <w:r>
              <w:rPr>
                <w:b w:val="0"/>
                <w:i w:val="0"/>
                <w:sz w:val="18"/>
              </w:rPr>
              <w:t>Clienta</w:t>
            </w:r>
          </w:p>
        </w:tc>
        <w:tc>
          <w:tcPr>
            <w:tcW w:type="dxa" w:w="3402"/>
          </w:tcPr>
          <w:p>
            <w:pPr>
              <w:spacing w:after="40"/>
            </w:pPr>
            <w:r/>
            <w:r>
              <w:rPr>
                <w:b w:val="0"/>
                <w:i w:val="0"/>
                <w:sz w:val="18"/>
              </w:rPr>
              <w:t>Si es adicional, la letra baja a $19.606.522 (escenario D). No llenar la letra sin resolverlo</w:t>
            </w:r>
          </w:p>
        </w:tc>
      </w:tr>
      <w:tr>
        <w:tc>
          <w:tcPr>
            <w:tcW w:type="dxa" w:w="454"/>
          </w:tcPr>
          <w:p>
            <w:pPr>
              <w:spacing w:after="40"/>
            </w:pPr>
            <w:r/>
            <w:r>
              <w:rPr>
                <w:b w:val="0"/>
                <w:i w:val="0"/>
                <w:sz w:val="18"/>
              </w:rPr>
              <w:t>14</w:t>
            </w:r>
          </w:p>
        </w:tc>
        <w:tc>
          <w:tcPr>
            <w:tcW w:type="dxa" w:w="3798"/>
          </w:tcPr>
          <w:p>
            <w:pPr>
              <w:spacing w:after="40"/>
            </w:pPr>
            <w:r/>
            <w:r>
              <w:rPr>
                <w:b w:val="0"/>
                <w:i w:val="0"/>
                <w:sz w:val="18"/>
              </w:rPr>
              <w:t>Reunir prueba de cuánto dinero se entregó efectivamente a Camilo y a María del Pilar (transferencias, consignaciones, retiros, pagos por cuenta de ellos) y del desembolso neto del Banco de Bogotá</w:t>
            </w:r>
          </w:p>
        </w:tc>
        <w:tc>
          <w:tcPr>
            <w:tcW w:type="dxa" w:w="1417"/>
          </w:tcPr>
          <w:p>
            <w:pPr>
              <w:spacing w:after="40"/>
            </w:pPr>
            <w:r/>
            <w:r>
              <w:rPr>
                <w:b w:val="0"/>
                <w:i w:val="0"/>
                <w:sz w:val="18"/>
              </w:rPr>
              <w:t>Clienta / Abogados</w:t>
            </w:r>
          </w:p>
        </w:tc>
        <w:tc>
          <w:tcPr>
            <w:tcW w:type="dxa" w:w="3402"/>
          </w:tcPr>
          <w:p>
            <w:pPr>
              <w:spacing w:after="40"/>
            </w:pPr>
            <w:r/>
            <w:r>
              <w:rPr>
                <w:b w:val="0"/>
                <w:i w:val="0"/>
                <w:sz w:val="18"/>
              </w:rPr>
              <w:t>La letra debe llenarse con lo entregado, no con el monto bruto del crédito; es la defensa frente al art. 784, num. 12, C. de Co.</w:t>
            </w:r>
          </w:p>
        </w:tc>
      </w:tr>
      <w:tr>
        <w:tc>
          <w:tcPr>
            <w:tcW w:type="dxa" w:w="454"/>
          </w:tcPr>
          <w:p>
            <w:pPr>
              <w:spacing w:after="40"/>
            </w:pPr>
            <w:r/>
            <w:r>
              <w:rPr>
                <w:b w:val="0"/>
                <w:i w:val="0"/>
                <w:sz w:val="18"/>
              </w:rPr>
              <w:t>15</w:t>
            </w:r>
          </w:p>
        </w:tc>
        <w:tc>
          <w:tcPr>
            <w:tcW w:type="dxa" w:w="3798"/>
          </w:tcPr>
          <w:p>
            <w:pPr>
              <w:spacing w:after="40"/>
            </w:pPr>
            <w:r/>
            <w:r>
              <w:rPr>
                <w:b w:val="0"/>
                <w:i w:val="0"/>
                <w:sz w:val="18"/>
              </w:rPr>
              <w:t>Reunir los chats donde la clienta pidió el pago y donde María del Pilar reconoce la deuda o anuncia abonos; NO enviar un requerimiento nuevo que la alerte antes del embargo</w:t>
            </w:r>
          </w:p>
        </w:tc>
        <w:tc>
          <w:tcPr>
            <w:tcW w:type="dxa" w:w="1417"/>
          </w:tcPr>
          <w:p>
            <w:pPr>
              <w:spacing w:after="40"/>
            </w:pPr>
            <w:r/>
            <w:r>
              <w:rPr>
                <w:b w:val="0"/>
                <w:i w:val="0"/>
                <w:sz w:val="18"/>
              </w:rPr>
              <w:t>Clienta</w:t>
            </w:r>
          </w:p>
        </w:tc>
        <w:tc>
          <w:tcPr>
            <w:tcW w:type="dxa" w:w="3402"/>
          </w:tcPr>
          <w:p>
            <w:pPr>
              <w:spacing w:after="40"/>
            </w:pPr>
            <w:r/>
            <w:r>
              <w:rPr>
                <w:b w:val="0"/>
                <w:i w:val="0"/>
                <w:sz w:val="18"/>
              </w:rPr>
              <w:t>Un vencimiento a 7 días es lícito (art. 622), pero si la deudora prueba que lo pactado era pagar por cuotas hasta 2032, alegará llenado contrario a las instrucciones respecto del vencimiento; la prueba del incumplimiento previo del plan de pagos neutraliza esa excepción</w:t>
            </w:r>
          </w:p>
        </w:tc>
      </w:tr>
      <w:tr>
        <w:tc>
          <w:tcPr>
            <w:tcW w:type="dxa" w:w="454"/>
          </w:tcPr>
          <w:p>
            <w:pPr>
              <w:spacing w:after="40"/>
            </w:pPr>
            <w:r/>
            <w:r>
              <w:rPr>
                <w:b w:val="0"/>
                <w:i w:val="0"/>
                <w:sz w:val="18"/>
              </w:rPr>
              <w:t>16</w:t>
            </w:r>
          </w:p>
        </w:tc>
        <w:tc>
          <w:tcPr>
            <w:tcW w:type="dxa" w:w="3798"/>
          </w:tcPr>
          <w:p>
            <w:pPr>
              <w:spacing w:after="40"/>
            </w:pPr>
            <w:r/>
            <w:r>
              <w:rPr>
                <w:b w:val="0"/>
                <w:i w:val="0"/>
                <w:sz w:val="18"/>
              </w:rPr>
              <w:t>Verificar en el certificado de tradición si el apartamento es vivienda de interés social adquirida con subsidio (patrimonio de familia por ministerio de la ley, Ley 9 de 1989, art. 60, y Ley 3 de 1991)</w:t>
            </w:r>
          </w:p>
        </w:tc>
        <w:tc>
          <w:tcPr>
            <w:tcW w:type="dxa" w:w="1417"/>
          </w:tcPr>
          <w:p>
            <w:pPr>
              <w:spacing w:after="40"/>
            </w:pPr>
            <w:r/>
            <w:r>
              <w:rPr>
                <w:b w:val="0"/>
                <w:i w:val="0"/>
                <w:sz w:val="18"/>
              </w:rPr>
              <w:t>Abogados</w:t>
            </w:r>
          </w:p>
        </w:tc>
        <w:tc>
          <w:tcPr>
            <w:tcW w:type="dxa" w:w="3402"/>
          </w:tcPr>
          <w:p>
            <w:pPr>
              <w:spacing w:after="40"/>
            </w:pPr>
            <w:r/>
            <w:r>
              <w:rPr>
                <w:b w:val="0"/>
                <w:i w:val="0"/>
                <w:sz w:val="18"/>
              </w:rPr>
              <w:t>Igual efecto que la afectación a vivienda familiar: impide el embargo</w:t>
            </w:r>
          </w:p>
        </w:tc>
      </w:tr>
      <w:tr>
        <w:tc>
          <w:tcPr>
            <w:tcW w:type="dxa" w:w="454"/>
          </w:tcPr>
          <w:p>
            <w:pPr>
              <w:spacing w:after="40"/>
            </w:pPr>
            <w:r/>
            <w:r>
              <w:rPr>
                <w:b w:val="0"/>
                <w:i w:val="0"/>
                <w:sz w:val="18"/>
              </w:rPr>
              <w:t>12</w:t>
            </w:r>
          </w:p>
        </w:tc>
        <w:tc>
          <w:tcPr>
            <w:tcW w:type="dxa" w:w="3798"/>
          </w:tcPr>
          <w:p>
            <w:pPr>
              <w:spacing w:after="40"/>
            </w:pPr>
            <w:r/>
            <w:r>
              <w:rPr>
                <w:b w:val="0"/>
                <w:i w:val="0"/>
                <w:sz w:val="18"/>
              </w:rPr>
              <w:t>Guardar y organizar la prueba del negocio causal: desembolso del crédito de libranza (marzo 2023), transferencias o entregas a los deudores, chats de WhatsApp, libreta, recibos de Remitly, extracto de aplicación de pagos del Banco de Bogotá</w:t>
            </w:r>
          </w:p>
        </w:tc>
        <w:tc>
          <w:tcPr>
            <w:tcW w:type="dxa" w:w="1417"/>
          </w:tcPr>
          <w:p>
            <w:pPr>
              <w:spacing w:after="40"/>
            </w:pPr>
            <w:r/>
            <w:r>
              <w:rPr>
                <w:b w:val="0"/>
                <w:i w:val="0"/>
                <w:sz w:val="18"/>
              </w:rPr>
              <w:t>Clienta / Abogados</w:t>
            </w:r>
          </w:p>
        </w:tc>
        <w:tc>
          <w:tcPr>
            <w:tcW w:type="dxa" w:w="3402"/>
          </w:tcPr>
          <w:p>
            <w:pPr>
              <w:spacing w:after="40"/>
            </w:pPr>
            <w:r/>
            <w:r>
              <w:rPr>
                <w:b w:val="0"/>
                <w:i w:val="0"/>
                <w:sz w:val="18"/>
              </w:rPr>
              <w:t>No se anexan a la demanda; se usan para replicar las excepciones de negocio causal (art. 784, num. 12, C. de Co.), pago o llenado abusivo</w:t>
            </w:r>
          </w:p>
        </w:tc>
      </w:tr>
    </w:tbl>
    <w:p>
      <w:pPr>
        <w:spacing w:after="80"/>
      </w:pPr>
    </w:p>
    <w:p>
      <w:pPr>
        <w:keepNext/>
        <w:spacing w:after="120" w:before="240"/>
        <w:jc w:val="left"/>
      </w:pPr>
      <w:r>
        <w:rPr>
          <w:b/>
          <w:i w:val="0"/>
          <w:sz w:val="24"/>
        </w:rPr>
        <w:t>5. RIESGOS PREVISTOS Y CÓMO ESTÁN MITIGADOS</w:t>
      </w:r>
    </w:p>
    <w:p>
      <w:pPr>
        <w:spacing w:after="120" w:before="0"/>
        <w:ind w:left="425" w:hanging="283"/>
        <w:jc w:val="both"/>
      </w:pPr>
      <w:r>
        <w:rPr>
          <w:b w:val="0"/>
          <w:i w:val="0"/>
        </w:rPr>
        <w:t xml:space="preserve">– </w:t>
      </w:r>
      <w:r>
        <w:rPr>
          <w:b/>
          <w:i w:val="0"/>
        </w:rPr>
        <w:t>Excepción de llenado abusivo (arts. 622 y 784 C. de Co.):</w:t>
      </w:r>
      <w:r>
        <w:rPr>
          <w:b w:val="0"/>
          <w:i w:val="0"/>
        </w:rPr>
        <w:t xml:space="preserve"> la carga de probar que el llenado contrarió las instrucciones es de la deudora (CSJ STC3298-2019, M.P. Luis Armando Tolosa Villabona; Corte Constitucional T-968 de 2011, M.P. Gabriel Eduardo Mendoza Martelo; Tribunal Superior de Cúcuta, TSC(SCF)149-2021). Las instrucciones pueden ser verbales o posteriores; no se requiere carta escrita. Mitigación: consignar exactamente el capital insoluto documentado.</w:t>
      </w:r>
    </w:p>
    <w:p>
      <w:pPr>
        <w:spacing w:after="120" w:before="0"/>
        <w:ind w:left="425" w:hanging="283"/>
        <w:jc w:val="both"/>
      </w:pPr>
      <w:r>
        <w:rPr>
          <w:b w:val="0"/>
          <w:i w:val="0"/>
        </w:rPr>
        <w:t xml:space="preserve">– </w:t>
      </w:r>
      <w:r>
        <w:rPr>
          <w:b/>
          <w:i w:val="0"/>
        </w:rPr>
        <w:t>Falta de firma del girador / girador = beneficiaria:</w:t>
      </w:r>
      <w:r>
        <w:rPr>
          <w:b w:val="0"/>
          <w:i w:val="0"/>
        </w:rPr>
        <w:t xml:space="preserve"> resuelto con la firma de la clienta como giradora (art. 621 C. de Co.) y el art. 676. La CSJ STC4164-2019 (2-abr-2019, M.P. Ariel Salazar Ramírez) amparó a un acreedor cuya letra carecía de firma del girador en su espacio, señalando que cuando el deudor firma solo como aceptante se supone que hizo también de girador; se cita en la guía, no en la demanda, porque con la firma de la giradora el punto queda cerrado por la ley.</w:t>
      </w:r>
    </w:p>
    <w:p>
      <w:pPr>
        <w:spacing w:after="120" w:before="0"/>
        <w:ind w:left="425" w:hanging="283"/>
        <w:jc w:val="both"/>
      </w:pPr>
      <w:r>
        <w:rPr>
          <w:b w:val="0"/>
          <w:i w:val="0"/>
        </w:rPr>
        <w:t xml:space="preserve">– </w:t>
      </w:r>
      <w:r>
        <w:rPr>
          <w:b/>
          <w:i w:val="0"/>
        </w:rPr>
        <w:t>Denuncia penal por "falsedad" al llenar la letra:</w:t>
      </w:r>
      <w:r>
        <w:rPr>
          <w:b w:val="0"/>
          <w:i w:val="0"/>
        </w:rPr>
        <w:t xml:space="preserve"> la CSJ, Sala Penal, SP018-2023 (rad. 60248, M.P. Diego Eugenio Corredor Beltrán) absolvió a una tenedora que llenó una letra sin instrucciones escritas: no hay falsedad ideológica en documento privado.</w:t>
      </w:r>
    </w:p>
    <w:p>
      <w:pPr>
        <w:spacing w:after="120" w:before="0"/>
        <w:ind w:left="425" w:hanging="283"/>
        <w:jc w:val="both"/>
      </w:pPr>
      <w:r>
        <w:rPr>
          <w:b w:val="0"/>
          <w:i w:val="0"/>
        </w:rPr>
        <w:t xml:space="preserve">– </w:t>
      </w:r>
      <w:r>
        <w:rPr>
          <w:b/>
          <w:i w:val="0"/>
        </w:rPr>
        <w:t>Excepciones del negocio causal (art. 784, num. 12):</w:t>
      </w:r>
      <w:r>
        <w:rPr>
          <w:b w:val="0"/>
          <w:i w:val="0"/>
        </w:rPr>
        <w:t xml:space="preserve"> como la acreedora es parte del mutuo, la deudora puede alegar que recibió menos o que pagó; por eso la cifra descuenta todos los abonos conocidos (llenado estrictamente conforme a la autorización, art. 622, inc. 3) y se conserva la prueba del desembolso y de las entregas. Como co-aceptante responde por el total aunque el dinero lo haya recibido Camilo (art. 632); sus propios abonos de 2025 son reconocimiento de la deuda.</w:t>
      </w:r>
    </w:p>
    <w:p>
      <w:pPr>
        <w:spacing w:after="120" w:before="0"/>
        <w:ind w:left="425" w:hanging="283"/>
        <w:jc w:val="both"/>
      </w:pPr>
      <w:r>
        <w:rPr>
          <w:b w:val="0"/>
          <w:i w:val="0"/>
        </w:rPr>
        <w:t xml:space="preserve">– </w:t>
      </w:r>
      <w:r>
        <w:rPr>
          <w:b/>
          <w:i w:val="0"/>
        </w:rPr>
        <w:t>Vencimiento a 7 días frente a un acuerdo de pago por cuotas:</w:t>
      </w:r>
      <w:r>
        <w:rPr>
          <w:b w:val="0"/>
          <w:i w:val="0"/>
        </w:rPr>
        <w:t xml:space="preserve"> la excepción de llenado contrario a las instrucciones puede recaer sobre el vencimiento, no solo sobre el valor. Se neutraliza con la prueba del incumplimiento del plan de pagos (María del Pilar solo abonó $2.500.000 en 2025 y nada en 2026) y de los requerimientos previos (pendiente 15).</w:t>
      </w:r>
    </w:p>
    <w:p>
      <w:pPr>
        <w:spacing w:after="120" w:before="0"/>
        <w:ind w:left="425" w:hanging="283"/>
        <w:jc w:val="both"/>
      </w:pPr>
      <w:r>
        <w:rPr>
          <w:b w:val="0"/>
          <w:i w:val="0"/>
        </w:rPr>
        <w:t xml:space="preserve">– </w:t>
      </w:r>
      <w:r>
        <w:rPr>
          <w:b/>
          <w:i w:val="0"/>
        </w:rPr>
        <w:t>Decisión estratégica que debe quedar por escrito con la clienta:</w:t>
      </w:r>
      <w:r>
        <w:rPr>
          <w:b w:val="0"/>
          <w:i w:val="0"/>
        </w:rPr>
        <w:t xml:space="preserve"> los intereses que ella paga al banco (pasados y futuros, unos $11 millones) no van en la letra y su recuperación por otra vía es incierta; a cambio, la letra por capital insoluto se prueba con el desembolso, el título y los abonos, y los moratorios al tope legal cubren casi toda la cuota bancaria.</w:t>
      </w:r>
    </w:p>
    <w:p>
      <w:pPr>
        <w:spacing w:after="120" w:before="0"/>
        <w:ind w:left="425" w:hanging="283"/>
        <w:jc w:val="both"/>
      </w:pPr>
      <w:r>
        <w:rPr>
          <w:b w:val="0"/>
          <w:i w:val="0"/>
        </w:rPr>
        <w:t xml:space="preserve">– </w:t>
      </w:r>
      <w:r>
        <w:rPr>
          <w:b/>
          <w:i w:val="0"/>
        </w:rPr>
        <w:t>Inmueble con afectación a vivienda familiar o patrimonio de familia:</w:t>
      </w:r>
      <w:r>
        <w:rPr>
          <w:b w:val="0"/>
          <w:i w:val="0"/>
        </w:rPr>
        <w:t xml:space="preserve"> se detecta en el certificado de tradición antes de radicar; si existe, se retira esa medida y se concentra la ejecución en el salario y las cuentas (CSJ STC2370-2021; Corte Constitucional C-664 de 1998 y T-468 de 2022).</w:t>
      </w:r>
    </w:p>
    <w:p>
      <w:pPr>
        <w:spacing w:after="120" w:before="0"/>
        <w:ind w:left="425" w:hanging="283"/>
        <w:jc w:val="both"/>
      </w:pPr>
      <w:r>
        <w:rPr>
          <w:b w:val="0"/>
          <w:i w:val="0"/>
        </w:rPr>
        <w:t xml:space="preserve">– </w:t>
      </w:r>
      <w:r>
        <w:rPr>
          <w:b/>
          <w:i w:val="0"/>
        </w:rPr>
        <w:t>Embargo de salario:</w:t>
      </w:r>
      <w:r>
        <w:rPr>
          <w:b w:val="0"/>
          <w:i w:val="0"/>
        </w:rPr>
        <w:t xml:space="preserve"> solo la quinta parte del excedente del salario mínimo (arts. 154-156 CST; art. 594, num. 1, CGP; Corte Constitucional T-891 de 2013).</w:t>
      </w:r>
    </w:p>
    <w:p>
      <w:pPr>
        <w:spacing w:after="120" w:before="0"/>
        <w:ind w:left="425" w:hanging="283"/>
        <w:jc w:val="both"/>
      </w:pPr>
      <w:r>
        <w:rPr>
          <w:b w:val="0"/>
          <w:i w:val="0"/>
        </w:rPr>
        <w:t xml:space="preserve">– </w:t>
      </w:r>
      <w:r>
        <w:rPr>
          <w:b/>
          <w:i w:val="0"/>
        </w:rPr>
        <w:t>Prescripción:</w:t>
      </w:r>
      <w:r>
        <w:rPr>
          <w:b w:val="0"/>
          <w:i w:val="0"/>
        </w:rPr>
        <w:t xml:space="preserve"> tres años desde el vencimiento (art. 789 C. de Co.); con vencimiento el 8 de octubre de 2026 no hay riesgo.</w:t>
      </w:r>
    </w:p>
    <w:p>
      <w:pPr>
        <w:spacing w:after="120" w:before="0"/>
        <w:ind w:left="425" w:hanging="283"/>
        <w:jc w:val="both"/>
      </w:pPr>
      <w:r>
        <w:rPr>
          <w:b w:val="0"/>
          <w:i w:val="0"/>
        </w:rPr>
        <w:t xml:space="preserve">– </w:t>
      </w:r>
      <w:r>
        <w:rPr>
          <w:b/>
          <w:i w:val="0"/>
        </w:rPr>
        <w:t>Original del título:</w:t>
      </w:r>
      <w:r>
        <w:rPr>
          <w:b w:val="0"/>
          <w:i w:val="0"/>
        </w:rPr>
        <w:t xml:space="preserve"> la CSJ (STC2392-2022, M.P. Octavio Augusto Tejeiro Duque) considera exceso ritual exigir el original físico en la etapa inicial bajo la Ley 2213, pero los juzgados de Cúcuta suelen pedirlo antes del mandamiento: llevarlo y entregarlo.</w:t>
      </w:r>
    </w:p>
    <w:p>
      <w:pPr>
        <w:spacing w:after="120" w:before="0"/>
        <w:ind w:left="425" w:hanging="283"/>
        <w:jc w:val="both"/>
      </w:pPr>
      <w:r>
        <w:rPr>
          <w:b w:val="0"/>
          <w:i w:val="0"/>
        </w:rPr>
        <w:t xml:space="preserve">– </w:t>
      </w:r>
      <w:r>
        <w:rPr>
          <w:b/>
          <w:i w:val="0"/>
        </w:rPr>
        <w:t>Inadmisión por hechos que no coincidan con la letra:</w:t>
      </w:r>
      <w:r>
        <w:rPr>
          <w:b w:val="0"/>
          <w:i w:val="0"/>
        </w:rPr>
        <w:t xml:space="preserve"> el Juzgado 28 Civil Municipal de Oralidad de Medellín inadmitió una demanda ejecutiva porque la fecha de la letra en los hechos no coincidía con el título (rad. 2021-00406, auto de 9-abr-2021, publicado en portalhistorico.ramajudicial.gov.co). Antes de radicar, cotejar cada dato de la letra (número, fechas, valor, lugar, textos preimpresos entrecomillados en el hecho 3) con los hechos 1 a 4 y con la pretensión primera.</w:t>
      </w:r>
    </w:p>
    <w:p>
      <w:pPr>
        <w:keepNext/>
        <w:spacing w:after="120" w:before="240"/>
        <w:jc w:val="left"/>
      </w:pPr>
      <w:r>
        <w:rPr>
          <w:b/>
          <w:i w:val="0"/>
          <w:sz w:val="24"/>
        </w:rPr>
        <w:t>6. REVISIÓN DE LA LIQUIDACIÓN PROVISIONAL (31 DE AGOSTO DE 2026)</w:t>
      </w:r>
    </w:p>
    <w:p>
      <w:pPr>
        <w:spacing w:after="120" w:before="0"/>
        <w:jc w:val="both"/>
      </w:pPr>
      <w:r>
        <w:rPr>
          <w:b w:val="0"/>
          <w:i w:val="0"/>
        </w:rPr>
        <w:t>Se verificó la aritmética con hoja de cálculo. Resultados:</w:t>
      </w:r>
    </w:p>
    <w:tbl>
      <w:tblPr>
        <w:tblStyle w:val="TableGrid"/>
        <w:tblW w:type="auto" w:w="0"/>
        <w:jc w:val="center"/>
        <w:tblLook w:firstColumn="1" w:firstRow="1" w:lastColumn="0" w:lastRow="0" w:noHBand="0" w:noVBand="1" w:val="04A0"/>
      </w:tblPr>
      <w:tblGrid>
        <w:gridCol w:w="3041"/>
        <w:gridCol w:w="3041"/>
        <w:gridCol w:w="3041"/>
      </w:tblGrid>
      <w:tr>
        <w:tc>
          <w:tcPr>
            <w:tcW w:type="dxa" w:w="3118"/>
            <w:shd w:val="clear" w:color="auto" w:fill="D9D9D9"/>
          </w:tcPr>
          <w:p>
            <w:pPr>
              <w:spacing w:after="40"/>
            </w:pPr>
            <w:r/>
            <w:r>
              <w:rPr>
                <w:b/>
                <w:i w:val="0"/>
                <w:sz w:val="18"/>
              </w:rPr>
              <w:t>Punto de la liquidación</w:t>
            </w:r>
          </w:p>
        </w:tc>
        <w:tc>
          <w:tcPr>
            <w:tcW w:type="dxa" w:w="3402"/>
            <w:shd w:val="clear" w:color="auto" w:fill="D9D9D9"/>
          </w:tcPr>
          <w:p>
            <w:pPr>
              <w:spacing w:after="40"/>
            </w:pPr>
            <w:r/>
            <w:r>
              <w:rPr>
                <w:b/>
                <w:i w:val="0"/>
                <w:sz w:val="18"/>
              </w:rPr>
              <w:t>Verificación</w:t>
            </w:r>
          </w:p>
        </w:tc>
        <w:tc>
          <w:tcPr>
            <w:tcW w:type="dxa" w:w="3118"/>
            <w:shd w:val="clear" w:color="auto" w:fill="D9D9D9"/>
          </w:tcPr>
          <w:p>
            <w:pPr>
              <w:spacing w:after="40"/>
            </w:pPr>
            <w:r/>
            <w:r>
              <w:rPr>
                <w:b/>
                <w:i w:val="0"/>
                <w:sz w:val="18"/>
              </w:rPr>
              <w:t>Ajuste propuesto</w:t>
            </w:r>
          </w:p>
        </w:tc>
      </w:tr>
      <w:tr>
        <w:tc>
          <w:tcPr>
            <w:tcW w:type="dxa" w:w="3118"/>
          </w:tcPr>
          <w:p>
            <w:pPr>
              <w:spacing w:after="40"/>
            </w:pPr>
            <w:r/>
            <w:r>
              <w:rPr>
                <w:b w:val="0"/>
                <w:i w:val="0"/>
                <w:sz w:val="18"/>
              </w:rPr>
              <w:t>1. Errores de la libreta (suma $4.778.118; $1.300.118; $3.700.118; créditos de Camilo $6.300.118)</w:t>
            </w:r>
          </w:p>
        </w:tc>
        <w:tc>
          <w:tcPr>
            <w:tcW w:type="dxa" w:w="3402"/>
          </w:tcPr>
          <w:p>
            <w:pPr>
              <w:spacing w:after="40"/>
            </w:pPr>
            <w:r/>
            <w:r>
              <w:rPr>
                <w:b w:val="0"/>
                <w:i w:val="0"/>
                <w:sz w:val="18"/>
              </w:rPr>
              <w:t>Correcto. Los 7 abonos suman $4.778.118.</w:t>
            </w:r>
          </w:p>
        </w:tc>
        <w:tc>
          <w:tcPr>
            <w:tcW w:type="dxa" w:w="3118"/>
          </w:tcPr>
          <w:p>
            <w:pPr>
              <w:spacing w:after="40"/>
            </w:pPr>
            <w:r/>
            <w:r>
              <w:rPr>
                <w:b w:val="0"/>
                <w:i w:val="0"/>
                <w:sz w:val="18"/>
              </w:rPr>
              <w:t>Ninguno.</w:t>
            </w:r>
          </w:p>
        </w:tc>
      </w:tr>
      <w:tr>
        <w:tc>
          <w:tcPr>
            <w:tcW w:type="dxa" w:w="3118"/>
          </w:tcPr>
          <w:p>
            <w:pPr>
              <w:spacing w:after="40"/>
            </w:pPr>
            <w:r/>
            <w:r>
              <w:rPr>
                <w:b w:val="0"/>
                <w:i w:val="0"/>
                <w:sz w:val="18"/>
              </w:rPr>
              <w:t>2. Cuotas pagadas: 29 × $601.196 = $17.434.684; 12 × $557.071 = $6.684.852; total $24.119.536</w:t>
            </w:r>
          </w:p>
        </w:tc>
        <w:tc>
          <w:tcPr>
            <w:tcW w:type="dxa" w:w="3402"/>
          </w:tcPr>
          <w:p>
            <w:pPr>
              <w:spacing w:after="40"/>
            </w:pPr>
            <w:r/>
            <w:r>
              <w:rPr>
                <w:b w:val="0"/>
                <w:i w:val="0"/>
                <w:sz w:val="18"/>
              </w:rPr>
              <w:t>Correcto.</w:t>
            </w:r>
          </w:p>
        </w:tc>
        <w:tc>
          <w:tcPr>
            <w:tcW w:type="dxa" w:w="3118"/>
          </w:tcPr>
          <w:p>
            <w:pPr>
              <w:spacing w:after="40"/>
            </w:pPr>
            <w:r/>
            <w:r>
              <w:rPr>
                <w:b w:val="0"/>
                <w:i w:val="0"/>
                <w:sz w:val="18"/>
              </w:rPr>
              <w:t>Ninguno.</w:t>
            </w:r>
          </w:p>
        </w:tc>
      </w:tr>
      <w:tr>
        <w:tc>
          <w:tcPr>
            <w:tcW w:type="dxa" w:w="3118"/>
          </w:tcPr>
          <w:p>
            <w:pPr>
              <w:spacing w:after="40"/>
            </w:pPr>
            <w:r/>
            <w:r>
              <w:rPr>
                <w:b w:val="0"/>
                <w:i w:val="0"/>
                <w:sz w:val="18"/>
              </w:rPr>
              <w:t>4.1. Cuota de $500.781 al 13,89 % E.A.; 20,77 % E.A. produce $601.196</w:t>
            </w:r>
          </w:p>
        </w:tc>
        <w:tc>
          <w:tcPr>
            <w:tcW w:type="dxa" w:w="3402"/>
          </w:tcPr>
          <w:p>
            <w:pPr>
              <w:spacing w:after="40"/>
            </w:pPr>
            <w:r/>
            <w:r>
              <w:rPr>
                <w:b w:val="0"/>
                <w:i w:val="0"/>
                <w:sz w:val="18"/>
              </w:rPr>
              <w:t>Correcto (recalculado).</w:t>
            </w:r>
          </w:p>
        </w:tc>
        <w:tc>
          <w:tcPr>
            <w:tcW w:type="dxa" w:w="3118"/>
          </w:tcPr>
          <w:p>
            <w:pPr>
              <w:spacing w:after="40"/>
            </w:pPr>
            <w:r/>
            <w:r>
              <w:rPr>
                <w:b w:val="0"/>
                <w:i w:val="0"/>
                <w:sz w:val="18"/>
              </w:rPr>
              <w:t>Ninguno.</w:t>
            </w:r>
          </w:p>
        </w:tc>
      </w:tr>
      <w:tr>
        <w:tc>
          <w:tcPr>
            <w:tcW w:type="dxa" w:w="3118"/>
          </w:tcPr>
          <w:p>
            <w:pPr>
              <w:spacing w:after="40"/>
            </w:pPr>
            <w:r/>
            <w:r>
              <w:rPr>
                <w:b w:val="0"/>
                <w:i w:val="0"/>
                <w:sz w:val="18"/>
              </w:rPr>
              <w:t>5.2. Total recibido $7.893.478</w:t>
            </w:r>
          </w:p>
        </w:tc>
        <w:tc>
          <w:tcPr>
            <w:tcW w:type="dxa" w:w="3402"/>
          </w:tcPr>
          <w:p>
            <w:pPr>
              <w:spacing w:after="40"/>
            </w:pPr>
            <w:r/>
            <w:r>
              <w:rPr>
                <w:b w:val="0"/>
                <w:i w:val="0"/>
                <w:sz w:val="18"/>
              </w:rPr>
              <w:t>Correcto.</w:t>
            </w:r>
          </w:p>
        </w:tc>
        <w:tc>
          <w:tcPr>
            <w:tcW w:type="dxa" w:w="3118"/>
          </w:tcPr>
          <w:p>
            <w:pPr>
              <w:spacing w:after="40"/>
            </w:pPr>
            <w:r/>
            <w:r>
              <w:rPr>
                <w:b w:val="0"/>
                <w:i w:val="0"/>
                <w:sz w:val="18"/>
              </w:rPr>
              <w:t>Ninguno.</w:t>
            </w:r>
          </w:p>
        </w:tc>
      </w:tr>
      <w:tr>
        <w:tc>
          <w:tcPr>
            <w:tcW w:type="dxa" w:w="3118"/>
          </w:tcPr>
          <w:p>
            <w:pPr>
              <w:spacing w:after="40"/>
            </w:pPr>
            <w:r/>
            <w:r>
              <w:rPr>
                <w:b w:val="0"/>
                <w:i w:val="0"/>
                <w:sz w:val="18"/>
              </w:rPr>
              <w:t>6.1. "Capital insoluto" $23.706.522</w:t>
            </w:r>
          </w:p>
        </w:tc>
        <w:tc>
          <w:tcPr>
            <w:tcW w:type="dxa" w:w="3402"/>
          </w:tcPr>
          <w:p>
            <w:pPr>
              <w:spacing w:after="40"/>
            </w:pPr>
            <w:r/>
            <w:r>
              <w:rPr>
                <w:b w:val="0"/>
                <w:i w:val="0"/>
                <w:sz w:val="18"/>
              </w:rPr>
              <w:t>Aritmética correcta, pero mezcla dos conceptos: suma $100.000 de la declaración de renta, que es un daño y no capital, y $2.500.000 del retanqueo que la propia libreta acredita a Camilo.</w:t>
            </w:r>
          </w:p>
        </w:tc>
        <w:tc>
          <w:tcPr>
            <w:tcW w:type="dxa" w:w="3118"/>
          </w:tcPr>
          <w:p>
            <w:pPr>
              <w:spacing w:after="40"/>
            </w:pPr>
            <w:r/>
            <w:r>
              <w:rPr>
                <w:b w:val="0"/>
                <w:i w:val="0"/>
                <w:sz w:val="18"/>
              </w:rPr>
              <w:t>Capital insoluto = $21.106.522 (o $23.606.522 si se prueba la entrega del retanqueo). Eliminar el rubro de $100.000 de la letra; reclamarlo aparte, si acaso.</w:t>
            </w:r>
          </w:p>
        </w:tc>
      </w:tr>
      <w:tr>
        <w:tc>
          <w:tcPr>
            <w:tcW w:type="dxa" w:w="3118"/>
          </w:tcPr>
          <w:p>
            <w:pPr>
              <w:spacing w:after="40"/>
            </w:pPr>
            <w:r/>
            <w:r>
              <w:rPr>
                <w:b w:val="0"/>
                <w:i w:val="0"/>
                <w:sz w:val="18"/>
              </w:rPr>
              <w:t>6.1. Cifra alternativa "$21.206.522 si el retanqueo no se entregó"</w:t>
            </w:r>
          </w:p>
        </w:tc>
        <w:tc>
          <w:tcPr>
            <w:tcW w:type="dxa" w:w="3402"/>
          </w:tcPr>
          <w:p>
            <w:pPr>
              <w:spacing w:after="40"/>
            </w:pPr>
            <w:r/>
            <w:r>
              <w:rPr>
                <w:b w:val="0"/>
                <w:i w:val="0"/>
                <w:sz w:val="18"/>
              </w:rPr>
              <w:t>Arrastra los $100.000.</w:t>
            </w:r>
          </w:p>
        </w:tc>
        <w:tc>
          <w:tcPr>
            <w:tcW w:type="dxa" w:w="3118"/>
          </w:tcPr>
          <w:p>
            <w:pPr>
              <w:spacing w:after="40"/>
            </w:pPr>
            <w:r/>
            <w:r>
              <w:rPr>
                <w:b w:val="0"/>
                <w:i w:val="0"/>
                <w:sz w:val="18"/>
              </w:rPr>
              <w:t>Corregir a $21.106.522.</w:t>
            </w:r>
          </w:p>
        </w:tc>
      </w:tr>
      <w:tr>
        <w:tc>
          <w:tcPr>
            <w:tcW w:type="dxa" w:w="3118"/>
          </w:tcPr>
          <w:p>
            <w:pPr>
              <w:spacing w:after="40"/>
            </w:pPr>
            <w:r/>
            <w:r>
              <w:rPr>
                <w:b w:val="0"/>
                <w:i w:val="0"/>
                <w:sz w:val="18"/>
              </w:rPr>
              <w:t>6.3. Recomendación de consignar $23.706.522</w:t>
            </w:r>
          </w:p>
        </w:tc>
        <w:tc>
          <w:tcPr>
            <w:tcW w:type="dxa" w:w="3402"/>
          </w:tcPr>
          <w:p>
            <w:pPr>
              <w:spacing w:after="40"/>
            </w:pPr>
            <w:r/>
            <w:r>
              <w:rPr>
                <w:b w:val="0"/>
                <w:i w:val="0"/>
                <w:sz w:val="18"/>
              </w:rPr>
              <w:t>Inconsistente con el numeral 9, que ya reconoce el rango $21.106.522 – $23.606.522.</w:t>
            </w:r>
          </w:p>
        </w:tc>
        <w:tc>
          <w:tcPr>
            <w:tcW w:type="dxa" w:w="3118"/>
          </w:tcPr>
          <w:p>
            <w:pPr>
              <w:spacing w:after="40"/>
            </w:pPr>
            <w:r/>
            <w:r>
              <w:rPr>
                <w:b w:val="0"/>
                <w:i w:val="0"/>
                <w:sz w:val="18"/>
              </w:rPr>
              <w:t>Unificar en $21.106.522 / $23.606.522 según respuesta de la clienta.</w:t>
            </w:r>
          </w:p>
        </w:tc>
      </w:tr>
      <w:tr>
        <w:tc>
          <w:tcPr>
            <w:tcW w:type="dxa" w:w="3118"/>
          </w:tcPr>
          <w:p>
            <w:pPr>
              <w:spacing w:after="40"/>
            </w:pPr>
            <w:r/>
            <w:r>
              <w:rPr>
                <w:b w:val="0"/>
                <w:i w:val="0"/>
                <w:sz w:val="18"/>
              </w:rPr>
              <w:t>7. Tope legal: 19,77 % IBC, 29,66 % usura, 2,1881 % mensual (Res. 1139 de 2026)</w:t>
            </w:r>
          </w:p>
        </w:tc>
        <w:tc>
          <w:tcPr>
            <w:tcW w:type="dxa" w:w="3402"/>
          </w:tcPr>
          <w:p>
            <w:pPr>
              <w:spacing w:after="40"/>
            </w:pPr>
            <w:r/>
            <w:r>
              <w:rPr>
                <w:b w:val="0"/>
                <w:i w:val="0"/>
                <w:sz w:val="18"/>
              </w:rPr>
              <w:t>Conversión correcta para agosto de 2026. Para septiembre de 2026 rige la Resolución 1260 del 31-ago-2026: IBC 19,49 %, usura 29,24 % (2,1605 % mensual). La de octubre se publica el 30 de septiembre.</w:t>
            </w:r>
          </w:p>
        </w:tc>
        <w:tc>
          <w:tcPr>
            <w:tcW w:type="dxa" w:w="3118"/>
          </w:tcPr>
          <w:p>
            <w:pPr>
              <w:spacing w:after="40"/>
            </w:pPr>
            <w:r/>
            <w:r>
              <w:rPr>
                <w:b w:val="0"/>
                <w:i w:val="0"/>
                <w:sz w:val="18"/>
              </w:rPr>
              <w:t>Actualizar al mes de radicación; en los escritos no se fija porcentaje.</w:t>
            </w:r>
          </w:p>
        </w:tc>
      </w:tr>
      <w:tr>
        <w:tc>
          <w:tcPr>
            <w:tcW w:type="dxa" w:w="3118"/>
          </w:tcPr>
          <w:p>
            <w:pPr>
              <w:spacing w:after="40"/>
            </w:pPr>
            <w:r/>
            <w:r>
              <w:rPr>
                <w:b w:val="0"/>
                <w:i w:val="0"/>
                <w:sz w:val="18"/>
              </w:rPr>
              <w:t>6.3. Moratorios de $518.732 mensuales</w:t>
            </w:r>
          </w:p>
        </w:tc>
        <w:tc>
          <w:tcPr>
            <w:tcW w:type="dxa" w:w="3402"/>
          </w:tcPr>
          <w:p>
            <w:pPr>
              <w:spacing w:after="40"/>
            </w:pPr>
            <w:r/>
            <w:r>
              <w:rPr>
                <w:b w:val="0"/>
                <w:i w:val="0"/>
                <w:sz w:val="18"/>
              </w:rPr>
              <w:t>Corresponden a $23.706.522 con la tasa de agosto. Con la tasa de septiembre (2,1605 %): $21.106.522 genera $456.010 mensuales y $23.606.522 genera $510.023.</w:t>
            </w:r>
          </w:p>
        </w:tc>
        <w:tc>
          <w:tcPr>
            <w:tcW w:type="dxa" w:w="3118"/>
          </w:tcPr>
          <w:p>
            <w:pPr>
              <w:spacing w:after="40"/>
            </w:pPr>
            <w:r/>
            <w:r>
              <w:rPr>
                <w:b w:val="0"/>
                <w:i w:val="0"/>
                <w:sz w:val="18"/>
              </w:rPr>
              <w:t>Actualizar según el valor definitivo y la tasa del mes.</w:t>
            </w:r>
          </w:p>
        </w:tc>
      </w:tr>
      <w:tr>
        <w:tc>
          <w:tcPr>
            <w:tcW w:type="dxa" w:w="3118"/>
          </w:tcPr>
          <w:p>
            <w:pPr>
              <w:spacing w:after="40"/>
            </w:pPr>
            <w:r/>
            <w:r>
              <w:rPr>
                <w:b w:val="0"/>
                <w:i w:val="0"/>
                <w:sz w:val="18"/>
              </w:rPr>
              <w:t>8. Estrategia (demandar a María del Pilar)</w:t>
            </w:r>
          </w:p>
        </w:tc>
        <w:tc>
          <w:tcPr>
            <w:tcW w:type="dxa" w:w="3402"/>
          </w:tcPr>
          <w:p>
            <w:pPr>
              <w:spacing w:after="40"/>
            </w:pPr>
            <w:r/>
            <w:r>
              <w:rPr>
                <w:b w:val="0"/>
                <w:i w:val="0"/>
                <w:sz w:val="18"/>
              </w:rPr>
              <w:t>Compartida y adoptada.</w:t>
            </w:r>
          </w:p>
        </w:tc>
        <w:tc>
          <w:tcPr>
            <w:tcW w:type="dxa" w:w="3118"/>
          </w:tcPr>
          <w:p>
            <w:pPr>
              <w:spacing w:after="40"/>
            </w:pPr>
            <w:r/>
            <w:r>
              <w:rPr>
                <w:b w:val="0"/>
                <w:i w:val="0"/>
                <w:sz w:val="18"/>
              </w:rPr>
              <w:t>Confirmar en el certificado de tradición que no haya afectación a vivienda familiar ni patrimonio de familia.</w:t>
            </w:r>
          </w:p>
        </w:tc>
      </w:tr>
      <w:tr>
        <w:tc>
          <w:tcPr>
            <w:tcW w:type="dxa" w:w="3118"/>
          </w:tcPr>
          <w:p>
            <w:pPr>
              <w:spacing w:after="40"/>
            </w:pPr>
            <w:r/>
            <w:r>
              <w:rPr>
                <w:b w:val="0"/>
                <w:i w:val="0"/>
                <w:sz w:val="18"/>
              </w:rPr>
              <w:t>9. Identidad del girado 1</w:t>
            </w:r>
          </w:p>
        </w:tc>
        <w:tc>
          <w:tcPr>
            <w:tcW w:type="dxa" w:w="3402"/>
          </w:tcPr>
          <w:p>
            <w:pPr>
              <w:spacing w:after="40"/>
            </w:pPr>
            <w:r/>
            <w:r>
              <w:rPr>
                <w:b w:val="0"/>
                <w:i w:val="0"/>
                <w:sz w:val="18"/>
              </w:rPr>
              <w:t>La firma en la casilla 1 no es legible; la liquidación lo llama "Camilo" por el contexto de los chats.</w:t>
            </w:r>
          </w:p>
        </w:tc>
        <w:tc>
          <w:tcPr>
            <w:tcW w:type="dxa" w:w="3118"/>
          </w:tcPr>
          <w:p>
            <w:pPr>
              <w:spacing w:after="40"/>
            </w:pPr>
            <w:r/>
            <w:r>
              <w:rPr>
                <w:b w:val="0"/>
                <w:i w:val="0"/>
                <w:sz w:val="18"/>
              </w:rPr>
              <w:t>Confirmar nombre completo con la clienta.</w:t>
            </w:r>
          </w:p>
        </w:tc>
      </w:tr>
      <w:tr>
        <w:tc>
          <w:tcPr>
            <w:tcW w:type="dxa" w:w="3118"/>
          </w:tcPr>
          <w:p>
            <w:pPr>
              <w:spacing w:after="40"/>
            </w:pPr>
            <w:r/>
            <w:r>
              <w:rPr>
                <w:b w:val="0"/>
                <w:i w:val="0"/>
                <w:sz w:val="18"/>
              </w:rPr>
              <w:t>7. "Superarlo configura usura y acarrea la pérdida de todos los intereses (art. 72, Ley 45 de 1990)"</w:t>
            </w:r>
          </w:p>
        </w:tc>
        <w:tc>
          <w:tcPr>
            <w:tcW w:type="dxa" w:w="3402"/>
          </w:tcPr>
          <w:p>
            <w:pPr>
              <w:spacing w:after="40"/>
            </w:pPr>
            <w:r/>
            <w:r>
              <w:rPr>
                <w:b w:val="0"/>
                <w:i w:val="0"/>
                <w:sz w:val="18"/>
              </w:rPr>
              <w:t>El art. 72 de la Ley 45/1990 sanciona con la pérdida de los intereses cobrados EN EXCESO, aumentados en un monto igual; la pérdida de todos los intereses es la sanción del art. 884 C. de Co.</w:t>
            </w:r>
          </w:p>
        </w:tc>
        <w:tc>
          <w:tcPr>
            <w:tcW w:type="dxa" w:w="3118"/>
          </w:tcPr>
          <w:p>
            <w:pPr>
              <w:spacing w:after="40"/>
            </w:pPr>
            <w:r/>
            <w:r>
              <w:rPr>
                <w:b w:val="0"/>
                <w:i w:val="0"/>
                <w:sz w:val="18"/>
              </w:rPr>
              <w:t>Redactar: "pérdida de los intereses cobrados en exceso aumentados en un monto igual (art. 72, Ley 45/1990), sin perjuicio del art. 884 C. de Co. y del delito de usura (art. 305 C.P.)".</w:t>
            </w:r>
          </w:p>
        </w:tc>
      </w:tr>
      <w:tr>
        <w:tc>
          <w:tcPr>
            <w:tcW w:type="dxa" w:w="3118"/>
          </w:tcPr>
          <w:p>
            <w:pPr>
              <w:spacing w:after="40"/>
            </w:pPr>
            <w:r/>
            <w:r>
              <w:rPr>
                <w:b w:val="0"/>
                <w:i w:val="0"/>
                <w:sz w:val="18"/>
              </w:rPr>
              <w:t>9. Apunte "1.500.000 se abonó a capital"</w:t>
            </w:r>
          </w:p>
        </w:tc>
        <w:tc>
          <w:tcPr>
            <w:tcW w:type="dxa" w:w="3402"/>
          </w:tcPr>
          <w:p>
            <w:pPr>
              <w:spacing w:after="40"/>
            </w:pPr>
            <w:r/>
            <w:r>
              <w:rPr>
                <w:b w:val="0"/>
                <w:i w:val="0"/>
                <w:sz w:val="18"/>
              </w:rPr>
              <w:t>La libreta lo resta de los abonos de Camilo (4.778.118 − 1.500.000 = 3.278.118). Puede ser dinero de esos mismos abonos aplicado por la clienta a su crédito (sin efecto) o un abono adicional (reduce la letra a $19.606.522).</w:t>
            </w:r>
          </w:p>
        </w:tc>
        <w:tc>
          <w:tcPr>
            <w:tcW w:type="dxa" w:w="3118"/>
          </w:tcPr>
          <w:p>
            <w:pPr>
              <w:spacing w:after="40"/>
            </w:pPr>
            <w:r/>
            <w:r>
              <w:rPr>
                <w:b w:val="0"/>
                <w:i w:val="0"/>
                <w:sz w:val="18"/>
              </w:rPr>
              <w:t>Resolver con la clienta antes de llenar la letra (pendiente 13).</w:t>
            </w:r>
          </w:p>
        </w:tc>
      </w:tr>
      <w:tr>
        <w:tc>
          <w:tcPr>
            <w:tcW w:type="dxa" w:w="3118"/>
          </w:tcPr>
          <w:p>
            <w:pPr>
              <w:spacing w:after="40"/>
            </w:pPr>
            <w:r/>
            <w:r>
              <w:rPr>
                <w:b w:val="0"/>
                <w:i w:val="0"/>
                <w:sz w:val="18"/>
              </w:rPr>
              <w:t>1. Tabla de errores, fila 3</w:t>
            </w:r>
          </w:p>
        </w:tc>
        <w:tc>
          <w:tcPr>
            <w:tcW w:type="dxa" w:w="3402"/>
          </w:tcPr>
          <w:p>
            <w:pPr>
              <w:spacing w:after="40"/>
            </w:pPr>
            <w:r/>
            <w:r>
              <w:rPr>
                <w:b w:val="0"/>
                <w:i w:val="0"/>
                <w:sz w:val="18"/>
              </w:rPr>
              <w:t>La suma 1.200.118 + 2.500.000 = 3.700.118 es correcta aislada, pero con la corrección de la fila 2 (1.300.118) el resultado encadenado es $3.800.118 y el total $6.300.118, como dice el texto.</w:t>
            </w:r>
          </w:p>
        </w:tc>
        <w:tc>
          <w:tcPr>
            <w:tcW w:type="dxa" w:w="3118"/>
          </w:tcPr>
          <w:p>
            <w:pPr>
              <w:spacing w:after="40"/>
            </w:pPr>
            <w:r/>
            <w:r>
              <w:rPr>
                <w:b w:val="0"/>
                <w:i w:val="0"/>
                <w:sz w:val="18"/>
              </w:rPr>
              <w:t>Ajustar la tabla para que muestre la cadena corregida y no dé pie a la contraparte.</w:t>
            </w:r>
          </w:p>
        </w:tc>
      </w:tr>
    </w:tbl>
    <w:p>
      <w:pPr>
        <w:spacing w:after="80"/>
      </w:pPr>
    </w:p>
    <w:p>
      <w:pPr>
        <w:keepNext/>
        <w:spacing w:after="120" w:before="240"/>
        <w:jc w:val="left"/>
      </w:pPr>
      <w:r>
        <w:rPr>
          <w:b/>
          <w:i w:val="0"/>
          <w:sz w:val="24"/>
        </w:rPr>
        <w:t>7. CANAL DE RADICACIÓN Y CONTACTOS ÚTILES</w:t>
      </w:r>
    </w:p>
    <w:p>
      <w:pPr>
        <w:spacing w:after="120" w:before="0"/>
        <w:ind w:left="425" w:hanging="283"/>
        <w:jc w:val="both"/>
      </w:pPr>
      <w:r>
        <w:rPr>
          <w:b w:val="0"/>
          <w:i w:val="0"/>
        </w:rPr>
        <w:t xml:space="preserve">– Radicación: ventanilla virtual </w:t>
      </w:r>
      <w:r>
        <w:rPr>
          <w:b/>
          <w:i w:val="0"/>
        </w:rPr>
        <w:t>"Demanda en Línea"</w:t>
      </w:r>
      <w:r>
        <w:rPr>
          <w:b w:val="0"/>
          <w:i w:val="0"/>
        </w:rPr>
        <w:t xml:space="preserve"> (procesojudicial.ramajudicial.gov.co/demandaenlinea), implementada por la Dirección Seccional de Cúcuta desde el 1 de abril de 2025 para todas las demandas de Cúcuta, Pamplona, Ocaña y Arauca; se elige la categoría "Civil Municipal Pequeñas Causas y Competencia Múltiple – Mínima cuantía". Soporte: soportedemandaenlinea@deaj.ramajudicial.gov.co. Canal alterno histórico: Oficina Judicial de Cúcuta, ofjudcuc@cendoj.ramajudicial.gov.co (confirmar vigencia). Correos de los despachos: jcivmcu1…10@cendoj.ramajudicial.gov.co; Juzgado 002 de Pequeñas Causas: j02pqccmcuc@cendoj.ramajudicial.gov.co.</w:t>
      </w:r>
    </w:p>
    <w:p>
      <w:pPr>
        <w:spacing w:after="120" w:before="0"/>
        <w:ind w:left="425" w:hanging="283"/>
        <w:jc w:val="both"/>
      </w:pPr>
      <w:r>
        <w:rPr>
          <w:b w:val="0"/>
          <w:i w:val="0"/>
        </w:rPr>
        <w:t>– Certificado de tradición: certificados.supernotariado.gov.co (matrícula 260-64376). ORIP Cúcuta: Avenida 0 No. 9-30, Centro; correo ofiregiscucuta@supernotariado.gov.co; tel. (607) 571 5783.</w:t>
      </w:r>
    </w:p>
    <w:p>
      <w:pPr>
        <w:spacing w:after="120" w:before="0"/>
        <w:ind w:left="425" w:hanging="283"/>
        <w:jc w:val="both"/>
      </w:pPr>
      <w:r>
        <w:rPr>
          <w:b w:val="0"/>
          <w:i w:val="0"/>
        </w:rPr>
        <w:t>– COMFAORIENTE: Caja de Compensación Familiar del Oriente Colombiano, NIT 890.500.675-6, Avenida 2 No. 13-75, Barrio La Playa, Edificio Comfaoriente, Cúcuta; PBX (607) 574 8880. Falta el correo de notificaciones judiciales: tomarlo del certificado de existencia y representación (Cámara de Comercio de Cúcuta).</w:t>
      </w:r>
    </w:p>
    <w:p>
      <w:pPr>
        <w:spacing w:after="120" w:before="0"/>
        <w:ind w:left="425" w:hanging="283"/>
        <w:jc w:val="both"/>
      </w:pPr>
      <w:r>
        <w:rPr>
          <w:b w:val="0"/>
          <w:i w:val="0"/>
        </w:rPr>
        <w:t>– Tasa de interés bancario corriente: superfinanciera.gov.co, sección "Tasas de interés – Interés bancario corriente".</w:t>
      </w:r>
    </w:p>
    <w:p>
      <w:pPr>
        <w:spacing w:after="120" w:before="0"/>
        <w:jc w:val="both"/>
      </w:pPr>
      <w:r>
        <w:rPr>
          <w:b w:val="0"/>
          <w:i/>
          <w:sz w:val="20"/>
        </w:rPr>
        <w:t>Nota de verificación: la red de este entorno bloqueó el acceso directo a las páginas oficiales (secretariasenado.gov.co, funcionpublica.gov.co, cortesuprema.gov.co, ramajudicial.gov.co). Las citas normativas se hicieron con el texto vigente conocido y las jurisprudenciales se confirmaron por número, fecha, ponente y URL a partir de extractos de fuentes oficiales; antes de transcribir cualquier cita textual en un escrito, abrir la URL y cotejar.</w:t>
      </w:r>
    </w:p>
    <w:sectPr w:rsidR="00FC693F" w:rsidRPr="0006063C" w:rsidSect="00034616">
      <w:pgSz w:w="12240" w:h="15840"/>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