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NOTA INTERNA DE REVISIÓN</w:t>
      </w:r>
    </w:p>
    <w:p>
      <w:pPr>
        <w:pStyle w:val="BodyText"/>
      </w:pPr>
      <w:r>
        <w:t xml:space="preserve">Oficios de respuesta a la Contraloría General del Departamento Norte de Santander</w:t>
      </w:r>
    </w:p>
    <w:p>
      <w:pPr>
        <w:pStyle w:val="BodyText"/>
      </w:pPr>
      <w:r>
        <w:t xml:space="preserve">Contratos de suministro 983 y 1058 de 2025 de la E.S.E. Hospital Regional Centro</w:t>
      </w:r>
    </w:p>
    <w:p>
      <w:pPr>
        <w:pStyle w:val="BodyText"/>
      </w:pPr>
      <w:r>
        <w:t xml:space="preserve">Fecha: 7 de octubre de 2026</w:t>
      </w:r>
    </w:p>
    <w:p>
      <w:pPr>
        <w:pStyle w:val="BodyText"/>
      </w:pPr>
      <w:r>
        <w:t xml:space="preserve">Documento de trabajo. No forma parte de la respuesta que se radica ante el órgano de control.</w:t>
      </w:r>
    </w:p>
    <w:bookmarkStart w:id="20" w:name="qué-se-entrega"/>
    <w:p>
      <w:pPr>
        <w:pStyle w:val="Heading2"/>
      </w:pPr>
      <w:r>
        <w:t xml:space="preserve">1. Qué se entrega</w:t>
      </w:r>
    </w:p>
    <w:p>
      <w:pPr>
        <w:pStyle w:val="FirstParagraph"/>
      </w:pPr>
      <w:r>
        <w:t xml:space="preserve">Se proyectaron dos oficios, uno por contrato, sobre la plantilla institucional con membrete que ya tenía el visto bueno. Cada oficio tiene cuatro partes: antecedentes del contrato, respuesta a cada observación con el soporte que la acredita, relación de anexos y solicitud. Las respuestas siguen el orden de las observaciones del cuadro de trabajo y están redactadas con literales. Las citas normativas se limitaron a notas al pie breves y verificadas contra la fuente oficial, y no se incluyeron capturas porque los soportes se anexan completos.</w:t>
      </w:r>
    </w:p>
    <w:p>
      <w:pPr>
        <w:pStyle w:val="BodyText"/>
      </w:pPr>
      <w:r>
        <w:t xml:space="preserve">Los oficios fueron sometidos a una revisión cruzada con cuatro lentes (auditor, jurídica, de hechos y de estilo) y a una consolidación que confirmó o refutó cada hallazgo; esta versión incorpora las correcciones confirmadas. Los fragmentos resaltados en amarillo dentro de los oficios son marcadores de posición. Señalan documentos que no están en la carpeta compartida o decisiones que corresponden a la entidad. Deben resolverse y retirar el resaltado antes de radicar.</w:t>
      </w:r>
    </w:p>
    <w:bookmarkEnd w:id="20"/>
    <w:bookmarkStart w:id="21" w:name="Xa5d3f7fcbb3f7eb8ecc81cb08dad9adeed0eb6f"/>
    <w:p>
      <w:pPr>
        <w:pStyle w:val="Heading2"/>
      </w:pPr>
      <w:r>
        <w:t xml:space="preserve">2. Documentos que no están en la carpeta compartida</w:t>
      </w:r>
    </w:p>
    <w:p>
      <w:pPr>
        <w:pStyle w:val="FirstParagraph"/>
      </w:pPr>
      <w:r>
        <w:t xml:space="preserve">Contrato 983: estudios previos; invitación privada N° 017 de 2025, propuesta, acta de cierre e informe de evaluación; certificado de disponibilidad presupuestal N° 1329 y registro presupuestal; comunicación de designación de la supervisora del 7 de octubre de 2025; factura electrónica FE-2920; comprobante de ingreso a almacén FCAF-53; acta de recibo final del 31 de octubre de 2025; relación de equipos con seriales y sede de destino; registro fotográfico.</w:t>
      </w:r>
    </w:p>
    <w:p>
      <w:pPr>
        <w:pStyle w:val="BodyText"/>
      </w:pPr>
      <w:r>
        <w:t xml:space="preserve">Contrato 1058: garantía N° 4416662 de Seguros Generales Suramericana y acta de aprobación; las quince facturas electrónicas y los quince comprobantes de ingreso a almacén (solo está la FVE-124926 con el FCF-1071, dentro del acta aclaratoria); certificación del revisor fiscal de COHOSAN del 1 de diciembre de 2025 y planilla del periodo de diciembre; copias del CDP 1586 y del RP 1585 que la comunicación sobre la Inconsistencia N° 8 anuncia como aportadas; registro fotográfico.</w:t>
      </w:r>
    </w:p>
    <w:p>
      <w:pPr>
        <w:pStyle w:val="BodyText"/>
      </w:pPr>
      <w:r>
        <w:t xml:space="preserve">Si alguno de estos documentos no existe, el literal correspondiente del oficio debe ajustarse para no afirmar que se anexa. En los puntos sobre registro fotográfico se dejó redactada la alternativa.</w:t>
      </w:r>
    </w:p>
    <w:bookmarkEnd w:id="21"/>
    <w:bookmarkStart w:id="22" w:name="X36eae7f6c3abe7a3407bb127097207c42d67f19"/>
    <w:p>
      <w:pPr>
        <w:pStyle w:val="Heading2"/>
      </w:pPr>
      <w:r>
        <w:t xml:space="preserve">3. Inconsistencias en los soportes del contrato 983 que conviene corregir antes de radicar</w:t>
      </w:r>
    </w:p>
    <w:p>
      <w:pPr>
        <w:numPr>
          <w:ilvl w:val="0"/>
          <w:numId w:val="1001"/>
        </w:numPr>
      </w:pPr>
      <w:r>
        <w:t xml:space="preserve">Fecha de suscripción del contrato. El formato de supervisión identifica el contrato como</w:t>
      </w:r>
      <w:r>
        <w:t xml:space="preserve"> </w:t>
      </w:r>
      <w:r>
        <w:t xml:space="preserve">“</w:t>
      </w:r>
      <w:r>
        <w:t xml:space="preserve">983 de 7 de octubre de 2025</w:t>
      </w:r>
      <w:r>
        <w:t xml:space="preserve">”</w:t>
      </w:r>
      <w:r>
        <w:t xml:space="preserve"> </w:t>
      </w:r>
      <w:r>
        <w:t xml:space="preserve">y la vigencia de los amparos de la póliza inicia el 7 de octubre; la respuesta técnica y jurídica afirma que el contrato se suscribió el 9 de octubre de 2025, fecha del acta de inicio y del acta de aprobación de pólizas. El oficio no afirma la fecha de firma para no entrar en contradicción con los anexos, pero conviene unificarla.</w:t>
      </w:r>
    </w:p>
    <w:p>
      <w:pPr>
        <w:numPr>
          <w:ilvl w:val="0"/>
          <w:numId w:val="1001"/>
        </w:numPr>
      </w:pPr>
      <w:r>
        <w:t xml:space="preserve">Número y vigencia de la póliza. El acta de aprobación de pólizas registra</w:t>
      </w:r>
      <w:r>
        <w:t xml:space="preserve"> </w:t>
      </w:r>
      <w:r>
        <w:t xml:space="preserve">“</w:t>
      </w:r>
      <w:r>
        <w:t xml:space="preserve">460-47-9940000091804</w:t>
      </w:r>
      <w:r>
        <w:t xml:space="preserve">”</w:t>
      </w:r>
      <w:r>
        <w:t xml:space="preserve">, con un cero de más; la póliza es la 460-47-994000091804. El acta también denomina el amparo</w:t>
      </w:r>
      <w:r>
        <w:t xml:space="preserve"> </w:t>
      </w:r>
      <w:r>
        <w:t xml:space="preserve">“</w:t>
      </w:r>
      <w:r>
        <w:t xml:space="preserve">Calidad del Servicio</w:t>
      </w:r>
      <w:r>
        <w:t xml:space="preserve">”</w:t>
      </w:r>
      <w:r>
        <w:t xml:space="preserve"> </w:t>
      </w:r>
      <w:r>
        <w:t xml:space="preserve">mientras la póliza dice</w:t>
      </w:r>
      <w:r>
        <w:t xml:space="preserve"> </w:t>
      </w:r>
      <w:r>
        <w:t xml:space="preserve">“</w:t>
      </w:r>
      <w:r>
        <w:t xml:space="preserve">Calidad del bien</w:t>
      </w:r>
      <w:r>
        <w:t xml:space="preserve">”</w:t>
      </w:r>
      <w:r>
        <w:t xml:space="preserve"> </w:t>
      </w:r>
      <w:r>
        <w:t xml:space="preserve">y el contrato</w:t>
      </w:r>
      <w:r>
        <w:t xml:space="preserve"> </w:t>
      </w:r>
      <w:r>
        <w:t xml:space="preserve">“</w:t>
      </w:r>
      <w:r>
        <w:t xml:space="preserve">calidad de los bienes</w:t>
      </w:r>
      <w:r>
        <w:t xml:space="preserve">”</w:t>
      </w:r>
      <w:r>
        <w:t xml:space="preserve">. La vigencia de los amparos termina el 7 de mayo de 2026: si el plazo de un mes se cuenta desde el acta de inicio del 9 de octubre de 2025, el plazo más seis meses llegaría al 8 de mayo de 2026, un día después. Por eso el oficio dice que la vigencia supera en más de seis meses el recibo final de los bienes y advierte los errores de transcripción del acta, en lugar de afirmar que cubre</w:t>
      </w:r>
      <w:r>
        <w:t xml:space="preserve"> </w:t>
      </w:r>
      <w:r>
        <w:t xml:space="preserve">“</w:t>
      </w:r>
      <w:r>
        <w:t xml:space="preserve">el plazo y seis meses más</w:t>
      </w:r>
      <w:r>
        <w:t xml:space="preserve">”</w:t>
      </w:r>
      <w:r>
        <w:t xml:space="preserve">.</w:t>
      </w:r>
    </w:p>
    <w:p>
      <w:pPr>
        <w:numPr>
          <w:ilvl w:val="0"/>
          <w:numId w:val="1001"/>
        </w:numPr>
      </w:pPr>
      <w:r>
        <w:t xml:space="preserve">Nombre de la contratista en documentos nuevos. La solicitud de subsanación del 2 de octubre de 2026 y la constancia del 5 de octubre de 2026 se refieren a</w:t>
      </w:r>
      <w:r>
        <w:t xml:space="preserve"> </w:t>
      </w:r>
      <w:r>
        <w:t xml:space="preserve">“</w:t>
      </w:r>
      <w:r>
        <w:t xml:space="preserve">el señor CHINQUINQUIRA CONTRERAS RODRIGUEZ</w:t>
      </w:r>
      <w:r>
        <w:t xml:space="preserve">”</w:t>
      </w:r>
      <w:r>
        <w:t xml:space="preserve"> </w:t>
      </w:r>
      <w:r>
        <w:t xml:space="preserve">y la solicitud habla de</w:t>
      </w:r>
      <w:r>
        <w:t xml:space="preserve"> </w:t>
      </w:r>
      <w:r>
        <w:t xml:space="preserve">“</w:t>
      </w:r>
      <w:r>
        <w:t xml:space="preserve">Contrato de Prestación de Servicios No. 983</w:t>
      </w:r>
      <w:r>
        <w:t xml:space="preserve">”</w:t>
      </w:r>
      <w:r>
        <w:t xml:space="preserve">. Son documentos recientes y todavía pueden corregirse; de lo contrario se repetirá ante la Contraloría el mismo tipo de error que se está explicando.</w:t>
      </w:r>
    </w:p>
    <w:p>
      <w:pPr>
        <w:numPr>
          <w:ilvl w:val="0"/>
          <w:numId w:val="1001"/>
        </w:numPr>
      </w:pPr>
      <w:r>
        <w:t xml:space="preserve">Numeración del Manual de Contratación. La respuesta técnica y jurídica cita el</w:t>
      </w:r>
      <w:r>
        <w:t xml:space="preserve"> </w:t>
      </w:r>
      <w:r>
        <w:t xml:space="preserve">“</w:t>
      </w:r>
      <w:r>
        <w:t xml:space="preserve">Artículo 34</w:t>
      </w:r>
      <w:r>
        <w:t xml:space="preserve">”</w:t>
      </w:r>
      <w:r>
        <w:t xml:space="preserve"> </w:t>
      </w:r>
      <w:r>
        <w:t xml:space="preserve">para la mínima cuantía, y el cuadro de trabajo cita el artículo 28; para el contrato 1058 la entidad cita las causales 30.2.16 y 30.2.21 y el cuadro de trabajo indica que la Resolución 002 de 2023 las numera como 29.2.x. Los oficios no citan números de artículo del Manual precisamente por esta duda. Conviene confrontar la Resolución 002 de 2023 y unificar la numeración en todos los documentos que se radiquen. Además, el contrato 1055 de 2025 de la misma entidad cita como Manual vigente la Resolución 143 del 22 de septiembre de 2025, que modifica el Manual; si esa modificación regía en octubre y diciembre de 2025, los oficios y los documentos aclaratorios deben citarla. El Acuerdo 017 de 2022 también habría sido modificado por el Acuerdo 021 del 16 de septiembre de 2025. Por esta razón los oficios dicen</w:t>
      </w:r>
      <w:r>
        <w:t xml:space="preserve"> </w:t>
      </w:r>
      <w:r>
        <w:t xml:space="preserve">“</w:t>
      </w:r>
      <w:r>
        <w:t xml:space="preserve">Resolución 002 de 2023 y sus modificaciones</w:t>
      </w:r>
      <w:r>
        <w:t xml:space="preserve">”</w:t>
      </w:r>
      <w:r>
        <w:t xml:space="preserve"> </w:t>
      </w:r>
      <w:r>
        <w:t xml:space="preserve">y dejan marcadores en los artículos del Manual.</w:t>
      </w:r>
    </w:p>
    <w:p>
      <w:pPr>
        <w:numPr>
          <w:ilvl w:val="0"/>
          <w:numId w:val="1001"/>
        </w:numPr>
      </w:pPr>
      <w:r>
        <w:t xml:space="preserve">Formato de supervisión corregido. La versión corregida sigue diciendo en la certificación del supervisor que se trata de un</w:t>
      </w:r>
      <w:r>
        <w:t xml:space="preserve"> </w:t>
      </w:r>
      <w:r>
        <w:t xml:space="preserve">“</w:t>
      </w:r>
      <w:r>
        <w:t xml:space="preserve">contrato de prestación de servicios personales</w:t>
      </w:r>
      <w:r>
        <w:t xml:space="preserve">”</w:t>
      </w:r>
      <w:r>
        <w:t xml:space="preserve"> </w:t>
      </w:r>
      <w:r>
        <w:t xml:space="preserve">y que el expediente reposa en la</w:t>
      </w:r>
      <w:r>
        <w:t xml:space="preserve"> </w:t>
      </w:r>
      <w:r>
        <w:t xml:space="preserve">“</w:t>
      </w:r>
      <w:r>
        <w:t xml:space="preserve">sede Cúcuta</w:t>
      </w:r>
      <w:r>
        <w:t xml:space="preserve">”</w:t>
      </w:r>
      <w:r>
        <w:t xml:space="preserve">. La Contraloría puede reiterar la observación de formato genérico.</w:t>
      </w:r>
    </w:p>
    <w:p>
      <w:pPr>
        <w:numPr>
          <w:ilvl w:val="0"/>
          <w:numId w:val="1001"/>
        </w:numPr>
      </w:pPr>
      <w:r>
        <w:t xml:space="preserve">Fecha del egreso frente a la certificación de supervisión. El cuadro de trabajo anota que el informe de actividades y la certificación del 27 de noviembre de 2025 son posteriores al egreso. El oficio sostiene que el pago se soportó en el acta de recibo final del 31 de octubre y en el ingreso a almacén del 20 de octubre; hay que confirmar la fecha del comprobante de egreso y que el acta de recibo final existe, está firmada y es anterior al pago. El literal i) del oficio deja marcadores para el número y la fecha del comprobante de egreso y reconoce que el informe de actividades y el formato de supervisión se incorporaron después del pago, con la acción de mejora correspondiente. Si el pago se hizo sin acta de recibo, debe usarse el texto alternativo del marcador.</w:t>
      </w:r>
    </w:p>
    <w:p>
      <w:pPr>
        <w:numPr>
          <w:ilvl w:val="0"/>
          <w:numId w:val="1001"/>
        </w:numPr>
      </w:pPr>
      <w:r>
        <w:t xml:space="preserve">Invitación anterior al certificado de disponibilidad presupuestal. La defensa del oficio es que la invitación no compromete recursos y que el compromiso nació con el CDP y el RP, y se ofrece como acción de mejora expedir el CDP antes de abrir la invitación. Si el Manual exige de manera expresa el CDP previo a la invitación, la observación quedará como hallazgo administrativo aunque sin incidencia fiscal.</w:t>
      </w:r>
    </w:p>
    <w:p>
      <w:pPr>
        <w:numPr>
          <w:ilvl w:val="0"/>
          <w:numId w:val="1001"/>
        </w:numPr>
      </w:pPr>
      <w:r>
        <w:t xml:space="preserve">Correo electrónico del formato de supervisión. El cuadro de trabajo advierte que el correo y el teléfono del dominio microchip.com.co corresponderían al representante del otro invitado del proceso y no a una plantilla genérica. El oficio se limita a los hechos verificables: el formato registraba un correo que no es de la contratista y fue corregido. Si la Contraloría profundiza, la explicación de</w:t>
      </w:r>
      <w:r>
        <w:t xml:space="preserve"> </w:t>
      </w:r>
      <w:r>
        <w:t xml:space="preserve">“</w:t>
      </w:r>
      <w:r>
        <w:t xml:space="preserve">plantilla genérica</w:t>
      </w:r>
      <w:r>
        <w:t xml:space="preserve">”</w:t>
      </w:r>
      <w:r>
        <w:t xml:space="preserve"> </w:t>
      </w:r>
      <w:r>
        <w:t xml:space="preserve">dada el 29 de septiembre puede ser controvertida; conviene tener clara la trazabilidad del formato.</w:t>
      </w:r>
    </w:p>
    <w:p>
      <w:pPr>
        <w:numPr>
          <w:ilvl w:val="0"/>
          <w:numId w:val="1001"/>
        </w:numPr>
      </w:pPr>
      <w:r>
        <w:t xml:space="preserve">Constancia de recibo, traslado y manifestación sobre el informe de evaluación. El archivo PDF fue generado desde Word el 5 de octubre de 2026 y no tiene firmas visibles, pero su texto dice que se firma</w:t>
      </w:r>
      <w:r>
        <w:t xml:space="preserve"> </w:t>
      </w:r>
      <w:r>
        <w:t xml:space="preserve">“</w:t>
      </w:r>
      <w:r>
        <w:t xml:space="preserve">a los tres (03) días del mes de octubre de 2025</w:t>
      </w:r>
      <w:r>
        <w:t xml:space="preserve">”</w:t>
      </w:r>
      <w:r>
        <w:t xml:space="preserve">. Si el documento se elaboró ahora para reconstruir la cronología, debe llevar la fecha actual y presentarse como certificación de hechos pasados suscrita por la proponente y por el líder de contratación; presentar ante la Contraloría un documento con fecha anterior a la de su elaboración expone a la entidad y a los firmantes a un riesgo penal y disciplinario mucho mayor que la observación que se pretende subsanar. El oficio deja un marcador para consignar la fecha real de suscripción y, si el documento es de 2026, presentarlo como certificación de hechos pasados. En el mismo sentido, la respuesta técnica y jurídica habla a la vez de</w:t>
      </w:r>
      <w:r>
        <w:t xml:space="preserve"> </w:t>
      </w:r>
      <w:r>
        <w:t xml:space="preserve">“</w:t>
      </w:r>
      <w:r>
        <w:t xml:space="preserve">concurrencia y pluralidad de oferentes</w:t>
      </w:r>
      <w:r>
        <w:t xml:space="preserve">”</w:t>
      </w:r>
      <w:r>
        <w:t xml:space="preserve"> </w:t>
      </w:r>
      <w:r>
        <w:t xml:space="preserve">y de</w:t>
      </w:r>
      <w:r>
        <w:t xml:space="preserve"> </w:t>
      </w:r>
      <w:r>
        <w:t xml:space="preserve">“</w:t>
      </w:r>
      <w:r>
        <w:t xml:space="preserve">único oferente habilitado</w:t>
      </w:r>
      <w:r>
        <w:t xml:space="preserve">”</w:t>
      </w:r>
      <w:r>
        <w:t xml:space="preserve">; el oficio deja un marcador para indicar a cuántos proponentes se cursó la invitación.</w:t>
      </w:r>
    </w:p>
    <w:p>
      <w:pPr>
        <w:numPr>
          <w:ilvl w:val="0"/>
          <w:numId w:val="1001"/>
        </w:numPr>
      </w:pPr>
      <w:r>
        <w:t xml:space="preserve">Estampillas. La comunicación del 5 de octubre de 2026 acepta que al contrato 983 debieron aplicarse también las estampillas Pro-Cultura, Pro-Adulto Mayor y Pro-UFPS</w:t>
      </w:r>
      <w:r>
        <w:t xml:space="preserve"> </w:t>
      </w:r>
      <w:r>
        <w:t xml:space="preserve">“</w:t>
      </w:r>
      <w:r>
        <w:t xml:space="preserve">conforme a la Ordenanza 018 del 20 de octubre de 2025</w:t>
      </w:r>
      <w:r>
        <w:t xml:space="preserve">”</w:t>
      </w:r>
      <w:r>
        <w:t xml:space="preserve">. El contrato se suscribió en los primeros días de octubre de 2025, la factura es del 17 de octubre y el ingreso a almacén del 20 de octubre, de modo que el hecho generador pudo ocurrir antes de la entrada en vigencia de esa ordenanza; en ese caso la norma aplicable sería el estatuto anterior, que según oficios de la Secretaría de Hacienda departamental de 2025 era la Ordenanza 010 del 21 de septiembre de 2018, modificada por la Ordenanza 002 del 14 de junio de 2023. Antes de aceptar la omisión conviene confirmar qué estatuto regía en la fecha del hecho generador y si bajo ese estatuto también aplicaban las tres estampillas. Además hay que definir quién asume los valores no descontados, pues la retención ya no puede practicarse sobre un pago agotado: reintegro por la contratista o reconocimiento por la entidad. Tampoco se retuvo en el 983 la Tasa Prodeporte y Recreación, que al 2,5% sobre $43.990.000 representaría cerca de $1.099.750; la revisión debe incluirla. Por eso el literal k) del oficio ya no acepta estampillas concretas: anuncia la verificación frente al estatuto vigente en la fecha del hecho generador, con marcadores para la fecha del pago, la consulta a la Secretaría de Hacienda y quién asume los valores, como complemento de la comunicación del 5 de octubre de 2026. La exclusión que la entidad invoca para el 1058 (artículo 340, numeral 4, de la Ordenanza 018 de 2025) no se extiende al 983: si el hecho generador del 983 es anterior a esa ordenanza, la exclusión no rige, y el objeto (dotación informática) no es un servicio de salud del plan de beneficios. El equipo auditor verá las dos respuestas juntas, de modo que la posición debe ser coherente: verificación y liquidación en el 983, exclusión sometida a consideración en el 1058.</w:t>
      </w:r>
    </w:p>
    <w:bookmarkEnd w:id="22"/>
    <w:bookmarkStart w:id="23" w:name="X9b253d5eee9b2a6b40c9027e0eee79fc837cca3"/>
    <w:p>
      <w:pPr>
        <w:pStyle w:val="Heading2"/>
      </w:pPr>
      <w:r>
        <w:t xml:space="preserve">4. Inconsistencias en los soportes del contrato 1058 que conviene corregir antes de radicar</w:t>
      </w:r>
    </w:p>
    <w:p>
      <w:pPr>
        <w:numPr>
          <w:ilvl w:val="0"/>
          <w:numId w:val="1002"/>
        </w:numPr>
      </w:pPr>
      <w:r>
        <w:t xml:space="preserve">Acta aclaratoria al texto del contrato. Es el punto más delicado. La cláusula segunda del acta afirma que los insumos farmacéuticos</w:t>
      </w:r>
      <w:r>
        <w:t xml:space="preserve"> </w:t>
      </w:r>
      <w:r>
        <w:t xml:space="preserve">“</w:t>
      </w:r>
      <w:r>
        <w:t xml:space="preserve">no hacen parte de la necesidad contratada ni fueron objeto de entrega y facturación</w:t>
      </w:r>
      <w:r>
        <w:t xml:space="preserve">”</w:t>
      </w:r>
      <w:r>
        <w:t xml:space="preserve">, mientras que el acta de recibo final del 30 de diciembre de 2025 relaciona el faboterápico Alacramyn por $7.397.310, el lactato de Ringer y el agua estéril, y la justificación técnica con el kardex explica precisamente por qué se adquirieron. Los dos documentos se van a anexar al mismo oficio y el equipo auditor verá la contradicción. Conviene corregir la cláusula segunda antes de radicar, por ejemplo precisando que se suprimen las alusiones genéricas a insumos farmacéuticos, de odontología y equipos de la parte considerativa, sin perjuicio de los tres insumos de uso asistencial recibidos y justificados. La cláusula tercera, por su parte, afirma que el contrato</w:t>
      </w:r>
      <w:r>
        <w:t xml:space="preserve"> </w:t>
      </w:r>
      <w:r>
        <w:t xml:space="preserve">“</w:t>
      </w:r>
      <w:r>
        <w:t xml:space="preserve">se rige estrictamente por la Ley 80 de 1993, la Ley 1150 de 2007, el Decreto 1082 de 2015 y el Manual</w:t>
      </w:r>
      <w:r>
        <w:t xml:space="preserve">”</w:t>
      </w:r>
      <w:r>
        <w:t xml:space="preserve">, lo que contradice el régimen de derecho privado de la E.S.E. (Ley 100 de 1993, artículo 195, numeral 6); la redacción correcta es que el contrato se rige por el derecho privado y por el Manual, con aplicación de los principios de la función administrativa y de la gestión fiscal y del régimen de inhabilidades e incompatibilidades (Ley 1150 de 2007, artículo 13), y que las garantías se constituyeron con los amparos propios de las entidades estatales. El acta tampoco indica la fecha de suscripción. Las mismas precisiones valen para el acta aclaratoria al acta de liquidación, que conviene extender al acta de recibo final (encabezado</w:t>
      </w:r>
      <w:r>
        <w:t xml:space="preserve"> </w:t>
      </w:r>
      <w:r>
        <w:t xml:space="preserve">“</w:t>
      </w:r>
      <w:r>
        <w:t xml:space="preserve">invitación directa por régimen especial</w:t>
      </w:r>
      <w:r>
        <w:t xml:space="preserve">”</w:t>
      </w:r>
      <w:r>
        <w:t xml:space="preserve">,</w:t>
      </w:r>
      <w:r>
        <w:t xml:space="preserve"> </w:t>
      </w:r>
      <w:r>
        <w:t xml:space="preserve">“</w:t>
      </w:r>
      <w:r>
        <w:t xml:space="preserve">dieciséis (16) días</w:t>
      </w:r>
      <w:r>
        <w:t xml:space="preserve">”</w:t>
      </w:r>
      <w:r>
        <w:t xml:space="preserve">,</w:t>
      </w:r>
      <w:r>
        <w:t xml:space="preserve"> </w:t>
      </w:r>
      <w:r>
        <w:t xml:space="preserve">“</w:t>
      </w:r>
      <w:r>
        <w:t xml:space="preserve">régimen: común</w:t>
      </w:r>
      <w:r>
        <w:t xml:space="preserve">”</w:t>
      </w:r>
      <w:r>
        <w:t xml:space="preserve"> </w:t>
      </w:r>
      <w:r>
        <w:t xml:space="preserve">y</w:t>
      </w:r>
      <w:r>
        <w:t xml:space="preserve"> </w:t>
      </w:r>
      <w:r>
        <w:t xml:space="preserve">“</w:t>
      </w:r>
      <w:r>
        <w:t xml:space="preserve">Contrato No. 103 de 2025</w:t>
      </w:r>
      <w:r>
        <w:t xml:space="preserve">”</w:t>
      </w:r>
      <w:r>
        <w:t xml:space="preserve">). Además, la comunicación del 5 de octubre de 2026 sobre la Inconsistencia N° 8 conserva los residuos</w:t>
      </w:r>
      <w:r>
        <w:t xml:space="preserve"> </w:t>
      </w:r>
      <w:r>
        <w:t xml:space="preserve">“</w:t>
      </w:r>
      <w:r>
        <w:t xml:space="preserve">[cite: 11, 12]</w:t>
      </w:r>
      <w:r>
        <w:t xml:space="preserve">”</w:t>
      </w:r>
      <w:r>
        <w:t xml:space="preserve"> </w:t>
      </w:r>
      <w:r>
        <w:t xml:space="preserve">y</w:t>
      </w:r>
      <w:r>
        <w:t xml:space="preserve"> </w:t>
      </w:r>
      <w:r>
        <w:t xml:space="preserve">“</w:t>
      </w:r>
      <w:r>
        <w:t xml:space="preserve">[cite: 28]</w:t>
      </w:r>
      <w:r>
        <w:t xml:space="preserve">”</w:t>
      </w:r>
      <w:r>
        <w:t xml:space="preserve"> </w:t>
      </w:r>
      <w:r>
        <w:t xml:space="preserve">en un documento firmado por la Gerente, y el numeral 4 de la certificación sobre esa inconsistencia afirma que las fechas del formato corresponden a los plazos reales, cuando el oficio reconoce que el plazo de veinte días y la fecha de terminación son errores; hay que retirar los residuos y corregir el numeral antes de anexar. La causal de contratación directa por cooperativa asociada exige acreditar que la E.S.E. es asociada de COHOSAN: ningún anexo trae el certificado de asociación, el certificado de existencia y representación ni el RUT, del que también depende la no retención de renta; el oficio los relaciona como anexo por obtener y, si no se consiguen, debe sostenerse la modalidad sólo en la causal de suministro de medicamentos, elementos hospitalarios y de laboratorio.</w:t>
      </w:r>
    </w:p>
    <w:p>
      <w:pPr>
        <w:numPr>
          <w:ilvl w:val="0"/>
          <w:numId w:val="1002"/>
        </w:numPr>
      </w:pPr>
      <w:r>
        <w:t xml:space="preserve">Garantía. Sin la póliza 4416662 y su acta de aprobación el literal d) del oficio no puede sostenerse. Verificar que los amparos cubran el plazo y tres meses más, como exige el contrato, y que la aprobación sea anterior al acta de inicio del 15 de diciembre de 2025.</w:t>
      </w:r>
    </w:p>
    <w:p>
      <w:pPr>
        <w:numPr>
          <w:ilvl w:val="0"/>
          <w:numId w:val="1002"/>
        </w:numPr>
      </w:pPr>
      <w:r>
        <w:t xml:space="preserve">Seguridad social. El anexo aclaratorio del 29 de septiembre de 2026 afirmó que la acreditación de aportes</w:t>
      </w:r>
      <w:r>
        <w:t xml:space="preserve"> </w:t>
      </w:r>
      <w:r>
        <w:t xml:space="preserve">“</w:t>
      </w:r>
      <w:r>
        <w:t xml:space="preserve">no aplica</w:t>
      </w:r>
      <w:r>
        <w:t xml:space="preserve">”</w:t>
      </w:r>
      <w:r>
        <w:t xml:space="preserve">, lo que contradice la cláusula quinta del contrato. El oficio adopta la posición correcta: la contratista es persona jurídica y acredita el requisito con la certificación del revisor fiscal y las planillas. Conviene decirlo expresamente como precisión frente a lo afirmado el 29 de septiembre, para que la Contraloría no lo lea como una nueva contradicción.</w:t>
      </w:r>
    </w:p>
    <w:p>
      <w:pPr>
        <w:numPr>
          <w:ilvl w:val="0"/>
          <w:numId w:val="1002"/>
        </w:numPr>
      </w:pPr>
      <w:r>
        <w:t xml:space="preserve">Estampillas y tasa. La entidad sostiene que no debían descontarse estampillas por la exclusión del artículo 340 del Estatuto de Rentas. Quedan dos puntos por resolver. El primero es la acción correctiva: si los valores ya fueron trasladados al Departamento, o si se reintegrarán a la cooperativa; el oficio deja el marcador. El segundo es que la Tasa Prodeporte y Recreación, creada por la Ley 2023 de 2020, no es una estampilla y puede no estar cubierta por una exclusión redactada para estampillas; verificar en la Ordenanza 018 de 2025 si la tasa tiene su propio régimen de exclusiones antes de afirmar que tampoco debía descontarse.</w:t>
      </w:r>
    </w:p>
    <w:p>
      <w:pPr>
        <w:numPr>
          <w:ilvl w:val="0"/>
          <w:numId w:val="1002"/>
        </w:numPr>
      </w:pPr>
      <w:r>
        <w:t xml:space="preserve">Medicamentos facturados con cargo al contrato. El argumento de conexidad asistencial es razonable, pero el objeto del contrato no incluía medicamentos y el propio anexo aclaratorio los excluyó. El oficio reconoce la deficiencia de planeación, acredita que los bienes ingresaron y se consumieron y propone la acción de mejora. Es la línea más sólida frente al control fiscal: sin daño patrimonial no hay responsabilidad fiscal, aunque pueda quedar un hallazgo administrativo. El oficio añade el argumento más sólido: la causal del Manual que amparó la contratación directa comprende también el suministro de medicamentos, de modo que proveedor y modalidad habrían sido los mismos, y la deficiencia queda reducida a la descripción del objeto. Conviene tener a mano el soporte del precio del Alacramyn ($739.731 por vial), su lote, vencimiento y registro sanitario, por si el equipo auditor los pide.</w:t>
      </w:r>
    </w:p>
    <w:p>
      <w:pPr>
        <w:numPr>
          <w:ilvl w:val="0"/>
          <w:numId w:val="1002"/>
        </w:numPr>
      </w:pPr>
      <w:r>
        <w:t xml:space="preserve">Imputación por rubros. Según el cuadro de trabajo, los ítems de laboratorio suman cerca de $29,4 millones, pero al rubro de laboratorio se imputaron $24.998.477. La certificación financiera lo explica como dinámica operativa dentro de la misma apropiación. Es una explicación aceptable para descartar extralimitación, pero no elimina la observación sobre especialización del gasto. La expresión</w:t>
      </w:r>
      <w:r>
        <w:t xml:space="preserve"> </w:t>
      </w:r>
      <w:r>
        <w:t xml:space="preserve">“</w:t>
      </w:r>
      <w:r>
        <w:t xml:space="preserve">variación en la afectación contable entre los subrubros</w:t>
      </w:r>
      <w:r>
        <w:t xml:space="preserve">”</w:t>
      </w:r>
      <w:r>
        <w:t xml:space="preserve"> </w:t>
      </w:r>
      <w:r>
        <w:t xml:space="preserve">está en la certificación financiera firmada el 2 de octubre de 2026 que se va a anexar, y puede leerse como un traslado presupuestal sin acto de la Junta Directiva, a la que los Estatutos de la E.S.E. (Acuerdo 006 de 2014, artículo 79) reservan las modificaciones del presupuesto; conviene reexpedir la certificación con fecha de 2026, certificando la distribución del registro presupuestal por rubro, la ejecución por rubro sin traslados y que el RP 1323, el CDP 1574 y el rubro 2.4.5.01.02.01 son ajenos al contrato. El oficio sostiene, con las cifras del registro presupuestal 1585 ($15.000.000 en material médico quirúrgico y $25.000.000 en laboratorio) y del acta de recibo final, que ninguno de los dos rubros se excedió y que la observación recae sólo en la clasificación de algunos ítems.</w:t>
      </w:r>
    </w:p>
    <w:p>
      <w:pPr>
        <w:numPr>
          <w:ilvl w:val="0"/>
          <w:numId w:val="1002"/>
        </w:numPr>
      </w:pPr>
      <w:r>
        <w:t xml:space="preserve">Registros de almacén. El cuadro de trabajo detectó que el comprobante FCF-1076 registró la hepatitis C como 150 cajas cuando se facturaron 5 cajas de 30 unidades, y que el FCF-1070 está fechado el 24 de diciembre para una factura del 15 de diciembre. Si se anexan los comprobantes de ingreso, el equipo auditor verá estos datos; conviene hacer el ajuste de inventario y dejar la nota explicativa antes de remitirlos.</w:t>
      </w:r>
    </w:p>
    <w:p>
      <w:pPr>
        <w:numPr>
          <w:ilvl w:val="0"/>
          <w:numId w:val="1002"/>
        </w:numPr>
      </w:pPr>
      <w:r>
        <w:t xml:space="preserve">Acta de recibo final. El encabezado repite</w:t>
      </w:r>
      <w:r>
        <w:t xml:space="preserve"> </w:t>
      </w:r>
      <w:r>
        <w:t xml:space="preserve">“</w:t>
      </w:r>
      <w:r>
        <w:t xml:space="preserve">invitación directa por régimen especial</w:t>
      </w:r>
      <w:r>
        <w:t xml:space="preserve">”</w:t>
      </w:r>
      <w:r>
        <w:t xml:space="preserve"> </w:t>
      </w:r>
      <w:r>
        <w:t xml:space="preserve">y el párrafo final menciona el</w:t>
      </w:r>
      <w:r>
        <w:t xml:space="preserve"> </w:t>
      </w:r>
      <w:r>
        <w:t xml:space="preserve">“</w:t>
      </w:r>
      <w:r>
        <w:t xml:space="preserve">Contrato de Suministro No. 103 de 2025</w:t>
      </w:r>
      <w:r>
        <w:t xml:space="preserve">”</w:t>
      </w:r>
      <w:r>
        <w:t xml:space="preserve">. El acta aclaratoria solo corrigió el acta de liquidación. Conviene extender la aclaración al acta de recibo final o advertirlo en el oficio.</w:t>
      </w:r>
    </w:p>
    <w:p>
      <w:pPr>
        <w:numPr>
          <w:ilvl w:val="0"/>
          <w:numId w:val="1002"/>
        </w:numPr>
      </w:pPr>
      <w:r>
        <w:t xml:space="preserve">Facturas y entradas sin firma de recibo. Las facturas tienen en blanco</w:t>
      </w:r>
      <w:r>
        <w:t xml:space="preserve"> </w:t>
      </w:r>
      <w:r>
        <w:t xml:space="preserve">“</w:t>
      </w:r>
      <w:r>
        <w:t xml:space="preserve">recibido por</w:t>
      </w:r>
      <w:r>
        <w:t xml:space="preserve">”</w:t>
      </w:r>
      <w:r>
        <w:t xml:space="preserve"> </w:t>
      </w:r>
      <w:r>
        <w:t xml:space="preserve">y los comprobantes de entrada no están firmados. El acta de recibo final, firmada por las tres partes, es el documento que acredita el recibo; conviene anexar los comprobantes de entrada firmados por el líder de almacén.</w:t>
      </w:r>
    </w:p>
    <w:p>
      <w:pPr>
        <w:numPr>
          <w:ilvl w:val="0"/>
          <w:numId w:val="1002"/>
        </w:numPr>
      </w:pPr>
      <w:r>
        <w:t xml:space="preserve">Formato F12. Para una contratación directa la opción</w:t>
      </w:r>
      <w:r>
        <w:t xml:space="preserve"> </w:t>
      </w:r>
      <w:r>
        <w:t xml:space="preserve">“</w:t>
      </w:r>
      <w:r>
        <w:t xml:space="preserve">SIN OFERTAS</w:t>
      </w:r>
      <w:r>
        <w:t xml:space="preserve">”</w:t>
      </w:r>
      <w:r>
        <w:t xml:space="preserve"> </w:t>
      </w:r>
      <w:r>
        <w:t xml:space="preserve">del aplicativo de rendición puede ser la correcta, pues describe un contrato celebrado sin convocatoria competitiva. Por eso el oficio del 1058 la presenta como la opción que la entidad entiende aplicable, sin afirmarlo como hecho, pues las opciones del formato y la resolución de rendición de la Contraloría no pudieron verificarse; a diferencia del 983, donde sí hubo invitación y oferta. Lo que sí reconoce como error en el 1058 son el rubro, el plazo de veinte días y la fecha de terminación. Si la Contraloría entiende la casilla de otra manera, la petición de indicar el procedimiento de corrección cubre ambos casos.</w:t>
      </w:r>
    </w:p>
    <w:p>
      <w:pPr>
        <w:numPr>
          <w:ilvl w:val="0"/>
          <w:numId w:val="1002"/>
        </w:numPr>
      </w:pPr>
      <w:r>
        <w:t xml:space="preserve">Plazo. El oficio explica que el plazo máximo fue de veintiún días, que la ejecución real fue de dieciséis y que el contrato se recibió y liquidó el 30 de diciembre de 2025, dentro de la vigencia. Es coherente con el anexo aclaratorio y con el acta de liquidación.</w:t>
      </w:r>
    </w:p>
    <w:bookmarkEnd w:id="23"/>
    <w:bookmarkStart w:id="24" w:name="puntos-comunes-a-los-dos-oficios"/>
    <w:p>
      <w:pPr>
        <w:pStyle w:val="Heading2"/>
      </w:pPr>
      <w:r>
        <w:t xml:space="preserve">5. Puntos comunes a los dos oficios</w:t>
      </w:r>
    </w:p>
    <w:p>
      <w:pPr>
        <w:numPr>
          <w:ilvl w:val="0"/>
          <w:numId w:val="1003"/>
        </w:numPr>
      </w:pPr>
      <w:r>
        <w:t xml:space="preserve">Fecha y plazo. Los oficios están fechados el 7 de octubre de 2026. Las setenta y dos horas hábiles pedidas el viernes 2 de octubre vencen el martes 6 o el miércoles 7 según cómo se cuente el día del recibo, de modo que conviene radicar de inmediato por la Ventanilla Única, citando la solicitud de plazo y, si existe, la comunicación de la Contraloría que lo concedió. El requerimiento del 1 de octubre incluyó también el contrato 1056; si su respuesta no está lista, debe radicarse al menos una comunicación que informe la fecha de entrega, porque la no atención de un requerimiento es sancionable conforme a los artículos 100 y 101 de la Ley 42 de 1993, citados en la carta de presentación de la auditoría.</w:t>
      </w:r>
    </w:p>
    <w:p>
      <w:pPr>
        <w:numPr>
          <w:ilvl w:val="0"/>
          <w:numId w:val="1003"/>
        </w:numPr>
      </w:pPr>
      <w:r>
        <w:t xml:space="preserve">Respuesta del 29 de septiembre de 2026. Los oficios se refieren a ella de manera genérica (acta de fe de erratas y anexo aclaratorio). Si tiene número de radicado, conviene incluirlo.</w:t>
      </w:r>
    </w:p>
    <w:p>
      <w:pPr>
        <w:numPr>
          <w:ilvl w:val="0"/>
          <w:numId w:val="1003"/>
        </w:numPr>
      </w:pPr>
      <w:r>
        <w:t xml:space="preserve">Formato F12. Ambos oficios reconocen los errores de diligenciamiento del reporte (en el 983 la casilla</w:t>
      </w:r>
      <w:r>
        <w:t xml:space="preserve"> </w:t>
      </w:r>
      <w:r>
        <w:t xml:space="preserve">“</w:t>
      </w:r>
      <w:r>
        <w:t xml:space="preserve">SIN OFERTAS</w:t>
      </w:r>
      <w:r>
        <w:t xml:space="preserve">”</w:t>
      </w:r>
      <w:r>
        <w:t xml:space="preserve"> </w:t>
      </w:r>
      <w:r>
        <w:t xml:space="preserve">y el plazo; en el 1058 el rubro y la fecha de terminación) y piden al equipo auditor indicar el procedimiento de corrección. Esa petición es preferible a afirmar únicamente que el sistema no permite modificar, porque traslada a la Contraloría la decisión y muestra disposición de corregir.</w:t>
      </w:r>
    </w:p>
    <w:p>
      <w:pPr>
        <w:numPr>
          <w:ilvl w:val="0"/>
          <w:numId w:val="1003"/>
        </w:numPr>
      </w:pPr>
      <w:r>
        <w:t xml:space="preserve">Destinatario. Se dirigen a la Contraloría con atención a la auditora designada, que es quien formuló el requerimiento del 1 de octubre y a quien se dirigió la solicitud de plazo. La radicación debe hacerse por la Ventanilla Única de Correspondencia indicada en la carta de presentación de la auditoría.</w:t>
      </w:r>
    </w:p>
    <w:p>
      <w:pPr>
        <w:numPr>
          <w:ilvl w:val="0"/>
          <w:numId w:val="1003"/>
        </w:numPr>
      </w:pPr>
      <w:r>
        <w:t xml:space="preserve">Publicación en SECOP II. El artículo 13 de la Ley 1150 de 2007, adicionado por el artículo 53 de la Ley 2195 de 2022, obliga a las entidades de régimen especial a publicar su actividad contractual en SECOP II. La Contraloría no lo ha observado, pero conviene verificar que los contratos 983 y 1058 de 2025 y sus soportes estén publicados antes de radicar, porque el equipo auditor puede consultarlo.</w:t>
      </w:r>
    </w:p>
    <w:p>
      <w:pPr>
        <w:numPr>
          <w:ilvl w:val="0"/>
          <w:numId w:val="1003"/>
        </w:numPr>
      </w:pPr>
      <w:r>
        <w:t xml:space="preserve">Régimen presupuestal. Los Estatutos de la E.S.E. (Acuerdo 006 de 2014, artículo 68) remiten a los Decretos 111 y 115 de 1996; en ellos se apoya la nota al pie del oficio del 983 sobre el momento del certificado de disponibilidad presupuestal.</w:t>
      </w:r>
    </w:p>
    <w:p>
      <w:pPr>
        <w:numPr>
          <w:ilvl w:val="0"/>
          <w:numId w:val="1003"/>
        </w:numPr>
      </w:pPr>
      <w:r>
        <w:t xml:space="preserve">Oportunidad. La auditoría dura sesenta días hábiles contados desde el 12 de agosto de 2026, de modo que termina hacia la primera semana de noviembre de 2026. Cualquier corrección que quiera presentarse como beneficio del proceso auditor (ajuste de estampillas, corrección del F12, actas aclaratorias corregidas) debe producirse antes del informe preliminar.</w:t>
      </w:r>
    </w:p>
    <w:p>
      <w:pPr>
        <w:numPr>
          <w:ilvl w:val="0"/>
          <w:numId w:val="1003"/>
        </w:numPr>
      </w:pPr>
      <w:r>
        <w:t xml:space="preserve">Alcance de la revisión. Los dos archivos ZIP con el expediente completo (minutas, estudios previos, acta del 29 de septiembre, F12, CDP, RP y egresos) superan el tamaño que permite descargar la herramienta de Drive, por lo que no fue posible confrontar los oficios contra esos documentos. Las afirmaciones sobre su contenido se tomaron de los cuadros de trabajo y de los documentos aclaratorios de la entidad.</w:t>
      </w:r>
    </w:p>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21">
    <w:nsid w:val="A9972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2026-10-07T05:56:22Z</dcterms:created>
  <dcterms:modified xsi:type="dcterms:W3CDTF">2026-10-07T05:56:22Z</dcterms:modified>
</cp:coreProperties>
</file>

<file path=docProps/custom.xml><?xml version="1.0" encoding="utf-8"?>
<Properties xmlns="http://schemas.openxmlformats.org/officeDocument/2006/custom-properties" xmlns:vt="http://schemas.openxmlformats.org/officeDocument/2006/docPropsVTypes"/>
</file>