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Gramalote, 7 de octubre de 2026</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Señores</w:t>
      </w: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CONTRALORÍA GENERAL DEL DEPARTAMENTO NORTE DE SANTANDER</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Atención: doctora Gloria Esperanza Vera Castillo, Profesional Universitario, Auditora designada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San José de Cúcuta</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Asunto:</w:t>
      </w:r>
      <w:r>
        <w:rPr>
          <w:rFonts w:ascii="Times New Roman" w:eastAsia="Arial" w:hAnsi="Times New Roman" w:cs="Times New Roman"/>
          <w:sz w:val="24"/>
          <w:szCs w:val="24"/>
          <w:lang w:val="es-CO"/>
        </w:rPr>
        <w:t xml:space="preserve"> Respuesta al requerimiento del 1 de octubre de 2026 y remisión de soportes del Contrato de Suministro N° 1058 de 2025.</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Referencia:</w:t>
      </w:r>
      <w:r>
        <w:rPr>
          <w:rFonts w:ascii="Times New Roman" w:eastAsia="Arial" w:hAnsi="Times New Roman" w:cs="Times New Roman"/>
          <w:sz w:val="24"/>
          <w:szCs w:val="24"/>
          <w:lang w:val="es-CO"/>
        </w:rPr>
        <w:t xml:space="preserve"> Auditoría Financiera de Gestión y Resultados Abreviada, vigencia 2025. Radicado N° 20262010017741 del 18 de agosto de 2026.</w:t>
      </w:r>
    </w:p>
    <w:p>
      <w:pPr>
        <w:spacing w:before="0" w:after="0" w:line="276" w:lineRule="auto"/>
        <w:jc w:val="both"/>
        <w:rPr>
          <w:rFonts w:ascii="Times New Roman" w:eastAsia="Arial" w:hAnsi="Times New Roman" w:cs="Times New Roman"/>
          <w:sz w:val="24"/>
          <w:szCs w:val="24"/>
          <w:lang w:val="es-CO"/>
        </w:rPr>
      </w:pP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Cordial saludo.</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Mediante la comunicación con radicado N° 20262010017741, ese órgano de control notificó la apertura de la Auditoría Financiera de Gestión y Resultados Abreviada a la E.S.E. Hospital Regional Centro por la vigencia comprendida entre el 1 de enero y el 31 de diciembre de 2025. El 1 de octubre de 2026 el equipo auditor solicitó los soportes y aclaraciones pendientes de los contratos 1056, 1058 y 983 de 2025, y el 2 de octubre de 2026 la entidad solicitó un término de setenta y dos horas hábiles para completar la entrega </w:t>
      </w:r>
      <w:r>
        <w:rPr>
          <w:rFonts w:ascii="Times New Roman" w:eastAsia="Arial" w:hAnsi="Times New Roman" w:cs="Times New Roman"/>
          <w:highlight w:val="yellow"/>
          <w:sz w:val="24"/>
          <w:szCs w:val="24"/>
          <w:lang w:val="es-CO"/>
        </w:rPr>
        <w:t xml:space="preserve">si la Contraloría concedió el plazo por escrito, citar aquí esa comunicación</w:t>
      </w:r>
      <w:r>
        <w:rPr>
          <w:rFonts w:ascii="Times New Roman" w:eastAsia="Arial" w:hAnsi="Times New Roman" w:cs="Times New Roman"/>
          <w:sz w:val="24"/>
          <w:szCs w:val="24"/>
          <w:lang w:val="es-CO"/>
        </w:rPr>
        <w:t xml:space="preserve">. Dentro de ese término, la entidad presenta la respuesta correspondiente al Contrato de Suministro N° 1058 de 2025 y remite los documentos que la soportan. La respuesta del Contrato N° 983 de 2025 se radica en comunicación separada y la del Contrato N° 1056 de 2025 </w:t>
      </w:r>
      <w:r>
        <w:rPr>
          <w:rFonts w:ascii="Times New Roman" w:eastAsia="Arial" w:hAnsi="Times New Roman" w:cs="Times New Roman"/>
          <w:highlight w:val="yellow"/>
          <w:sz w:val="24"/>
          <w:szCs w:val="24"/>
          <w:lang w:val="es-CO"/>
        </w:rPr>
        <w:t xml:space="preserve">indicar: se radica en comunicación separada / se remitirá el día ...</w:t>
      </w:r>
      <w:r>
        <w:rPr>
          <w:rFonts w:ascii="Times New Roman" w:eastAsia="Arial" w:hAnsi="Times New Roman" w:cs="Times New Roman"/>
          <w:sz w:val="24"/>
          <w:szCs w:val="24"/>
          <w:lang w:val="es-CO"/>
        </w:rPr>
        <w:t xml:space="preserve">.</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Esta comunicación complementa la respuesta remitida el 29 de septiembre de 2026 </w:t>
      </w:r>
      <w:r>
        <w:rPr>
          <w:rFonts w:ascii="Times New Roman" w:eastAsia="Arial" w:hAnsi="Times New Roman" w:cs="Times New Roman"/>
          <w:highlight w:val="yellow"/>
          <w:sz w:val="24"/>
          <w:szCs w:val="24"/>
          <w:lang w:val="es-CO"/>
        </w:rPr>
        <w:t xml:space="preserve">citar radicado</w:t>
      </w:r>
      <w:r>
        <w:rPr>
          <w:rFonts w:ascii="Times New Roman" w:eastAsia="Arial" w:hAnsi="Times New Roman" w:cs="Times New Roman"/>
          <w:sz w:val="24"/>
          <w:szCs w:val="24"/>
          <w:lang w:val="es-CO"/>
        </w:rPr>
        <w:t xml:space="preserve">, con su acta de fe de erratas y su anexo aclaratorio, y las comunicaciones del 5 de octubre de 2026 sobre la Inconsistencia N° 8 y sobre el comprobante de egreso CE-10343, que se radican con este oficio. Para cada observación se indica la explicación de la entidad y el documento que la acredita, y al final se relacionan los anexos.</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 Antecedentes del contrato</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Contrato de Suministro N° 1058 de 2025 tuvo por objeto el suministro de material médico quirúrgico y de material de laboratorio requeridos y necesarios para el funcionamiento de la red hospitalaria de la E.S.E. Hospital Regional Centro. Se celebró con la Cooperativa de Hospitales de Santander y el Nororiente Colombiano, COHOSAN, NIT 804.009.200-4, entidad del sector solidario de la que la E.S.E. es asociada </w:t>
      </w:r>
      <w:r>
        <w:rPr>
          <w:rFonts w:ascii="Times New Roman" w:eastAsia="Arial" w:hAnsi="Times New Roman" w:cs="Times New Roman"/>
          <w:highlight w:val="yellow"/>
          <w:sz w:val="24"/>
          <w:szCs w:val="24"/>
          <w:lang w:val="es-CO"/>
        </w:rPr>
        <w:t xml:space="preserve">anexar certificación de COHOSAN sobre la calidad de asociada; si no se obtiene, suprimir esta mención</w:t>
      </w:r>
      <w:r>
        <w:rPr>
          <w:rFonts w:ascii="Times New Roman" w:eastAsia="Arial" w:hAnsi="Times New Roman" w:cs="Times New Roman"/>
          <w:sz w:val="24"/>
          <w:szCs w:val="24"/>
          <w:lang w:val="es-CO"/>
        </w:rPr>
        <w:t xml:space="preserve">, por valor de $40.000.000, bajo la modalidad de contratación directa prevista en el Manual de Contratación para los contratos con cooperativas u organismos de carácter solidario a los que la entidad pertenece y para el suministro de medicamentos, elementos hospitalarios y de laboratorio. El contrato se respaldó con el certificado de disponibilidad presupuestal N° 1586 del 5 de diciembre de 2025 y con el registro presupuestal N° 1585 del 11 de diciembre de 2025, con cargo a los rubros 2.4.5.01.04.02, material médico quirúrgico, por $15.000.000, y 2.4.5.01.04.03, materiales para laboratorio, por $25.000.000.</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acta de inicio se suscribió el 15 de diciembre de 2025, con un plazo máximo de veintiún días. Los bienes se entregaron según consta en quince facturas electrónicas de venta fechadas el 15 y el 16 de diciembre de 2025, con sus correspondientes comprobantes de ingreso a almacén, y el acta de recibo final y el acta de liquidación se suscribieron el 30 de diciembre de 2025 por $39.998.124, con un saldo no ejecutado de $1.876 que fue liberado. El pago se causó mediante el comprobante de egreso CE-10343 del 30 de diciembre de 2025 y se giró el 13 de enero de 2026 por $38.259.480, una vez aplicados los descuentos.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En materia contractual, la E.S.E. se rige por el derecho privado y por su Manual de Contratación, adoptado mediante la Resolución 002 de 2023 en desarrollo del Acuerdo 017 de 2022 de la Junta Directiva, y sus modificaciones, con sujeción a los principios de la función administrativa y de la gestión fiscal y al régimen de inhabilidades e incompatibilidades de la contratación estatal.</w:t>
      </w:r>
      <w:r>
        <w:rPr>
          <w:rFonts w:ascii="Times New Roman" w:eastAsia="Arial" w:hAnsi="Times New Roman" w:cs="Times New Roman"/>
          <w:vertAlign w:val="superscript"/>
          <w:sz w:val="24"/>
          <w:szCs w:val="24"/>
          <w:lang w:val="es-CO"/>
        </w:rPr>
        <w:footnoteReference w:id="1"/>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 Respuesta a las observaciones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Modalidad de contratación y denominación del proceso. El equipo auditor observó que el acta de liquidación denomina el proceso "invitación directa por régimen especial" y que el formato de rendición reporta "SIN OFERTAS", un rubro distinto del afectado, un plazo de veinte días y una fecha de terminación igual a la de inicio. El contrato se celebró por contratación directa, con fundamento en las causales del Manual de Contratación aplicables a los contratos con cooperativas de las que la entidad es asociada y al suministro de medicamentos, elementos hospitalarios y de laboratorio </w:t>
      </w:r>
      <w:r>
        <w:rPr>
          <w:rFonts w:ascii="Times New Roman" w:eastAsia="Arial" w:hAnsi="Times New Roman" w:cs="Times New Roman"/>
          <w:highlight w:val="yellow"/>
          <w:sz w:val="24"/>
          <w:szCs w:val="24"/>
          <w:lang w:val="es-CO"/>
        </w:rPr>
        <w:t xml:space="preserve">numerales 30.2.16 y 30.2.21, confirmar la numeración de la versión del Manual vigente en diciembre de 2025</w:t>
      </w:r>
      <w:r>
        <w:rPr>
          <w:rFonts w:ascii="Times New Roman" w:eastAsia="Arial" w:hAnsi="Times New Roman" w:cs="Times New Roman"/>
          <w:sz w:val="24"/>
          <w:szCs w:val="24"/>
          <w:lang w:val="es-CO"/>
        </w:rPr>
        <w:t xml:space="preserve">. Aunque el valor del contrato está dentro del rango de la mínima cuantía, el Manual permite acudir a la contratación directa cuando se configura una de sus causales, con independencia del procedimiento que correspondería por la cuantía. El encabezado del acta de liquidación registró por error mecanográfico la expresión "invitación directa por régimen especial", corregida mediante el acta aclaratoria que se anexa. En cuanto al formato de rendición, la expresión "SIN OFERTAS" corresponde, según lo entiende la entidad, a la opción del aplicativo para los contratos celebrados sin convocatoria competitiva, como es la contratación directa; en cambio, el rubro, el plazo y la fecha de terminación allí registrados sí presentan errores de diligenciamiento, pues los rubros afectados son el 2.4.5.01.04.02 y el 2.4.5.01.04.03, el plazo pactado fue de veintiún días y la ejecución terminó el 30 de diciembre de 2025. Como el reporte ya fue transmitido, la entidad solicita respetuosamente al equipo auditor que le indique el procedimiento para corregirlo, si a ello hubiere lugar. Con esta precisión se anexan la comunicación y la certificación aclaratoria sobre la Inconsistencia N° 8, con copia del certificado de disponibilidad presupuestal N° 1586 y del registro presupuestal N° 1585.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Estudio previo. El equipo auditor observó que el estudio previo describe la necesidad de manera genérica, cita el Acuerdo 026 de 2022, presenta discordancia entre el valor en letras y en números, incluye una matriz de riesgos de prestación de servicios y menciona un plazo hasta el 31 de diciembre de 2025. Se trata de errores de transcripción derivados del uso de plantillas, ya explicados en el anexo aclaratorio del 29 de septiembre de 2026: el acuerdo aplicable es el 017 de 2022, el valor es $40.000.000 y el plazo pactado fue de veintiún días. La necesidad real que motivó el contrato, el abastecimiento de la red hospitalaria durante el último mes de la vigencia, se acredita con el ingreso de los bienes al almacén, con su recibo a satisfacción y con los kardex que se anexan. La entidad reconoce que el listado técnico del estudio previo debió incluir cantidades y precios estimados por ítem, y adoptará como acción de mejora la elaboración de estudios previos con análisis del valor desagregado para los contratos de suministro.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Texto de la minuta del contrato. El equipo auditor observó que la parte considerativa alude a insumos farmacéuticos, de odontología y equipos, que la minuta cita el Decreto 734 de 2012 y que varias cláusulas se refieren a la prestación de servicios. Esas menciones provienen de la reutilización de plantillas. Mediante acta aclaratoria suscrita por las partes se precisó que el negocio jurídico es exclusivamente un contrato de suministro de material médico quirúrgico y de laboratorio, se dejó sin efecto la cita del Decreto 734 de 2012, norma derogada, y se retiraron de la parte considerativa las menciones genéricas a insumos de odontología y equipos, sin alterar el objeto, el valor ni las demás cláusulas. El acta se anexa. </w:t>
      </w:r>
      <w:r>
        <w:rPr>
          <w:rFonts w:ascii="Times New Roman" w:eastAsia="Arial" w:hAnsi="Times New Roman" w:cs="Times New Roman"/>
          <w:highlight w:val="yellow"/>
          <w:sz w:val="24"/>
          <w:szCs w:val="24"/>
          <w:lang w:val="es-CO"/>
        </w:rPr>
        <w:t xml:space="preserve">Antes de anexarla, corregir la cláusula segunda del acta, que afirma que los insumos farmacéuticos no fueron objeto de entrega ni facturación, en contradicción con el acta de recibo final y con el literal j); corregir la cláusula tercera para que fije el régimen de derecho privado del contrato; ponerle lugar y fecha de 2026 y firmas de la Gerente, del representante legal de COHOSAN y de la supervisora. Si no se logra antes de radicar, retirar el acta de los anexos y anunciar aquí que se remitirá.</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Garantía. El equipo auditor observó que no se aportó la garantía ni su acta de aprobación. Se anexan la garantía N° 4416662 expedida por Seguros Generales Suramericana S.A. el </w:t>
      </w:r>
      <w:r>
        <w:rPr>
          <w:rFonts w:ascii="Times New Roman" w:eastAsia="Arial" w:hAnsi="Times New Roman" w:cs="Times New Roman"/>
          <w:highlight w:val="yellow"/>
          <w:sz w:val="24"/>
          <w:szCs w:val="24"/>
          <w:lang w:val="es-CO"/>
        </w:rPr>
        <w:t xml:space="preserve">fecha de expedición</w:t>
      </w:r>
      <w:r>
        <w:rPr>
          <w:rFonts w:ascii="Times New Roman" w:eastAsia="Arial" w:hAnsi="Times New Roman" w:cs="Times New Roman"/>
          <w:sz w:val="24"/>
          <w:szCs w:val="24"/>
          <w:lang w:val="es-CO"/>
        </w:rPr>
        <w:t xml:space="preserve">, con los amparos de </w:t>
      </w:r>
      <w:r>
        <w:rPr>
          <w:rFonts w:ascii="Times New Roman" w:eastAsia="Arial" w:hAnsi="Times New Roman" w:cs="Times New Roman"/>
          <w:highlight w:val="yellow"/>
          <w:sz w:val="24"/>
          <w:szCs w:val="24"/>
          <w:lang w:val="es-CO"/>
        </w:rPr>
        <w:t xml:space="preserve">denominación exacta de los amparos</w:t>
      </w:r>
      <w:r>
        <w:rPr>
          <w:rFonts w:ascii="Times New Roman" w:eastAsia="Arial" w:hAnsi="Times New Roman" w:cs="Times New Roman"/>
          <w:sz w:val="24"/>
          <w:szCs w:val="24"/>
          <w:lang w:val="es-CO"/>
        </w:rPr>
        <w:t xml:space="preserve">, cada uno por $4.000.000, equivalentes al 10% del valor del contrato, con vigencia </w:t>
      </w:r>
      <w:r>
        <w:rPr>
          <w:rFonts w:ascii="Times New Roman" w:eastAsia="Arial" w:hAnsi="Times New Roman" w:cs="Times New Roman"/>
          <w:highlight w:val="yellow"/>
          <w:sz w:val="24"/>
          <w:szCs w:val="24"/>
          <w:lang w:val="es-CO"/>
        </w:rPr>
        <w:t xml:space="preserve">fechas de cada amparo</w:t>
      </w:r>
      <w:r>
        <w:rPr>
          <w:rFonts w:ascii="Times New Roman" w:eastAsia="Arial" w:hAnsi="Times New Roman" w:cs="Times New Roman"/>
          <w:sz w:val="24"/>
          <w:szCs w:val="24"/>
          <w:lang w:val="es-CO"/>
        </w:rPr>
        <w:t xml:space="preserve">, y el acta de aprobación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Ninguno de los dos documentos está en la carpeta compartida. Redactar este literal únicamente con los datos de la póliza y del acta una vez obtenidas; si el acta no existe o es posterior al acta de inicio del 15 de diciembre de 2025, reconocerlo y plantearlo como acción de mejora, sin elaborar documentos con fecha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Comprobante de egreso CE-10343 y descuentos aplicados. El equipo auditor observó que el concepto del comprobante de egreso corresponde a otro contrato, pidió verificar la base y la procedencia de los descuentos de estampillas y señaló que la base utilizada no incluye el valor gravado. El concepto del comprobante provenía de una plantilla de otro contrato y fue corregido mediante la fe de erratas del 29 de septiembre de 2026; el comprobante corresponde al Contrato N° 1058 de 2025, como lo acreditan su valor bruto de $39.998.124, igual al del acta de recibo final, las quince facturas que relaciona y la transferencia efectuada a la cuenta de la cooperativa. En cuanto a las retenciones, se practicó retención de IVA del 15% sobre el IVA facturado de $464.737, por $69.711; no se practicó retención en la fuente a título de renta porque la cooperativa pertenece al régimen tributario especial, cuyos ingresos solo están sometidos a retención por rendimientos financieros conforme al parágrafo 1 del artículo 19-4 del Estatuto Tributario </w:t>
      </w:r>
      <w:r>
        <w:rPr>
          <w:rFonts w:ascii="Times New Roman" w:eastAsia="Arial" w:hAnsi="Times New Roman" w:cs="Times New Roman"/>
          <w:highlight w:val="yellow"/>
          <w:sz w:val="24"/>
          <w:szCs w:val="24"/>
          <w:lang w:val="es-CO"/>
        </w:rPr>
        <w:t xml:space="preserve">anexar el RUT de COHOSAN</w:t>
      </w:r>
      <w:r>
        <w:rPr>
          <w:rFonts w:ascii="Times New Roman" w:eastAsia="Arial" w:hAnsi="Times New Roman" w:cs="Times New Roman"/>
          <w:sz w:val="24"/>
          <w:szCs w:val="24"/>
          <w:lang w:val="es-CO"/>
        </w:rPr>
        <w:t xml:space="preserve">; la mención "régimen común" del encabezado del acta de recibo final es un residuo de formato. Se descontaron además la Estampilla Pro-Hospital Universitario Erasmo Meoz, por $741.748, y la Tasa Prodeporte y Recreación, por $927.185, liquidadas sobre el valor excluido de IVA, $37.087.403, y no sobre la base total antes de IVA, $39.533.387; la diferencia de base, $2.445.984, representaría $48.920 y $61.150 adicionales, respectivamente. Al revisar la observación, la entidad encontró que el Estatuto de Rentas del Departamento, Ordenanza 018 de 2025, artículo 340, numeral 4, excluye de las estampillas departamentales los contratos que celebren los hospitales públicos destinados a la prestación de los servicios de salud del plan de beneficios, y entiende que este contrato de suministro de material médico quirúrgico y de laboratorio está comprendido en esa exclusión, de modo que la estampilla no debía descontarse; la Tasa Prodeporte y Recreación, por ser una tasa y no una estampilla, se regiría por sus propias reglas </w:t>
      </w:r>
      <w:r>
        <w:rPr>
          <w:rFonts w:ascii="Times New Roman" w:eastAsia="Arial" w:hAnsi="Times New Roman" w:cs="Times New Roman"/>
          <w:highlight w:val="yellow"/>
          <w:sz w:val="24"/>
          <w:szCs w:val="24"/>
          <w:lang w:val="es-CO"/>
        </w:rPr>
        <w:t xml:space="preserve">confirmar en la Ordenanza 018 de 2025 si la tasa tiene exclusiones aplicables</w:t>
      </w:r>
      <w:r>
        <w:rPr>
          <w:rFonts w:ascii="Times New Roman" w:eastAsia="Arial" w:hAnsi="Times New Roman" w:cs="Times New Roman"/>
          <w:sz w:val="24"/>
          <w:szCs w:val="24"/>
          <w:lang w:val="es-CO"/>
        </w:rPr>
        <w:t xml:space="preserve">. La entidad somete esta interpretación a la consideración del equipo auditor y solicitará concepto a la Secretaría de Hacienda departamental; según el resultado, reintegrará a la cooperativa los valores descontados sin causa o liquidará y trasladará al Departamento las diferencias que correspondan </w:t>
      </w:r>
      <w:r>
        <w:rPr>
          <w:rFonts w:ascii="Times New Roman" w:eastAsia="Arial" w:hAnsi="Times New Roman" w:cs="Times New Roman"/>
          <w:highlight w:val="yellow"/>
          <w:sz w:val="24"/>
          <w:szCs w:val="24"/>
          <w:lang w:val="es-CO"/>
        </w:rPr>
        <w:t xml:space="preserve">indicar si los valores descontados ya fueron trasladados al Departamento o permanecen en la entidad</w:t>
      </w:r>
      <w:r>
        <w:rPr>
          <w:rFonts w:ascii="Times New Roman" w:eastAsia="Arial" w:hAnsi="Times New Roman" w:cs="Times New Roman"/>
          <w:sz w:val="24"/>
          <w:szCs w:val="24"/>
          <w:lang w:val="es-CO"/>
        </w:rPr>
        <w:t xml:space="preserve">. La comunicación de la Gerente del 5 de octubre de 2026, que detalla las facturas, las entradas de almacén, las bases y los descuentos, se anexa </w:t>
      </w:r>
      <w:r>
        <w:rPr>
          <w:rFonts w:ascii="Times New Roman" w:eastAsia="Arial" w:hAnsi="Times New Roman" w:cs="Times New Roman"/>
          <w:highlight w:val="yellow"/>
          <w:sz w:val="24"/>
          <w:szCs w:val="24"/>
          <w:lang w:val="es-CO"/>
        </w:rPr>
        <w:t xml:space="preserve">limitar la comunicación al contrato 1058 o anexar solo la parte que le corresponde; la parte del 983 se radica con el oficio de ese contrato</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Facturas y comprobantes de entrada. El equipo auditor observó que no se aportaron las facturas ni los comprobantes de entrada con sus valores, y que un número de comprobante está mal escrito. Se anexan las quince facturas electrónicas de venta FVE-124898, 124901, 124902, 124903, 124904, 124905, 124906, 124907, 124916, 124920, 124926, 124947, 124949, 125012 y 125023 y los quince comprobantes de ingreso a almacén FCF-1064 a FCF-1078, firmados por el líder de almacén, cuya correspondencia uno a uno, con base gravable, IVA y total, se detalla en la comunicación de la Gerente sobre el comprobante de egreso; la suma de los quince documentos es exactamente $39.998.124. El acta de recibo final del 30 de diciembre de 2025 relaciona, por cada factura, los ítems recibidos con cantidad, valor unitario, IVA y total. El número "FVE1224926" consignado en el acta de liquidación corresponde a la factura FVE-124926, cuyo ingreso es el comprobante FCF-1071, error tipográfico corregido en el acta aclaratoria. </w:t>
      </w:r>
      <w:r>
        <w:rPr>
          <w:rFonts w:ascii="Times New Roman" w:eastAsia="Arial" w:hAnsi="Times New Roman" w:cs="Times New Roman"/>
          <w:highlight w:val="yellow"/>
          <w:sz w:val="24"/>
          <w:szCs w:val="24"/>
          <w:lang w:val="es-CO"/>
        </w:rPr>
        <w:t xml:space="preserve">Si se anexan los comprobantes de ingreso, advertir aquí que el FCF-1076 registró 150 unidades de casete de hepatitis C en lugar de 5 cajas de 30 unidades, y que el FCF-1070 tiene fecha del 24 de diciembre de 2025 para una factura del 15 de diciembre, con la nota de ajuste de inventario y la explicación del almacén.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Informe de actividades e informe de supervisión. El equipo auditor observó que el informe de actividades del 17 de diciembre de 2025 es genérico y que el informe de supervisión contiene errores de diligenciamiento. Los errores del formato de supervisión fueron aclarados en el anexo aclaratorio del 29 de septiembre de 2026: la fecha de inicio es el 15 de diciembre de 2025; el certificado de disponibilidad presupuestal es el N° 1586 del 5 de diciembre de 2025 y el registro presupuestal el N° 1585 del 11 de diciembre de 2025; el valor pagado es $39.998.124, y la sede de ejecución es Gramalote. El formato empleado corresponde a una plantilla de contratos de prestación de servicios personales, que la entidad ajustará para los contratos de suministro. En cuanto a la acreditación de aportes, se precisa lo afirmado el 29 de septiembre de 2026: el requisito sí aplica y se cumplió. La contratista es una persona jurídica, de manera que la acreditación se hace con la certificación del revisor fiscal sobre el pago de los aportes al sistema de seguridad social y parafiscales, expedida el 1 de diciembre de 2025, y con las planillas de pago; para el pago del 30 de diciembre de 2025 se verificó la planilla del periodo de noviembre, y la planilla del periodo de diciembre de 2025, pagada 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se anexa.</w:t>
      </w:r>
      <w:r>
        <w:rPr>
          <w:rFonts w:ascii="Times New Roman" w:eastAsia="Arial" w:hAnsi="Times New Roman" w:cs="Times New Roman"/>
          <w:vertAlign w:val="superscript"/>
          <w:sz w:val="24"/>
          <w:szCs w:val="24"/>
          <w:lang w:val="es-CO"/>
        </w:rPr>
        <w:footnoteReference w:id="2"/>
      </w:r>
      <w:r>
        <w:rPr>
          <w:rFonts w:ascii="Times New Roman" w:eastAsia="Arial" w:hAnsi="Times New Roman" w:cs="Times New Roman"/>
          <w:sz w:val="24"/>
          <w:szCs w:val="24"/>
          <w:lang w:val="es-CO"/>
        </w:rPr>
        <w:t xml:space="preserve"> Las entregas se acreditan con los comprobantes de ingreso a almacén y con el acta de recibo final, firmada por la Gerente, por el representante legal de la cooperativa y por la supervisora.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Plazo de ejecución. El equipo auditor observó que el plazo aparece como veintiún días en el contrato, dieciséis en el acta de liquidación, veinte en el formato de rendición y hasta el 31 de diciembre de 2025 en el estudio previo, y que veintiún días contados desde el 15 de diciembre terminarían fuera de la vigencia. El plazo pactado fue de veintiún días contados desde el acta de inicio del 15 de diciembre de 2025. Las entregas se realizaron el 15 y el 16 de diciembre de 2025 y, cumplido el objeto, las partes suscribieron el acta de recibo final y el acta de liquidación el 30 de diciembre de 2025; los "dieciséis días" del acta de liquidación corresponden a los días efectivamente transcurridos entre el inicio y la liquidación, no al plazo pactado. El contrato se ejecutó, recibió y liquidó dentro de la vigencia 2025, y la obligación se causó en esa vigencia con las facturas, los ingresos a almacén, el acta de recibo final y el comprobante de egreso CE-10343 del 30 de diciembre de 2025 </w:t>
      </w:r>
      <w:r>
        <w:rPr>
          <w:rFonts w:ascii="Times New Roman" w:eastAsia="Arial" w:hAnsi="Times New Roman" w:cs="Times New Roman"/>
          <w:highlight w:val="yellow"/>
          <w:sz w:val="24"/>
          <w:szCs w:val="24"/>
          <w:lang w:val="es-CO"/>
        </w:rPr>
        <w:t xml:space="preserve">confirmar la secuencia con la solicitud definitiva de pago N° 720, fechada el 31 de diciembre de 2025</w:t>
      </w:r>
      <w:r>
        <w:rPr>
          <w:rFonts w:ascii="Times New Roman" w:eastAsia="Arial" w:hAnsi="Times New Roman" w:cs="Times New Roman"/>
          <w:sz w:val="24"/>
          <w:szCs w:val="24"/>
          <w:lang w:val="es-CO"/>
        </w:rPr>
        <w:t xml:space="preserve">; el giro del 13 de enero de 2026 se efectuó con cargo a las cuentas por pagar constituidas al cierre de la vigencia </w:t>
      </w:r>
      <w:r>
        <w:rPr>
          <w:rFonts w:ascii="Times New Roman" w:eastAsia="Arial" w:hAnsi="Times New Roman" w:cs="Times New Roman"/>
          <w:highlight w:val="yellow"/>
          <w:sz w:val="24"/>
          <w:szCs w:val="24"/>
          <w:lang w:val="es-CO"/>
        </w:rPr>
        <w:t xml:space="preserve">anexar la relación o el acto de constitución de cuentas por pagar a 31 de diciembre de 2025; si no existe, suprimir esta frase</w:t>
      </w:r>
      <w:r>
        <w:rPr>
          <w:rFonts w:ascii="Times New Roman" w:eastAsia="Arial" w:hAnsi="Times New Roman" w:cs="Times New Roman"/>
          <w:sz w:val="24"/>
          <w:szCs w:val="24"/>
          <w:lang w:val="es-CO"/>
        </w:rPr>
        <w:t xml:space="preserve">. El plazo de veinte días y la fecha de terminación del formato de rendición son errores de diligenciamiento, según se explicó en el literal 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i)</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Referencias erróneas en los documentos de pago. El equipo auditor observó que la definitiva de pago N° 3625 cita el "contrato N° 1085", que la designación de supervisor cita el "contrato N° 1052", que la solicitud definitiva de pago N° 720 menciona el "RP 1323" y que la solicitud de liberación de saldo N° 005 cita el "CDP 1585", el rubro 2.4.5.01.02.01 y el "CDP 1574". Todas son referencias residuales de plantillas. La fe de erratas del 29 de septiembre de 2026 corrigió el número del contrato en la definitiva de pago y en la designación de supervisor, suprimió la mención al RP 1323 y corrigió el número del certificado en la solicitud de liberación de saldo. Para claridad del equipo auditor se precisa, además, que el único certificado de disponibilidad presupuestal del contrato es el N° 1586 del 5 de diciembre de 2025, el único registro presupuestal es el N° 1585 del 11 de diciembre de 2025, los rubros afectados son el 2.4.5.01.04.02 y el 2.4.5.01.04.03, y el registro presupuestal N° 1323, el certificado N° 1574 y el rubro 2.4.5.01.02.01 son ajenos a este contrato. El valor liberado, $1.876, coincide con el saldo no ejecutado del acta de liquidación, $1.523 del rubro de laboratorio y $353 del rubro de material médico quirúrgico. Se anexa la certificación financiera y presupuestal suscrita por la Subgerente Administrativa y Financiera </w:t>
      </w:r>
      <w:r>
        <w:rPr>
          <w:rFonts w:ascii="Times New Roman" w:eastAsia="Arial" w:hAnsi="Times New Roman" w:cs="Times New Roman"/>
          <w:highlight w:val="yellow"/>
          <w:sz w:val="24"/>
          <w:szCs w:val="24"/>
          <w:lang w:val="es-CO"/>
        </w:rPr>
        <w:t xml:space="preserve">reexpedirla con fecha de 2026 y sin la expresión "variación en la afectación entre subrubros", certificando la distribución del registro presupuestal por rubro, la ejecución por rubro sin traslados, la liberación por rubro y que el RP 1323, el CDP 1574 y el rubro 2.4.5.01.02.01 son ajenos al contrato</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j)</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Medicamentos facturados con cargo al contrato e imputación entre rubros. El equipo auditor observó que se facturaron y pagaron tres medicamentos que no corresponden literalmente al objeto del contrato y que la imputación entre los rubros de laboratorio y de material médico quirúrgico no coincide con la naturaleza de los ítems. Entre los bienes recibidos figuran tres medicamentos de uso directo en la atención: el faboterápico antiescorpiónico Alacramyn, diez viales por $7.397.310, el lactato de Ringer, treinta y cuatro unidades por $106.998, y el agua estéril, una unidad por $4.160, para un total de $7.508.468. Su adquisición respondió a necesidades reales del servicio de urgencias y de los procedimientos asistenciales de una institución que atiende población de siete municipios, con zonas rurales y rurales dispersas expuestas a accidentes por animales ponzoñosos. El kardex del Alacramyn registra el ingreso de los diez viales de este contrato el 15 de diciembre de 2025, salidas a los servicios durante toda la vigencia y una existencia de veintisiete viales al 31 de diciembre de 2025, lo que acredita su uso efectivo y la reposición del inventario. Los tres productos ingresaron al almacén, se destinaron a la prestación del servicio y se pagaron al precio facturado por la cooperativa; la causal del Manual de Contratación que amparó la contratación directa comprende también el suministro de medicamentos, de modo que su adquisición a la misma cooperativa, por la misma modalidad, era procedente. Por ello no se advierte daño patrimonial, y la deficiencia consiste en que el objeto del contrato y el estudio previo no los describieron expresamente.</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En cuanto a la imputación, los pagos se aplicaron a los dos rubros amparados por el registro presupuestal N° 1585 sin exceder en ninguno de ellos el valor registrado: $14.999.647 frente a $15.000.000 en material médico quirúrgico y $24.998.477 frente a $25.000.000 en materiales para laboratorio, sin créditos, contracréditos ni traslados. Al revisar la clasificación, la entidad advierte que al rubro de material médico quirúrgico se cargaron reactivos y pruebas de laboratorio por $4.368.205 y los medicamentos descritos, y al de laboratorio el agua estéril, por lo que lo facturado en laboratorio, $29.362.522, supera lo imputado a ese rubro, $24.998.477. Se trata de una deficiencia en la especialización de la imputación, que la entidad reconoce, y no de una mayor ejecución ni de un traslado de apropiaciones. Como acción de mejora, los estudios previos de los contratos de suministro delimitarán el objeto y el rubro por cada tipo de bien. Se anexan la justificación técnica, asistencial y presupuestal, con los kardex, y la certificación financiera y presupuestal.</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k)</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Acta de recibo final y registro fotográfico. El equipo auditor observó que no se aportaron el acta de recibo final ni el registro fotográfico. Se anexan el acta de recibo final del 30 de diciembre de 2025, que relaciona la totalidad de los ítems recibidos por factura, con sus cantidades y valores, y el registro fotográfico de las entregas </w:t>
      </w:r>
      <w:r>
        <w:rPr>
          <w:rFonts w:ascii="Times New Roman" w:eastAsia="Arial" w:hAnsi="Times New Roman" w:cs="Times New Roman"/>
          <w:highlight w:val="yellow"/>
          <w:sz w:val="24"/>
          <w:szCs w:val="24"/>
          <w:lang w:val="es-CO"/>
        </w:rPr>
        <w:t xml:space="preserve">confirmar si existe registro fotográfico; si no existe, reemplazar por: "Como la entidad no levantó registro fotográfico de las entregas, su realidad se acredita con los comprobantes de ingreso a almacén, los kardex y el acta de recibo final, y la entidad incorporará el registro fotográfico en su procedimiento de recibo de bienes"</w:t>
      </w:r>
      <w:r>
        <w:rPr>
          <w:rFonts w:ascii="Times New Roman" w:eastAsia="Arial" w:hAnsi="Times New Roman" w:cs="Times New Roman"/>
          <w:sz w:val="24"/>
          <w:szCs w:val="24"/>
          <w:lang w:val="es-CO"/>
        </w:rPr>
        <w:t xml:space="preserve">. El encabezado del acta de recibo final repite los residuos de formato del acta de liquidación, entre ellos la expresión "invitación directa por régimen especial" y la mención a un "Contrato N° 103 de 2025" en su párrafo final, que el acta aclaratoria extiende a ese documento </w:t>
      </w:r>
      <w:r>
        <w:rPr>
          <w:rFonts w:ascii="Times New Roman" w:eastAsia="Arial" w:hAnsi="Times New Roman" w:cs="Times New Roman"/>
          <w:highlight w:val="yellow"/>
          <w:sz w:val="24"/>
          <w:szCs w:val="24"/>
          <w:lang w:val="es-CO"/>
        </w:rPr>
        <w:t xml:space="preserve">incluir en el acta aclaratoria una cláusula que extienda las correcciones al acta de recibo final</w:t>
      </w:r>
      <w:r>
        <w:rPr>
          <w:rFonts w:ascii="Times New Roman" w:eastAsia="Arial" w:hAnsi="Times New Roman" w:cs="Times New Roman"/>
          <w:sz w:val="24"/>
          <w:szCs w:val="24"/>
          <w:lang w:val="es-CO"/>
        </w:rPr>
        <w:t xml:space="preserve">.</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 Documentos que se anexan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Acta aclaratoria al texto del Contrato de Suministro N° 1058 de 2025. </w:t>
      </w:r>
      <w:r>
        <w:rPr>
          <w:rFonts w:ascii="Times New Roman" w:eastAsia="Arial" w:hAnsi="Times New Roman" w:cs="Times New Roman"/>
          <w:highlight w:val="yellow"/>
          <w:sz w:val="24"/>
          <w:szCs w:val="24"/>
          <w:lang w:val="es-CO"/>
        </w:rPr>
        <w:t xml:space="preserve">Corregir y fechar antes de anexar, según el literal c).</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Acta aclaratoria al acta de liquidación del 30 de diciembre de 2025, extendida al acta de recibo final. </w:t>
      </w:r>
      <w:r>
        <w:rPr>
          <w:rFonts w:ascii="Times New Roman" w:eastAsia="Arial" w:hAnsi="Times New Roman" w:cs="Times New Roman"/>
          <w:highlight w:val="yellow"/>
          <w:sz w:val="24"/>
          <w:szCs w:val="24"/>
          <w:lang w:val="es-CO"/>
        </w:rPr>
        <w:t xml:space="preserve">Fechar en 2026.</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Comunicación externa y certificación aclaratoria sobre la Inconsistencia N° 8, formato de rendición, con copia del certificado de disponibilidad presupuestal N° 1586 y del registro presupuestal N° 1585. </w:t>
      </w:r>
      <w:r>
        <w:rPr>
          <w:rFonts w:ascii="Times New Roman" w:eastAsia="Arial" w:hAnsi="Times New Roman" w:cs="Times New Roman"/>
          <w:highlight w:val="yellow"/>
          <w:sz w:val="24"/>
          <w:szCs w:val="24"/>
          <w:lang w:val="es-CO"/>
        </w:rPr>
        <w:t xml:space="preserve">Retirar los residuos "[cite: ...]" de la comunicación, corregir el numeral 4 de la certificación sobre el plazo y verificar que se anexen las copias del CDP y del RP.</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Certificación financiera y presupuestal sobre la imputación y ejecución presupuestal del contrato, suscrita por la Subgerente Administrativa y Financiera. </w:t>
      </w:r>
      <w:r>
        <w:rPr>
          <w:rFonts w:ascii="Times New Roman" w:eastAsia="Arial" w:hAnsi="Times New Roman" w:cs="Times New Roman"/>
          <w:highlight w:val="yellow"/>
          <w:sz w:val="24"/>
          <w:szCs w:val="24"/>
          <w:lang w:val="es-CO"/>
        </w:rPr>
        <w:t xml:space="preserve">Reexpedir según el literal i).</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Justificación técnica, asistencial y presupuestal sobre la naturaleza de los insumos y su afectación financiera, con los kardex del Alacramyn, del lactato de Ringer y del agua estéril del 1 de enero al 31 de diciembre de 2025. </w:t>
      </w:r>
      <w:r>
        <w:rPr>
          <w:rFonts w:ascii="Times New Roman" w:eastAsia="Arial" w:hAnsi="Times New Roman" w:cs="Times New Roman"/>
          <w:highlight w:val="yellow"/>
          <w:sz w:val="24"/>
          <w:szCs w:val="24"/>
          <w:lang w:val="es-CO"/>
        </w:rPr>
        <w:t xml:space="preserve">Verificar que incluya los tres kardex.</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Acta de recibo final del 30 de diciembre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Garantía N° 4416662 de Seguros Generales Suramericana S.A. y acta de aprobación. </w:t>
      </w:r>
      <w:r>
        <w:rPr>
          <w:rFonts w:ascii="Times New Roman" w:eastAsia="Arial" w:hAnsi="Times New Roman" w:cs="Times New Roman"/>
          <w:highlight w:val="yellow"/>
          <w:sz w:val="24"/>
          <w:szCs w:val="24"/>
          <w:lang w:val="es-CO"/>
        </w:rPr>
        <w:t xml:space="preserve">No están en la carpeta compartida: verificar que se anexen.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Quince facturas electrónicas de venta FVE y quince comprobantes de ingreso a almacén FCF-1064 a FCF-1078, firmados. </w:t>
      </w:r>
      <w:r>
        <w:rPr>
          <w:rFonts w:ascii="Times New Roman" w:eastAsia="Arial" w:hAnsi="Times New Roman" w:cs="Times New Roman"/>
          <w:highlight w:val="yellow"/>
          <w:sz w:val="24"/>
          <w:szCs w:val="24"/>
          <w:lang w:val="es-CO"/>
        </w:rPr>
        <w:t xml:space="preserve">No están en la carpeta compartida, salvo la FVE-124926 y el FCF-1071: verificar que se anexen, con la nota de ajuste de inventario si procede.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i)</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Certificación del revisor fiscal de COHOSAN sobre aportes al sistema de seguridad social y parafiscales, del 1 de diciembre de 2025, y planillas de los periodos de noviembre y diciembre de 2025. </w:t>
      </w:r>
      <w:r>
        <w:rPr>
          <w:rFonts w:ascii="Times New Roman" w:eastAsia="Arial" w:hAnsi="Times New Roman" w:cs="Times New Roman"/>
          <w:highlight w:val="yellow"/>
          <w:sz w:val="24"/>
          <w:szCs w:val="24"/>
          <w:lang w:val="es-CO"/>
        </w:rPr>
        <w:t xml:space="preserve">No están en la carpeta compartida: verificar que se anexen.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j)</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Comunicación de la Gerente del 5 de octubre de 2026 sobre el comprobante de egreso CE-10343 y los descuentos aplicados, y comprobante de egreso CE-10343 con la fe de erratas del 29 de septiembre de 2026.</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k)</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Certificación de COHOSAN sobre la calidad de asociada de la E.S.E., certificado de existencia y representación legal y RUT de la cooperativa. </w:t>
      </w:r>
      <w:r>
        <w:rPr>
          <w:rFonts w:ascii="Times New Roman" w:eastAsia="Arial" w:hAnsi="Times New Roman" w:cs="Times New Roman"/>
          <w:highlight w:val="yellow"/>
          <w:sz w:val="24"/>
          <w:szCs w:val="24"/>
          <w:lang w:val="es-CO"/>
        </w:rPr>
        <w:t xml:space="preserve">Por obtener.</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Relación o acto de constitución de las cuentas por pagar a 31 de diciembre de 2025 en la que figura la obligación del contrato. </w:t>
      </w:r>
      <w:r>
        <w:rPr>
          <w:rFonts w:ascii="Times New Roman" w:eastAsia="Arial" w:hAnsi="Times New Roman" w:cs="Times New Roman"/>
          <w:highlight w:val="yellow"/>
          <w:sz w:val="24"/>
          <w:szCs w:val="24"/>
          <w:lang w:val="es-CO"/>
        </w:rPr>
        <w:t xml:space="preserve">Por obtener; si no existe, suprimir este anexo y la frase correspondiente del literal h).</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m)</w:t>
      </w:r>
      <w:r>
        <w:rPr>
          <w:rFonts w:ascii="Times New Roman" w:eastAsia="Arial" w:hAnsi="Times New Roman" w:cs="Times New Roman"/>
          <w:sz w:val="24"/>
          <w:szCs w:val="24"/>
          <w:lang w:val="es-CO"/>
        </w:rPr>
        <w:tab/>
      </w:r>
      <w:r>
        <w:rPr>
          <w:rFonts w:ascii="Times New Roman" w:eastAsia="Arial" w:hAnsi="Times New Roman" w:cs="Times New Roman"/>
          <w:sz w:val="24"/>
          <w:szCs w:val="24"/>
          <w:lang w:val="es-CO"/>
        </w:rPr>
        <w:t xml:space="preserve">Registro fotográfico de las entregas. </w:t>
      </w:r>
      <w:r>
        <w:rPr>
          <w:rFonts w:ascii="Times New Roman" w:eastAsia="Arial" w:hAnsi="Times New Roman" w:cs="Times New Roman"/>
          <w:highlight w:val="yellow"/>
          <w:sz w:val="24"/>
          <w:szCs w:val="24"/>
          <w:lang w:val="es-CO"/>
        </w:rPr>
        <w:t xml:space="preserve">Verificar si existe.</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 Solicitud</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Con fundamento en lo expuesto y en los documentos que se anexan, la E.S.E. Hospital Regional Centro solicita respetuosamente al equipo auditor valorar la información remitida, tener por aclarada la Inconsistencia N° 8 en cuanto a la modalidad de contratación y al respaldo presupuestal del contrato, con el reconocimiento de los errores de diligenciamiento del formato de rendición, y tener por atendidas las demás observaciones relativas al Contrato de Suministro N° 1058 de 2025. Las imprecisiones de forma advertidas han sido corregidas o aclaradas en lo que depende de la entidad; la corrección del formato de rendición y la definición de los descuentos departamentales se adelantarán conforme a las indicaciones del equipo auditor y al concepto que se solicitará a la Secretaría de Hacienda departamental, y las acciones de mejora señaladas se incorporarán al plan de mejoramiento que resulte del proceso auditor.</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La entidad reitera su disposición de aportar cualquier información o aclaración adicional que el equipo auditor considere necesaria y de atender las visitas o verificaciones que estime pertinentes, en desarrollo de los principios de colaboración y transparencia que orientan su relación con el órgano de control.</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Atentamente,</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CLAUDIA BELÉN JULIO SEPÚLVEDA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Gerente, E.S.E. Hospital Regional Centro</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los relacionados en el numeral 3.</w:t>
      </w:r>
    </w:p>
    <w:p>
      <w:pPr>
        <w:spacing w:after="0"/>
      </w:pPr>
    </w:p>
    <w:tbl>
      <w:tblPr>
        <w:tblStyle w:val="Tablaconcuadrcula"/>
        <w:tblW w:w="5000" w:type="pct"/>
        <w:tblLook w:val="04A0" w:firstRow="1" w:lastRow="0" w:firstColumn="1" w:lastColumn="0" w:noHBand="0" w:noVBand="1"/>
      </w:tblPr>
      <w:tblGrid>
        <w:gridCol w:w="1036"/>
        <w:gridCol w:w="4854"/>
        <w:gridCol w:w="2938"/>
      </w:tblGrid>
      <w:tr w:rsidR="00CD0C5B" w:rsidRPr="00BB4C1B" w14:paraId="1055D3B5" w14:textId="77777777" w:rsidTr="00BB4C1B">
        <w:trPr>
          <w:trHeight w:val="283"/>
        </w:trPr>
        <w:tc>
          <w:tcPr>
            <w:tcW w:w="587" w:type="pct"/>
            <w:vAlign w:val="center"/>
          </w:tcPr>
          <w:p w14:paraId="18C3E441" w14:textId="77777777" w:rsidR="00CD0C5B" w:rsidRPr="00BB4C1B" w:rsidRDefault="00CD0C5B" w:rsidP="00015045">
            <w:pPr>
              <w:spacing w:after="0"/>
              <w:jc w:val="center"/>
              <w:rPr>
                <w:rFonts w:ascii="Times New Roman" w:hAnsi="Times New Roman" w:cs="Times New Roman"/>
                <w:kern w:val="2"/>
              </w:rPr>
            </w:pPr>
            <w:r>
              <w:rPr>
                <w:rFonts w:ascii="Times New Roman" w:hAnsi="Times New Roman" w:cs="Times New Roman"/>
                <w:kern w:val="2"/>
              </w:rPr>
              <w:t>Revisó:</w:t>
            </w:r>
          </w:p>
        </w:tc>
        <w:tc>
          <w:tcPr>
            <w:tcW w:w="2749" w:type="pct"/>
            <w:vAlign w:val="center"/>
          </w:tcPr>
          <w:p w14:paraId="2E184E28" w14:textId="73E84B4E" w:rsidR="00CD0C5B" w:rsidRPr="00BB4C1B" w:rsidRDefault="00BB4C1B" w:rsidP="00015045">
            <w:pPr>
              <w:spacing w:after="0"/>
              <w:jc w:val="left"/>
              <w:rPr>
                <w:rFonts w:ascii="Times New Roman" w:hAnsi="Times New Roman" w:cs="Times New Roman"/>
                <w:kern w:val="2"/>
              </w:rPr>
            </w:pPr>
            <w:r>
              <w:rPr>
                <w:rFonts w:ascii="Times New Roman" w:hAnsi="Times New Roman" w:cs="Times New Roman"/>
                <w:kern w:val="2"/>
              </w:rPr>
              <w:t>Natalia Angarita, Ramos Mejía &amp; Abogados S.A.S</w:t>
            </w:r>
          </w:p>
        </w:tc>
        <w:tc>
          <w:tcPr>
            <w:tcW w:w="1664" w:type="pct"/>
            <w:vAlign w:val="center"/>
          </w:tcPr>
          <w:p w14:paraId="757B2560" w14:textId="336622BF" w:rsidR="00CD0C5B" w:rsidRPr="00BB4C1B" w:rsidRDefault="00CD0C5B" w:rsidP="00015045">
            <w:pPr>
              <w:spacing w:after="0"/>
              <w:jc w:val="left"/>
              <w:rPr>
                <w:rFonts w:ascii="Times New Roman" w:hAnsi="Times New Roman" w:cs="Times New Roman"/>
                <w:kern w:val="2"/>
              </w:rPr>
            </w:pPr>
            <w:r>
              <w:rPr>
                <w:rFonts w:ascii="Times New Roman" w:hAnsi="Times New Roman" w:cs="Times New Roman"/>
                <w:kern w:val="2"/>
              </w:rPr>
              <w:t xml:space="preserve">Firma: </w:t>
            </w:r>
          </w:p>
        </w:tc>
      </w:tr>
    </w:tbl>
    <w:p>
      <w:pPr>
        <w:spacing w:after="0"/>
      </w:pPr>
    </w:p>
    <w:sectPr w:rsidR="00DE407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B65F" w14:textId="77777777" w:rsidR="00102157" w:rsidRDefault="00102157">
      <w:r>
        <w:separator/>
      </w:r>
    </w:p>
  </w:endnote>
  <w:endnote w:type="continuationSeparator" w:id="0">
    <w:p w14:paraId="241B7C14" w14:textId="77777777" w:rsidR="00102157" w:rsidRDefault="0010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9BDC" w14:textId="77777777" w:rsidR="00DE4070" w:rsidRDefault="00000000">
    <w:pPr>
      <w:suppressAutoHyphens/>
      <w:spacing w:after="0"/>
      <w:ind w:right="360"/>
      <w:jc w:val="center"/>
      <w:rPr>
        <w:rFonts w:eastAsia="Times New Roman" w:cs="Times New Roman"/>
        <w:b/>
        <w:i/>
        <w:iCs/>
        <w:color w:val="000000"/>
        <w:sz w:val="20"/>
        <w:szCs w:val="20"/>
        <w:lang w:val="es-ES" w:eastAsia="es-ES"/>
      </w:rPr>
    </w:pPr>
    <w:r>
      <w:rPr>
        <w:rFonts w:eastAsia="Times New Roman" w:cs="Times New Roman"/>
        <w:b/>
        <w:i/>
        <w:iCs/>
        <w:color w:val="000000"/>
        <w:sz w:val="20"/>
        <w:szCs w:val="20"/>
        <w:lang w:val="es-ES" w:eastAsia="es-ES"/>
      </w:rPr>
      <w:t xml:space="preserve">"Unidos por una atención </w:t>
    </w:r>
    <w:proofErr w:type="gramStart"/>
    <w:r>
      <w:rPr>
        <w:rFonts w:eastAsia="Times New Roman" w:cs="Times New Roman"/>
        <w:b/>
        <w:i/>
        <w:iCs/>
        <w:color w:val="000000"/>
        <w:sz w:val="20"/>
        <w:szCs w:val="20"/>
        <w:lang w:val="es-ES" w:eastAsia="es-ES"/>
      </w:rPr>
      <w:t>más segura y más humana</w:t>
    </w:r>
    <w:proofErr w:type="gramEnd"/>
    <w:r>
      <w:rPr>
        <w:rFonts w:eastAsia="Times New Roman" w:cs="Times New Roman"/>
        <w:b/>
        <w:i/>
        <w:iCs/>
        <w:color w:val="000000"/>
        <w:sz w:val="20"/>
        <w:szCs w:val="20"/>
        <w:lang w:val="es-ES" w:eastAsia="es-ES"/>
      </w:rPr>
      <w:t>"</w:t>
    </w:r>
  </w:p>
  <w:p w14:paraId="62C8233B" w14:textId="77777777" w:rsidR="00DE4070" w:rsidRDefault="00000000">
    <w:pPr>
      <w:suppressAutoHyphens/>
      <w:spacing w:after="0"/>
      <w:ind w:right="360"/>
      <w:jc w:val="center"/>
      <w:rPr>
        <w:rFonts w:eastAsia="Times New Roman" w:cs="Times New Roman"/>
        <w:color w:val="000000"/>
        <w:sz w:val="18"/>
        <w:szCs w:val="18"/>
        <w:lang w:val="es-ES" w:eastAsia="es-ES"/>
      </w:rPr>
    </w:pPr>
    <w:r>
      <w:rPr>
        <w:rFonts w:eastAsia="Times New Roman" w:cs="Times New Roman"/>
        <w:color w:val="000000"/>
        <w:sz w:val="18"/>
        <w:szCs w:val="18"/>
        <w:lang w:val="es-ES" w:eastAsia="es-ES"/>
      </w:rPr>
      <w:t>KDX VDA, BARRIO MIRAFLOREZ, Cel.3118111189</w:t>
    </w:r>
  </w:p>
  <w:p w14:paraId="32FC863F" w14:textId="07455C00" w:rsidR="00DE4070" w:rsidRDefault="00173B02">
    <w:pPr>
      <w:tabs>
        <w:tab w:val="center" w:pos="4419"/>
        <w:tab w:val="right" w:pos="8838"/>
      </w:tabs>
      <w:suppressAutoHyphens/>
      <w:spacing w:after="0"/>
      <w:jc w:val="center"/>
      <w:rPr>
        <w:rFonts w:eastAsia="Arial" w:cs="Arial"/>
        <w:color w:val="000000"/>
        <w:sz w:val="18"/>
        <w:szCs w:val="18"/>
        <w:lang w:val="es-ES" w:eastAsia="es-ES"/>
      </w:rPr>
    </w:pPr>
    <w:hyperlink r:id="rId1" w:history="1">
      <w:r w:rsidRPr="009B58E2">
        <w:rPr>
          <w:rStyle w:val="Hipervnculo"/>
          <w:rFonts w:eastAsia="Arial" w:cs="Arial"/>
          <w:sz w:val="18"/>
          <w:szCs w:val="18"/>
          <w:lang w:val="es-ES" w:eastAsia="es-ES"/>
        </w:rPr>
        <w:t>secretariageneral@centroese.gov.co</w:t>
      </w:r>
    </w:hyperlink>
    <w:r>
      <w:rPr>
        <w:rFonts w:eastAsia="Arial" w:cs="Arial"/>
        <w:color w:val="000000"/>
        <w:sz w:val="18"/>
        <w:szCs w:val="18"/>
        <w:lang w:val="es-ES" w:eastAsia="es-ES"/>
      </w:rPr>
      <w:t xml:space="preserve"> – </w:t>
    </w:r>
    <w:hyperlink r:id="rId2" w:history="1">
      <w:r>
        <w:rPr>
          <w:rFonts w:eastAsia="Arial" w:cs="Arial"/>
          <w:color w:val="0563C1"/>
          <w:sz w:val="18"/>
          <w:szCs w:val="18"/>
          <w:u w:val="single"/>
          <w:lang w:val="es-ES" w:eastAsia="es-ES"/>
        </w:rPr>
        <w:t>www.esecentro.com</w:t>
      </w:r>
    </w:hyperlink>
    <w:r>
      <w:rPr>
        <w:rFonts w:eastAsia="Arial" w:cs="Arial"/>
        <w:color w:val="0563C1"/>
        <w:sz w:val="18"/>
        <w:szCs w:val="18"/>
        <w:u w:val="single"/>
        <w:lang w:val="es-ES" w:eastAsia="es-ES"/>
      </w:rPr>
      <w:t>.co</w:t>
    </w:r>
  </w:p>
  <w:p w14:paraId="1CB6E360" w14:textId="77777777" w:rsidR="00DE4070" w:rsidRDefault="00000000">
    <w:pPr>
      <w:tabs>
        <w:tab w:val="center" w:pos="4419"/>
        <w:tab w:val="right" w:pos="8838"/>
      </w:tabs>
      <w:suppressAutoHyphens/>
      <w:spacing w:after="0"/>
      <w:jc w:val="center"/>
      <w:rPr>
        <w:rFonts w:eastAsia="Arial" w:cs="Arial"/>
        <w:color w:val="000000"/>
        <w:sz w:val="18"/>
        <w:szCs w:val="18"/>
        <w:lang w:val="es-ES" w:eastAsia="es-ES"/>
      </w:rPr>
    </w:pPr>
    <w:r>
      <w:rPr>
        <w:rFonts w:eastAsia="Arial" w:cs="Arial"/>
        <w:color w:val="000000"/>
        <w:sz w:val="18"/>
        <w:szCs w:val="18"/>
        <w:lang w:val="es-ES" w:eastAsia="es-ES"/>
      </w:rPr>
      <w:t>Gramalote- Norte de Santander</w:t>
    </w:r>
  </w:p>
  <w:p w14:paraId="2F3D8E1A" w14:textId="77777777" w:rsidR="00DE4070" w:rsidRDefault="00DE40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27A6" w14:textId="77777777" w:rsidR="00102157" w:rsidRDefault="00102157">
      <w:pPr>
        <w:spacing w:after="0"/>
      </w:pPr>
      <w:r>
        <w:separator/>
      </w:r>
    </w:p>
  </w:footnote>
  <w:footnote w:type="continuationSeparator" w:id="0">
    <w:p w14:paraId="5AE79129" w14:textId="77777777" w:rsidR="00102157" w:rsidRDefault="00102157">
      <w:pPr>
        <w:spacing w:after="0"/>
      </w:pPr>
      <w:r>
        <w:continuationSeparator/>
      </w:r>
    </w:p>
  </w:footnote>
  <w:footnote w:id="1">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100 de 1993, artículo 195, numeral 6, y Ley 1150 de 2007, artículo 13. La asociación de las Empresas Sociales del Estado en cooperativas para sus compras está autorizada por el artículo 76 de la Ley 1438 de 2011.</w:t>
      </w:r>
    </w:p>
  </w:footnote>
  <w:footnote w:id="2">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789 de 2002, artículo 50, y Ley 1150 de 2007, artículo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7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96"/>
      <w:gridCol w:w="4568"/>
      <w:gridCol w:w="2032"/>
      <w:gridCol w:w="1698"/>
    </w:tblGrid>
    <w:tr w:rsidR="00DE4070" w14:paraId="26545AFC" w14:textId="77777777">
      <w:trPr>
        <w:trHeight w:val="60"/>
        <w:jc w:val="center"/>
      </w:trPr>
      <w:tc>
        <w:tcPr>
          <w:tcW w:w="654" w:type="pct"/>
          <w:vMerge w:val="restart"/>
        </w:tcPr>
        <w:p w14:paraId="15A0E886" w14:textId="77777777" w:rsidR="00DE4070" w:rsidRDefault="00000000">
          <w:pPr>
            <w:tabs>
              <w:tab w:val="center" w:pos="4252"/>
              <w:tab w:val="right" w:pos="8504"/>
            </w:tabs>
            <w:spacing w:after="0"/>
            <w:ind w:hanging="2"/>
            <w:jc w:val="center"/>
            <w:rPr>
              <w:color w:val="000000"/>
              <w:sz w:val="20"/>
              <w:szCs w:val="20"/>
            </w:rPr>
          </w:pPr>
          <w:r>
            <w:rPr>
              <w:noProof/>
              <w:sz w:val="20"/>
              <w:szCs w:val="20"/>
              <w:lang w:eastAsia="es-CO"/>
            </w:rPr>
            <w:drawing>
              <wp:anchor distT="0" distB="0" distL="114300" distR="114300" simplePos="0" relativeHeight="251659264" behindDoc="1" locked="0" layoutInCell="1" allowOverlap="1" wp14:anchorId="32F87063" wp14:editId="7FFC54DC">
                <wp:simplePos x="0" y="0"/>
                <wp:positionH relativeFrom="column">
                  <wp:posOffset>7620</wp:posOffset>
                </wp:positionH>
                <wp:positionV relativeFrom="paragraph">
                  <wp:posOffset>20320</wp:posOffset>
                </wp:positionV>
                <wp:extent cx="695325" cy="533400"/>
                <wp:effectExtent l="0" t="0" r="9525" b="0"/>
                <wp:wrapNone/>
                <wp:docPr id="4" name="Imagen 3"/>
                <wp:cNvGraphicFramePr/>
                <a:graphic xmlns:a="http://schemas.openxmlformats.org/drawingml/2006/main">
                  <a:graphicData uri="http://schemas.openxmlformats.org/drawingml/2006/picture">
                    <pic:pic xmlns:pic="http://schemas.openxmlformats.org/drawingml/2006/picture">
                      <pic:nvPicPr>
                        <pic:cNvPr id="4" name="Imagen 3"/>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5325" cy="533400"/>
                        </a:xfrm>
                        <a:prstGeom prst="rect">
                          <a:avLst/>
                        </a:prstGeom>
                        <a:noFill/>
                        <a:ln>
                          <a:noFill/>
                        </a:ln>
                      </pic:spPr>
                    </pic:pic>
                  </a:graphicData>
                </a:graphic>
              </wp:anchor>
            </w:drawing>
          </w:r>
        </w:p>
      </w:tc>
      <w:tc>
        <w:tcPr>
          <w:tcW w:w="2430" w:type="pct"/>
          <w:vMerge w:val="restart"/>
          <w:vAlign w:val="center"/>
        </w:tcPr>
        <w:p w14:paraId="5905158D" w14:textId="77777777" w:rsidR="00DE4070" w:rsidRDefault="00000000">
          <w:pPr>
            <w:tabs>
              <w:tab w:val="center" w:pos="4252"/>
              <w:tab w:val="right" w:pos="8504"/>
            </w:tabs>
            <w:spacing w:after="0"/>
            <w:ind w:hanging="2"/>
            <w:jc w:val="center"/>
            <w:rPr>
              <w:rFonts w:eastAsia="Arial" w:cs="Arial"/>
              <w:color w:val="000000"/>
              <w:sz w:val="20"/>
              <w:szCs w:val="20"/>
            </w:rPr>
          </w:pPr>
          <w:r>
            <w:rPr>
              <w:rFonts w:eastAsia="Arial" w:cs="Arial"/>
              <w:color w:val="000000"/>
              <w:sz w:val="20"/>
              <w:szCs w:val="20"/>
            </w:rPr>
            <w:t>COMUNICACIÓN EXTERNA</w:t>
          </w:r>
        </w:p>
      </w:tc>
      <w:tc>
        <w:tcPr>
          <w:tcW w:w="1094" w:type="pct"/>
          <w:vAlign w:val="center"/>
        </w:tcPr>
        <w:p w14:paraId="331896E5" w14:textId="77777777" w:rsidR="00DE4070" w:rsidRDefault="00000000">
          <w:pPr>
            <w:tabs>
              <w:tab w:val="center" w:pos="4252"/>
              <w:tab w:val="right" w:pos="8504"/>
            </w:tabs>
            <w:spacing w:after="0"/>
            <w:jc w:val="left"/>
            <w:rPr>
              <w:rFonts w:eastAsia="Calibri" w:cs="Arial"/>
              <w:color w:val="000000"/>
              <w:sz w:val="20"/>
              <w:szCs w:val="20"/>
            </w:rPr>
          </w:pPr>
          <w:r>
            <w:rPr>
              <w:rFonts w:eastAsia="Calibri" w:cs="Arial"/>
              <w:color w:val="000000"/>
              <w:sz w:val="20"/>
              <w:szCs w:val="20"/>
            </w:rPr>
            <w:t>Código: GCA-FO-02</w:t>
          </w:r>
        </w:p>
      </w:tc>
      <w:tc>
        <w:tcPr>
          <w:tcW w:w="822" w:type="pct"/>
          <w:vMerge w:val="restart"/>
        </w:tcPr>
        <w:p w14:paraId="51618C68" w14:textId="77777777" w:rsidR="00DE4070" w:rsidRDefault="00000000">
          <w:pPr>
            <w:tabs>
              <w:tab w:val="center" w:pos="4252"/>
              <w:tab w:val="right" w:pos="8504"/>
            </w:tabs>
            <w:spacing w:after="0"/>
            <w:ind w:hanging="2"/>
            <w:jc w:val="center"/>
            <w:rPr>
              <w:color w:val="000000"/>
              <w:sz w:val="20"/>
              <w:szCs w:val="20"/>
            </w:rPr>
          </w:pPr>
          <w:r>
            <w:rPr>
              <w:noProof/>
              <w:color w:val="000000"/>
              <w:sz w:val="20"/>
              <w:szCs w:val="20"/>
            </w:rPr>
            <w:drawing>
              <wp:inline distT="0" distB="0" distL="0" distR="0" wp14:anchorId="0E508665" wp14:editId="42407794">
                <wp:extent cx="987425" cy="600075"/>
                <wp:effectExtent l="0" t="0" r="3175" b="9525"/>
                <wp:docPr id="40804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1466"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87425" cy="600075"/>
                        </a:xfrm>
                        <a:prstGeom prst="rect">
                          <a:avLst/>
                        </a:prstGeom>
                        <a:noFill/>
                      </pic:spPr>
                    </pic:pic>
                  </a:graphicData>
                </a:graphic>
              </wp:inline>
            </w:drawing>
          </w:r>
        </w:p>
      </w:tc>
    </w:tr>
    <w:tr w:rsidR="00DE4070" w14:paraId="7FE72EE4" w14:textId="77777777">
      <w:tblPrEx>
        <w:tblCellMar>
          <w:left w:w="108" w:type="dxa"/>
          <w:right w:w="108" w:type="dxa"/>
        </w:tblCellMar>
      </w:tblPrEx>
      <w:trPr>
        <w:trHeight w:val="204"/>
        <w:jc w:val="center"/>
      </w:trPr>
      <w:tc>
        <w:tcPr>
          <w:tcW w:w="654" w:type="pct"/>
          <w:vMerge/>
        </w:tcPr>
        <w:p w14:paraId="0D3329ED" w14:textId="77777777" w:rsidR="00DE4070" w:rsidRDefault="00DE4070">
          <w:pPr>
            <w:widowControl w:val="0"/>
            <w:spacing w:after="0" w:line="276" w:lineRule="auto"/>
            <w:ind w:hanging="2"/>
            <w:rPr>
              <w:color w:val="000000"/>
              <w:sz w:val="20"/>
              <w:szCs w:val="20"/>
            </w:rPr>
          </w:pPr>
        </w:p>
      </w:tc>
      <w:tc>
        <w:tcPr>
          <w:tcW w:w="2430" w:type="pct"/>
          <w:vMerge/>
          <w:vAlign w:val="center"/>
        </w:tcPr>
        <w:p w14:paraId="7EDC1B4C" w14:textId="77777777" w:rsidR="00DE4070" w:rsidRDefault="00DE4070">
          <w:pPr>
            <w:widowControl w:val="0"/>
            <w:spacing w:after="0" w:line="276" w:lineRule="auto"/>
            <w:ind w:hanging="2"/>
            <w:rPr>
              <w:rFonts w:cs="Arial"/>
              <w:color w:val="000000"/>
              <w:sz w:val="20"/>
              <w:szCs w:val="20"/>
            </w:rPr>
          </w:pPr>
        </w:p>
      </w:tc>
      <w:tc>
        <w:tcPr>
          <w:tcW w:w="1094" w:type="pct"/>
          <w:vAlign w:val="center"/>
        </w:tcPr>
        <w:p w14:paraId="5D10274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Versión: 2</w:t>
          </w:r>
        </w:p>
      </w:tc>
      <w:tc>
        <w:tcPr>
          <w:tcW w:w="822" w:type="pct"/>
          <w:vMerge/>
        </w:tcPr>
        <w:p w14:paraId="4FBF7B3A"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0AE592AC" w14:textId="77777777">
      <w:tblPrEx>
        <w:tblCellMar>
          <w:left w:w="108" w:type="dxa"/>
          <w:right w:w="108" w:type="dxa"/>
        </w:tblCellMar>
      </w:tblPrEx>
      <w:trPr>
        <w:trHeight w:val="60"/>
        <w:jc w:val="center"/>
      </w:trPr>
      <w:tc>
        <w:tcPr>
          <w:tcW w:w="654" w:type="pct"/>
          <w:vMerge/>
        </w:tcPr>
        <w:p w14:paraId="62FEE453"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restart"/>
          <w:vAlign w:val="center"/>
        </w:tcPr>
        <w:p w14:paraId="678A3BF6" w14:textId="77777777" w:rsidR="00DE4070" w:rsidRDefault="00000000">
          <w:pPr>
            <w:tabs>
              <w:tab w:val="center" w:pos="4252"/>
              <w:tab w:val="right" w:pos="8504"/>
            </w:tabs>
            <w:spacing w:after="0"/>
            <w:ind w:hanging="2"/>
            <w:jc w:val="center"/>
            <w:rPr>
              <w:rFonts w:cs="Arial"/>
              <w:color w:val="000000"/>
              <w:sz w:val="20"/>
              <w:szCs w:val="20"/>
            </w:rPr>
          </w:pPr>
          <w:r>
            <w:rPr>
              <w:rFonts w:cs="Arial"/>
              <w:color w:val="000000"/>
              <w:sz w:val="20"/>
              <w:szCs w:val="20"/>
            </w:rPr>
            <w:t>E.S.E HOSPITAL REGIONAL CENTRO</w:t>
          </w:r>
        </w:p>
      </w:tc>
      <w:tc>
        <w:tcPr>
          <w:tcW w:w="1094" w:type="pct"/>
          <w:vAlign w:val="center"/>
        </w:tcPr>
        <w:p w14:paraId="3D2B3737"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 xml:space="preserve">Fecha: </w:t>
          </w:r>
          <w:proofErr w:type="gramStart"/>
          <w:r>
            <w:rPr>
              <w:rFonts w:eastAsia="Calibri" w:cs="Arial"/>
              <w:color w:val="000000"/>
              <w:sz w:val="20"/>
              <w:szCs w:val="20"/>
            </w:rPr>
            <w:t>Agosto</w:t>
          </w:r>
          <w:proofErr w:type="gramEnd"/>
          <w:r>
            <w:rPr>
              <w:rFonts w:eastAsia="Calibri" w:cs="Arial"/>
              <w:color w:val="000000"/>
              <w:sz w:val="20"/>
              <w:szCs w:val="20"/>
            </w:rPr>
            <w:t xml:space="preserve"> 2024</w:t>
          </w:r>
        </w:p>
      </w:tc>
      <w:tc>
        <w:tcPr>
          <w:tcW w:w="822" w:type="pct"/>
          <w:vMerge/>
        </w:tcPr>
        <w:p w14:paraId="3DF21392"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55AB004C" w14:textId="77777777">
      <w:tblPrEx>
        <w:tblCellMar>
          <w:left w:w="108" w:type="dxa"/>
          <w:right w:w="108" w:type="dxa"/>
        </w:tblCellMar>
      </w:tblPrEx>
      <w:trPr>
        <w:trHeight w:val="60"/>
        <w:jc w:val="center"/>
      </w:trPr>
      <w:tc>
        <w:tcPr>
          <w:tcW w:w="654" w:type="pct"/>
          <w:vMerge/>
        </w:tcPr>
        <w:p w14:paraId="243880AA"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ign w:val="center"/>
        </w:tcPr>
        <w:p w14:paraId="26ACCBBB" w14:textId="77777777" w:rsidR="00DE4070" w:rsidRDefault="00DE4070">
          <w:pPr>
            <w:widowControl w:val="0"/>
            <w:spacing w:after="0" w:line="276" w:lineRule="auto"/>
            <w:ind w:hanging="2"/>
            <w:rPr>
              <w:rFonts w:eastAsia="Calibri" w:cs="Arial"/>
              <w:color w:val="000000"/>
              <w:sz w:val="20"/>
              <w:szCs w:val="20"/>
            </w:rPr>
          </w:pPr>
        </w:p>
      </w:tc>
      <w:tc>
        <w:tcPr>
          <w:tcW w:w="1094" w:type="pct"/>
          <w:vAlign w:val="center"/>
        </w:tcPr>
        <w:p w14:paraId="4E1093D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Pag.:</w:t>
          </w:r>
          <w:r>
            <w:rPr>
              <w:rFonts w:eastAsia="Calibri" w:cs="Arial"/>
              <w:color w:val="000000"/>
              <w:sz w:val="20"/>
              <w:szCs w:val="20"/>
            </w:rPr>
            <w:fldChar w:fldCharType="begin"/>
          </w:r>
          <w:r>
            <w:rPr>
              <w:rFonts w:eastAsia="Calibri" w:cs="Arial"/>
              <w:color w:val="000000"/>
              <w:sz w:val="20"/>
              <w:szCs w:val="20"/>
            </w:rPr>
            <w:instrText>PAGE   \* MERGEFORMAT</w:instrText>
          </w:r>
          <w:r>
            <w:rPr>
              <w:rFonts w:eastAsia="Calibri" w:cs="Arial"/>
              <w:color w:val="000000"/>
              <w:sz w:val="20"/>
              <w:szCs w:val="20"/>
            </w:rPr>
            <w:fldChar w:fldCharType="separate"/>
          </w:r>
          <w:r>
            <w:rPr>
              <w:rFonts w:eastAsia="Calibri" w:cs="Arial"/>
              <w:color w:val="000000"/>
              <w:sz w:val="20"/>
              <w:szCs w:val="20"/>
            </w:rPr>
            <w:t>1</w:t>
          </w:r>
          <w:r>
            <w:rPr>
              <w:rFonts w:eastAsia="Calibri" w:cs="Arial"/>
              <w:color w:val="000000"/>
              <w:sz w:val="20"/>
              <w:szCs w:val="20"/>
            </w:rPr>
            <w:fldChar w:fldCharType="end"/>
          </w:r>
        </w:p>
      </w:tc>
      <w:tc>
        <w:tcPr>
          <w:tcW w:w="822" w:type="pct"/>
          <w:vMerge/>
        </w:tcPr>
        <w:p w14:paraId="6D04367B" w14:textId="77777777" w:rsidR="00DE4070" w:rsidRDefault="00DE4070">
          <w:pPr>
            <w:widowControl w:val="0"/>
            <w:spacing w:after="0" w:line="276" w:lineRule="auto"/>
            <w:ind w:hanging="2"/>
            <w:rPr>
              <w:rFonts w:ascii="Calibri" w:eastAsia="Calibri" w:hAnsi="Calibri" w:cs="Calibri"/>
              <w:color w:val="000000"/>
              <w:sz w:val="20"/>
              <w:szCs w:val="20"/>
            </w:rPr>
          </w:pPr>
        </w:p>
      </w:tc>
    </w:tr>
  </w:tbl>
  <w:p w14:paraId="1C3747F1" w14:textId="77777777" w:rsidR="00DE4070" w:rsidRDefault="00DE407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C3"/>
    <w:rsid w:val="000563F6"/>
    <w:rsid w:val="00094768"/>
    <w:rsid w:val="00102157"/>
    <w:rsid w:val="00126A1F"/>
    <w:rsid w:val="00147C18"/>
    <w:rsid w:val="0015414C"/>
    <w:rsid w:val="00173B02"/>
    <w:rsid w:val="001E7C52"/>
    <w:rsid w:val="0023289C"/>
    <w:rsid w:val="002355C4"/>
    <w:rsid w:val="00242F16"/>
    <w:rsid w:val="00253C95"/>
    <w:rsid w:val="002B3A7A"/>
    <w:rsid w:val="003079BB"/>
    <w:rsid w:val="00323C18"/>
    <w:rsid w:val="003451F7"/>
    <w:rsid w:val="003915B3"/>
    <w:rsid w:val="003B5C75"/>
    <w:rsid w:val="003F311D"/>
    <w:rsid w:val="00405478"/>
    <w:rsid w:val="004705D9"/>
    <w:rsid w:val="00484C4D"/>
    <w:rsid w:val="004B3B04"/>
    <w:rsid w:val="004B6CD9"/>
    <w:rsid w:val="004D6A9D"/>
    <w:rsid w:val="004E0C35"/>
    <w:rsid w:val="004E19FB"/>
    <w:rsid w:val="005206D4"/>
    <w:rsid w:val="00524590"/>
    <w:rsid w:val="005A45A3"/>
    <w:rsid w:val="005B243F"/>
    <w:rsid w:val="005B6C48"/>
    <w:rsid w:val="005E6D37"/>
    <w:rsid w:val="005F4B01"/>
    <w:rsid w:val="005F79C5"/>
    <w:rsid w:val="00606C0A"/>
    <w:rsid w:val="00624A6C"/>
    <w:rsid w:val="00640A3A"/>
    <w:rsid w:val="0066029F"/>
    <w:rsid w:val="00665D08"/>
    <w:rsid w:val="006719F1"/>
    <w:rsid w:val="00696C3A"/>
    <w:rsid w:val="006B0744"/>
    <w:rsid w:val="006B4C97"/>
    <w:rsid w:val="006B6D79"/>
    <w:rsid w:val="00724999"/>
    <w:rsid w:val="007A1F0F"/>
    <w:rsid w:val="007E0CB5"/>
    <w:rsid w:val="007E371E"/>
    <w:rsid w:val="007E7A56"/>
    <w:rsid w:val="00801B92"/>
    <w:rsid w:val="008B160D"/>
    <w:rsid w:val="008B4C10"/>
    <w:rsid w:val="008C15A3"/>
    <w:rsid w:val="008C6F62"/>
    <w:rsid w:val="008D0AC6"/>
    <w:rsid w:val="008D6EEF"/>
    <w:rsid w:val="008E3B77"/>
    <w:rsid w:val="009332A9"/>
    <w:rsid w:val="0093332B"/>
    <w:rsid w:val="0093587C"/>
    <w:rsid w:val="00965F51"/>
    <w:rsid w:val="009905FE"/>
    <w:rsid w:val="009B45F7"/>
    <w:rsid w:val="009D67C3"/>
    <w:rsid w:val="009F23D5"/>
    <w:rsid w:val="00A018CA"/>
    <w:rsid w:val="00A03FD1"/>
    <w:rsid w:val="00A22772"/>
    <w:rsid w:val="00A52736"/>
    <w:rsid w:val="00A8053B"/>
    <w:rsid w:val="00A86C95"/>
    <w:rsid w:val="00AC02D5"/>
    <w:rsid w:val="00B13B7C"/>
    <w:rsid w:val="00B1420D"/>
    <w:rsid w:val="00B26974"/>
    <w:rsid w:val="00B777DB"/>
    <w:rsid w:val="00B97CA8"/>
    <w:rsid w:val="00BB4C1B"/>
    <w:rsid w:val="00BC1594"/>
    <w:rsid w:val="00BD50D1"/>
    <w:rsid w:val="00BF10B0"/>
    <w:rsid w:val="00C64230"/>
    <w:rsid w:val="00C947D6"/>
    <w:rsid w:val="00C95256"/>
    <w:rsid w:val="00CA3F01"/>
    <w:rsid w:val="00CB786B"/>
    <w:rsid w:val="00CC5003"/>
    <w:rsid w:val="00CC67F9"/>
    <w:rsid w:val="00CD0C5B"/>
    <w:rsid w:val="00CE1A9C"/>
    <w:rsid w:val="00CE37F7"/>
    <w:rsid w:val="00CF66EB"/>
    <w:rsid w:val="00D47E14"/>
    <w:rsid w:val="00D51A48"/>
    <w:rsid w:val="00D52CA1"/>
    <w:rsid w:val="00D92C91"/>
    <w:rsid w:val="00DA588F"/>
    <w:rsid w:val="00DB3A8F"/>
    <w:rsid w:val="00DD5FDD"/>
    <w:rsid w:val="00DE4070"/>
    <w:rsid w:val="00E06441"/>
    <w:rsid w:val="00E332F4"/>
    <w:rsid w:val="00E3577F"/>
    <w:rsid w:val="00E55AD1"/>
    <w:rsid w:val="00E8158D"/>
    <w:rsid w:val="00EC6E60"/>
    <w:rsid w:val="00ED2745"/>
    <w:rsid w:val="00EF6B23"/>
    <w:rsid w:val="00F0434F"/>
    <w:rsid w:val="00F055D9"/>
    <w:rsid w:val="00F1071B"/>
    <w:rsid w:val="00F37E90"/>
    <w:rsid w:val="00F5680A"/>
    <w:rsid w:val="00F816BF"/>
    <w:rsid w:val="00FE02F1"/>
    <w:rsid w:val="00FE208F"/>
    <w:rsid w:val="00FE6103"/>
    <w:rsid w:val="00FE6BD7"/>
    <w:rsid w:val="4D215D21"/>
    <w:rsid w:val="667D3839"/>
    <w:rsid w:val="6B162CBB"/>
    <w:rsid w:val="7890750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9402"/>
  <w15:docId w15:val="{597F8497-119D-4292-BF40-B9CC1EEA0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rFonts w:ascii="Arial" w:hAnsi="Arial"/>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uiPriority w:val="20"/>
    <w:qFormat/>
    <w:rPr>
      <w:i/>
      <w:iCs/>
    </w:rPr>
  </w:style>
  <w:style w:type="character" w:styleId="Hipervnculo">
    <w:name w:val="Hyperlink"/>
    <w:rPr>
      <w:color w:val="0000FF"/>
      <w:u w:val="single"/>
    </w:rPr>
  </w:style>
  <w:style w:type="paragraph" w:styleId="Textodeglobo">
    <w:name w:val="Balloon Text"/>
    <w:basedOn w:val="Normal"/>
    <w:link w:val="TextodegloboCar"/>
    <w:uiPriority w:val="99"/>
    <w:semiHidden/>
    <w:unhideWhenUsed/>
    <w:qFormat/>
    <w:pPr>
      <w:spacing w:after="0"/>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pPr>
  </w:style>
  <w:style w:type="paragraph" w:styleId="Piedepgina">
    <w:name w:val="footer"/>
    <w:basedOn w:val="Normal"/>
    <w:link w:val="PiedepginaCar"/>
    <w:uiPriority w:val="99"/>
    <w:unhideWhenUsed/>
    <w:qFormat/>
    <w:pPr>
      <w:tabs>
        <w:tab w:val="center" w:pos="4419"/>
        <w:tab w:val="right" w:pos="8838"/>
      </w:tabs>
      <w:spacing w:after="0"/>
    </w:p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rPr>
      <w:rFonts w:ascii="Arial" w:hAnsi="Arial"/>
    </w:rPr>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styleId="Sinespaciado">
    <w:name w:val="No Spacing"/>
    <w:uiPriority w:val="1"/>
    <w:qFormat/>
    <w:rPr>
      <w:sz w:val="22"/>
      <w:szCs w:val="22"/>
      <w:lang w:eastAsia="en-US"/>
    </w:rPr>
  </w:style>
  <w:style w:type="character" w:styleId="Mencinsinresolver">
    <w:name w:val="Unresolved Mention"/>
    <w:basedOn w:val="Fuentedeprrafopredeter"/>
    <w:uiPriority w:val="99"/>
    <w:semiHidden/>
    <w:unhideWhenUsed/>
    <w:rsid w:val="00173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esecentro.com" TargetMode="External"/><Relationship Id="rId1" Type="http://schemas.openxmlformats.org/officeDocument/2006/relationships/hyperlink" Target="mailto:secretariageneral@centroese.gov.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250</Words>
  <Characters>1381</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Patiño Flórez</dc:creator>
  <cp:lastModifiedBy>Natalia Angarita</cp:lastModifiedBy>
  <cp:revision>2</cp:revision>
  <cp:lastPrinted>2021-03-08T19:29:00Z</cp:lastPrinted>
  <dcterms:created xsi:type="dcterms:W3CDTF">2026-10-06T22:41:00Z</dcterms:created>
  <dcterms:modified xsi:type="dcterms:W3CDTF">2026-10-06T22:41:00Z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81F5C677738245DEBB240246E264F419_12</vt:lpwstr>
  </property>
</Properties>
</file>