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Gramalote, 7 de octubre de 2026</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Señores</w:t>
      </w: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CONTRALORÍA GENERAL DEL DEPARTAMENTO NORTE DE SANTANDER</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Atención: doctora Gloria Esperanza Vera Castillo, Profesional Universitario, Auditora designada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San José de Cúcuta</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Asunto:</w:t>
      </w:r>
      <w:r>
        <w:rPr>
          <w:rFonts w:ascii="Times New Roman" w:eastAsia="Arial" w:hAnsi="Times New Roman" w:cs="Times New Roman"/>
          <w:sz w:val="24"/>
          <w:szCs w:val="24"/>
          <w:lang w:val="es-CO"/>
        </w:rPr>
        <w:t xml:space="preserve"> Respuesta al requerimiento del 1 de octubre de 2026 y remisión de soportes del Contrato de Suministro N° 983 de 2025.</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Referencia:</w:t>
      </w:r>
      <w:r>
        <w:rPr>
          <w:rFonts w:ascii="Times New Roman" w:eastAsia="Arial" w:hAnsi="Times New Roman" w:cs="Times New Roman"/>
          <w:sz w:val="24"/>
          <w:szCs w:val="24"/>
          <w:lang w:val="es-CO"/>
        </w:rPr>
        <w:t xml:space="preserve"> Auditoría Financiera de Gestión y Resultados Abreviada, vigencia 2025. Radicado N° 20262010017741 del 18 de agosto de 2026.</w:t>
      </w:r>
    </w:p>
    <w:p>
      <w:pPr>
        <w:spacing w:before="0" w:after="0" w:line="276" w:lineRule="auto"/>
        <w:jc w:val="both"/>
        <w:rPr>
          <w:rFonts w:ascii="Times New Roman" w:eastAsia="Arial" w:hAnsi="Times New Roman" w:cs="Times New Roman"/>
          <w:sz w:val="24"/>
          <w:szCs w:val="24"/>
          <w:lang w:val="es-CO"/>
        </w:rPr>
      </w:pP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Cordial saludo.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Mediante la comunicación con radicado N° 20262010017741, ese órgano de control notificó la apertura de la Auditoría Financiera de Gestión y Resultados Abreviada a la E.S.E. Hospital Regional Centro por la vigencia comprendida entre el 1 de enero y el 31 de diciembre de 2025. El 1 de octubre de 2026 el equipo auditor solicitó los soportes y aclaraciones pendientes de los contratos 1056, 1058 y 983 de 2025, y el 2 de octubre de 2026 la entidad solicitó un término de setenta y dos horas hábiles para completar la entrega </w:t>
      </w:r>
      <w:r>
        <w:rPr>
          <w:rFonts w:ascii="Times New Roman" w:eastAsia="Arial" w:hAnsi="Times New Roman" w:cs="Times New Roman"/>
          <w:highlight w:val="yellow"/>
          <w:sz w:val="24"/>
          <w:szCs w:val="24"/>
          <w:lang w:val="es-CO"/>
        </w:rPr>
        <w:t xml:space="preserve">si la Contraloría concedió el plazo por escrito, citar aquí esa comunicación</w:t>
      </w:r>
      <w:r>
        <w:rPr>
          <w:rFonts w:ascii="Times New Roman" w:eastAsia="Arial" w:hAnsi="Times New Roman" w:cs="Times New Roman"/>
          <w:sz w:val="24"/>
          <w:szCs w:val="24"/>
          <w:lang w:val="es-CO"/>
        </w:rPr>
        <w:t xml:space="preserve">. Dentro de ese término, la entidad presenta la respuesta correspondiente al Contrato de Suministro N° 983 de 2025 y remite los documentos que la soportan. La respuesta del Contrato N° 1058 de 2025 se radica en comunicación separada y la del Contrato N° 1056 de 2025 </w:t>
      </w:r>
      <w:r>
        <w:rPr>
          <w:rFonts w:ascii="Times New Roman" w:eastAsia="Arial" w:hAnsi="Times New Roman" w:cs="Times New Roman"/>
          <w:highlight w:val="yellow"/>
          <w:sz w:val="24"/>
          <w:szCs w:val="24"/>
          <w:lang w:val="es-CO"/>
        </w:rPr>
        <w:t xml:space="preserve">indicar: se radica en comunicación separada / se remitirá el día ... </w:t>
      </w:r>
      <w:r>
        <w:rPr>
          <w:rFonts w:ascii="Times New Roman" w:eastAsia="Arial" w:hAnsi="Times New Roman" w:cs="Times New Roman"/>
          <w:sz w:val="24"/>
          <w:szCs w:val="24"/>
          <w:lang w:val="es-CO"/>
        </w:rPr>
        <w:t xml:space="preserve">.</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Esta comunicación complementa la respuesta remitida el 29 de septiembre de 2026 </w:t>
      </w:r>
      <w:r>
        <w:rPr>
          <w:rFonts w:ascii="Times New Roman" w:eastAsia="Arial" w:hAnsi="Times New Roman" w:cs="Times New Roman"/>
          <w:highlight w:val="yellow"/>
          <w:sz w:val="24"/>
          <w:szCs w:val="24"/>
          <w:lang w:val="es-CO"/>
        </w:rPr>
        <w:t xml:space="preserve">citar radicado</w:t>
      </w:r>
      <w:r>
        <w:rPr>
          <w:rFonts w:ascii="Times New Roman" w:eastAsia="Arial" w:hAnsi="Times New Roman" w:cs="Times New Roman"/>
          <w:sz w:val="24"/>
          <w:szCs w:val="24"/>
          <w:lang w:val="es-CO"/>
        </w:rPr>
        <w:t xml:space="preserve"> y recoge, para cada una de las observaciones formuladas, la explicación de la entidad y el documento que la acredita. Las respuestas se presentan en el orden de las observaciones y al final se relacionan los anexos.</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 Antecedentes del contrato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de Suministro N° 983 de 2025 tuvo por objeto la compra de la dotación informática necesaria y requerida para la operación de los Equipos Básicos en Salud de los municipios de Gramalote, Salazar, Arboledas, Lourdes y Villa Caro, en el marco de la ejecución de los recursos asignados mediante la Resolución 877 de 2025 </w:t>
      </w:r>
      <w:r>
        <w:rPr>
          <w:rFonts w:ascii="Times New Roman" w:eastAsia="Arial" w:hAnsi="Times New Roman" w:cs="Times New Roman"/>
          <w:highlight w:val="yellow"/>
          <w:sz w:val="24"/>
          <w:szCs w:val="24"/>
          <w:lang w:val="es-CO"/>
        </w:rPr>
        <w:t xml:space="preserve">confirmar la entidad que expidió la resolución</w:t>
      </w:r>
      <w:r>
        <w:rPr>
          <w:rFonts w:ascii="Times New Roman" w:eastAsia="Arial" w:hAnsi="Times New Roman" w:cs="Times New Roman"/>
          <w:sz w:val="24"/>
          <w:szCs w:val="24"/>
          <w:lang w:val="es-CO"/>
        </w:rPr>
        <w:t xml:space="preserve">. Se celebró con la señora Chiquinquirá Contreras Rodríguez, identificada con la cédula de ciudadanía 60.371.860 de Cúcuta, propietaria del establecimiento de comercio System Salud, por valor de $46.321.300 incluido IVA, previo proceso de mínima cuantía adelantado mediante la invitación privada N° 017 de 2025.</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se suscribió el </w:t>
      </w:r>
      <w:r>
        <w:rPr>
          <w:rFonts w:ascii="Times New Roman" w:eastAsia="Arial" w:hAnsi="Times New Roman" w:cs="Times New Roman"/>
          <w:highlight w:val="yellow"/>
          <w:sz w:val="24"/>
          <w:szCs w:val="24"/>
          <w:lang w:val="es-CO"/>
        </w:rPr>
        <w:t xml:space="preserve">7 de octubre de 2025, confirmar con la minuta</w:t>
      </w:r>
      <w:r>
        <w:rPr>
          <w:rFonts w:ascii="Times New Roman" w:eastAsia="Arial" w:hAnsi="Times New Roman" w:cs="Times New Roman"/>
          <w:sz w:val="24"/>
          <w:szCs w:val="24"/>
          <w:lang w:val="es-CO"/>
        </w:rPr>
        <w:t xml:space="preserve">, con respaldo en el certificado de disponibilidad presupuestal N° 1329 del 3 de octubre de 2025 y en el registro presupuestal N° </w:t>
      </w:r>
      <w:r>
        <w:rPr>
          <w:rFonts w:ascii="Times New Roman" w:eastAsia="Arial" w:hAnsi="Times New Roman" w:cs="Times New Roman"/>
          <w:highlight w:val="yellow"/>
          <w:sz w:val="24"/>
          <w:szCs w:val="24"/>
          <w:lang w:val="es-CO"/>
        </w:rPr>
        <w:t xml:space="preserve">número</w:t>
      </w:r>
      <w:r>
        <w:rPr>
          <w:rFonts w:ascii="Times New Roman" w:eastAsia="Arial" w:hAnsi="Times New Roman" w:cs="Times New Roman"/>
          <w:sz w:val="24"/>
          <w:szCs w:val="24"/>
          <w:lang w:val="es-CO"/>
        </w:rPr>
        <w:t xml:space="preserve"> del 7 de octubre de 2025, y el acta de inicio se firmó el 9 de octubre de 2025, con un plazo de un mes. Los bienes fueron facturados mediante la factura electrónica FE-2920 del 17 de octubre de 2025, ingresaron al almacén de la entidad según el comprobante FCAF-53 del 20 de octubre de 2025 y se recibieron a satisfacción mediante acta de recibo final del 31 de octubre de 2025 </w:t>
      </w:r>
      <w:r>
        <w:rPr>
          <w:rFonts w:ascii="Times New Roman" w:eastAsia="Arial" w:hAnsi="Times New Roman" w:cs="Times New Roman"/>
          <w:highlight w:val="yellow"/>
          <w:sz w:val="24"/>
          <w:szCs w:val="24"/>
          <w:lang w:val="es-CO"/>
        </w:rPr>
        <w:t xml:space="preserve">confirmar que el acta existe y está firmada</w:t>
      </w:r>
      <w:r>
        <w:rPr>
          <w:rFonts w:ascii="Times New Roman" w:eastAsia="Arial" w:hAnsi="Times New Roman" w:cs="Times New Roman"/>
          <w:sz w:val="24"/>
          <w:szCs w:val="24"/>
          <w:lang w:val="es-CO"/>
        </w:rPr>
        <w:t xml:space="preserve">. El contrato se pagó en un solo desembolso y fue objeto de liquidación.</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materia contractual, la E.S.E. se rige por el derecho privado y por su Manual de Contratación, adoptado mediante la Resolución 002 de 2023 en desarrollo del Acuerdo 017 de 2022 de la Junta Directiva, y sus modificaciones, con sujeción a los principios de la función administrativa y de la gestión fiscal y al régimen de inhabilidades e incompatibilidades de la contratación estatal.</w:t>
      </w:r>
      <w:r>
        <w:rPr>
          <w:rFonts w:ascii="Times New Roman" w:eastAsia="Arial" w:hAnsi="Times New Roman" w:cs="Times New Roman"/>
          <w:vertAlign w:val="superscript"/>
          <w:sz w:val="24"/>
          <w:szCs w:val="24"/>
          <w:lang w:val="es-CO"/>
        </w:rPr>
        <w:footnoteReference w:id="1"/>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 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Modalidad de selección y soportes del proceso. El equipo auditor observó que el formato de rendición reporta el contrato "SIN OFERTAS" y que el expediente remitido no contenía la invitación, las ofertas, el acta de cierre ni el informe de evaluación. El contrato se adelantó por la modalidad de mínima cuantía prevista en el artículo </w:t>
      </w:r>
      <w:r>
        <w:rPr>
          <w:rFonts w:ascii="Times New Roman" w:eastAsia="Arial" w:hAnsi="Times New Roman" w:cs="Times New Roman"/>
          <w:highlight w:val="yellow"/>
          <w:sz w:val="24"/>
          <w:szCs w:val="24"/>
          <w:lang w:val="es-CO"/>
        </w:rPr>
        <w:t xml:space="preserve">número verificado</w:t>
      </w:r>
      <w:r>
        <w:rPr>
          <w:rFonts w:ascii="Times New Roman" w:eastAsia="Arial" w:hAnsi="Times New Roman" w:cs="Times New Roman"/>
          <w:sz w:val="24"/>
          <w:szCs w:val="24"/>
          <w:lang w:val="es-CO"/>
        </w:rPr>
        <w:t xml:space="preserve"> del Manual de Contratación, mediante la invitación privada N° 017 de 2025. La invitación se cursó 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a </w:t>
      </w:r>
      <w:r>
        <w:rPr>
          <w:rFonts w:ascii="Times New Roman" w:eastAsia="Arial" w:hAnsi="Times New Roman" w:cs="Times New Roman"/>
          <w:highlight w:val="yellow"/>
          <w:sz w:val="24"/>
          <w:szCs w:val="24"/>
          <w:lang w:val="es-CO"/>
        </w:rPr>
        <w:t xml:space="preserve">número</w:t>
      </w:r>
      <w:r>
        <w:rPr>
          <w:rFonts w:ascii="Times New Roman" w:eastAsia="Arial" w:hAnsi="Times New Roman" w:cs="Times New Roman"/>
          <w:sz w:val="24"/>
          <w:szCs w:val="24"/>
          <w:lang w:val="es-CO"/>
        </w:rPr>
        <w:t xml:space="preserve"> proveedores, </w:t>
      </w:r>
      <w:r>
        <w:rPr>
          <w:rFonts w:ascii="Times New Roman" w:eastAsia="Arial" w:hAnsi="Times New Roman" w:cs="Times New Roman"/>
          <w:highlight w:val="yellow"/>
          <w:sz w:val="24"/>
          <w:szCs w:val="24"/>
          <w:lang w:val="es-CO"/>
        </w:rPr>
        <w:t xml:space="preserve">nombres o razones sociales</w:t>
      </w:r>
      <w:r>
        <w:rPr>
          <w:rFonts w:ascii="Times New Roman" w:eastAsia="Arial" w:hAnsi="Times New Roman" w:cs="Times New Roman"/>
          <w:sz w:val="24"/>
          <w:szCs w:val="24"/>
          <w:lang w:val="es-CO"/>
        </w:rPr>
        <w:t xml:space="preserve">, por </w:t>
      </w:r>
      <w:r>
        <w:rPr>
          <w:rFonts w:ascii="Times New Roman" w:eastAsia="Arial" w:hAnsi="Times New Roman" w:cs="Times New Roman"/>
          <w:highlight w:val="yellow"/>
          <w:sz w:val="24"/>
          <w:szCs w:val="24"/>
          <w:lang w:val="es-CO"/>
        </w:rPr>
        <w:t xml:space="preserve">medio de envío</w:t>
      </w:r>
      <w:r>
        <w:rPr>
          <w:rFonts w:ascii="Times New Roman" w:eastAsia="Arial" w:hAnsi="Times New Roman" w:cs="Times New Roman"/>
          <w:sz w:val="24"/>
          <w:szCs w:val="24"/>
          <w:lang w:val="es-CO"/>
        </w:rPr>
        <w:t xml:space="preserve">, y dentro del término se recibió una sola propuesta, la de la señora Chiquinquirá Contreras Rodríguez, que fue evaluada y declarada hábil; no se recibieron otras propuestas. La expresión "SIN OFERTAS" del formato de rendición no describe, por tanto, lo ocurrido: corresponde a un error en el diligenciamiento de ese campo. Como el reporte ya fue transmitido, la entidad solicita respetuosamente al equipo auditor que le indique el procedimiento para corregirlo, si a ello hubiere lugar, el cual atenderá de inmediato. Como soporte se anexan la invitación privada N° 017 de 2025, la propuesta presentada, el acta de cierre, el informe de evaluación, la constancia de recibo, traslado y manifestación sobre el informe de evaluación, y la respuesta técnica y jurídica suscrita por la Gerente y por la supervisora del contrato. </w:t>
      </w:r>
      <w:r>
        <w:rPr>
          <w:rFonts w:ascii="Times New Roman" w:eastAsia="Arial" w:hAnsi="Times New Roman" w:cs="Times New Roman"/>
          <w:highlight w:val="yellow"/>
          <w:sz w:val="24"/>
          <w:szCs w:val="24"/>
          <w:lang w:val="es-CO"/>
        </w:rPr>
        <w:t xml:space="preserve">Solo si la minuta cita el artículo 29 del Manual y el literal d) del artículo 24 de la Ley 80 de 1993: La entidad advierte que el encabezado del contrato cita esas disposiciones por un error de plantilla; la modalidad surtida fue la invitación privada de mínima cuantía del Manual de Contratación.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Estudio previo. El equipo auditor observó que el estudio previo menciona la contratación directa y registra un presupuesto oficial distinto del valor del contrato. Se trata de imprecisiones de transcripción derivadas del uso de plantillas institucionales: la mención a la contratación directa es residual, pues la modalidad efectivamente adelantada fue la mínima cuantía, y el valor de $46.504.850 corresponde al presupuesto estimado de los acápites preliminares de la invitación </w:t>
      </w:r>
      <w:r>
        <w:rPr>
          <w:rFonts w:ascii="Times New Roman" w:eastAsia="Arial" w:hAnsi="Times New Roman" w:cs="Times New Roman"/>
          <w:highlight w:val="yellow"/>
          <w:sz w:val="24"/>
          <w:szCs w:val="24"/>
          <w:lang w:val="es-CO"/>
        </w:rPr>
        <w:t xml:space="preserve">confirmar ubicación de ambos valores en el estudio previo</w:t>
      </w:r>
      <w:r>
        <w:rPr>
          <w:rFonts w:ascii="Times New Roman" w:eastAsia="Arial" w:hAnsi="Times New Roman" w:cs="Times New Roman"/>
          <w:sz w:val="24"/>
          <w:szCs w:val="24"/>
          <w:lang w:val="es-CO"/>
        </w:rPr>
        <w:t xml:space="preserve">. El valor del contrato, $46.321.300, es el de la propuesta presentada por la única proponente, inferior al presupuesto estimado, lo que representó una economía para la entidad. El compromiso se respaldó por ese valor con el certificado de disponibilidad presupuestal N° 1329 </w:t>
      </w:r>
      <w:r>
        <w:rPr>
          <w:rFonts w:ascii="Times New Roman" w:eastAsia="Arial" w:hAnsi="Times New Roman" w:cs="Times New Roman"/>
          <w:highlight w:val="yellow"/>
          <w:sz w:val="24"/>
          <w:szCs w:val="24"/>
          <w:lang w:val="es-CO"/>
        </w:rPr>
        <w:t xml:space="preserve">confirmar valor del CDP</w:t>
      </w:r>
      <w:r>
        <w:rPr>
          <w:rFonts w:ascii="Times New Roman" w:eastAsia="Arial" w:hAnsi="Times New Roman" w:cs="Times New Roman"/>
          <w:sz w:val="24"/>
          <w:szCs w:val="24"/>
          <w:lang w:val="es-CO"/>
        </w:rPr>
        <w:t xml:space="preserve"> y con el registro presupuestal, sin sobrecosto ni afectación patrimonial. Se anexan el estudio previo y la respuesta técnica y jurídica.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Invitación anterior al certificado de disponibilidad presupuestal. El equipo auditor observó que la invitación se expidió antes del certificado de disponibilidad presupuestal. En efecto, la invitación, el cierre y la evaluación se surtieron entre el </w:t>
      </w:r>
      <w:r>
        <w:rPr>
          <w:rFonts w:ascii="Times New Roman" w:eastAsia="Arial" w:hAnsi="Times New Roman" w:cs="Times New Roman"/>
          <w:highlight w:val="yellow"/>
          <w:sz w:val="24"/>
          <w:szCs w:val="24"/>
          <w:lang w:val="es-CO"/>
        </w:rPr>
        <w:t xml:space="preserve">fecha de la invitación</w:t>
      </w:r>
      <w:r>
        <w:rPr>
          <w:rFonts w:ascii="Times New Roman" w:eastAsia="Arial" w:hAnsi="Times New Roman" w:cs="Times New Roman"/>
          <w:sz w:val="24"/>
          <w:szCs w:val="24"/>
          <w:lang w:val="es-CO"/>
        </w:rPr>
        <w:t xml:space="preserve"> y el 3 de octubre de 2025, y el certificado de disponibilidad presupuestal N° 1329 se expidió el 3 de octubre de 2025, antes de la suscripción del contrato y del registro presupuestal del 7 de octubre de 2025. Las actuaciones de la etapa preparatoria son actos de estructuración de la necesidad que no comprometen recursos; el compromiso presupuestal se adquirió con el contrato, ya expedido el certificado y efectuado el registro, de modo que no se ejecutó gasto alguno sin apropiación que lo respaldara.</w:t>
      </w:r>
      <w:r>
        <w:rPr>
          <w:rFonts w:ascii="Times New Roman" w:eastAsia="Arial" w:hAnsi="Times New Roman" w:cs="Times New Roman"/>
          <w:vertAlign w:val="superscript"/>
          <w:sz w:val="24"/>
          <w:szCs w:val="24"/>
          <w:lang w:val="es-CO"/>
        </w:rPr>
        <w:footnoteReference w:id="2"/>
      </w:r>
      <w:r>
        <w:rPr>
          <w:rFonts w:ascii="Times New Roman" w:eastAsia="Arial" w:hAnsi="Times New Roman" w:cs="Times New Roman"/>
          <w:sz w:val="24"/>
          <w:szCs w:val="24"/>
          <w:lang w:val="es-CO"/>
        </w:rPr>
        <w:t xml:space="preserve"> La entidad reconoce que la práctica adecuada es expedir el certificado antes de abrir la invitación </w:t>
      </w:r>
      <w:r>
        <w:rPr>
          <w:rFonts w:ascii="Times New Roman" w:eastAsia="Arial" w:hAnsi="Times New Roman" w:cs="Times New Roman"/>
          <w:highlight w:val="yellow"/>
          <w:sz w:val="24"/>
          <w:szCs w:val="24"/>
          <w:lang w:val="es-CO"/>
        </w:rPr>
        <w:t xml:space="preserve">indicar si el Manual lo exige expresamente</w:t>
      </w:r>
      <w:r>
        <w:rPr>
          <w:rFonts w:ascii="Times New Roman" w:eastAsia="Arial" w:hAnsi="Times New Roman" w:cs="Times New Roman"/>
          <w:sz w:val="24"/>
          <w:szCs w:val="24"/>
          <w:lang w:val="es-CO"/>
        </w:rPr>
        <w:t xml:space="preserve"> y acoge la observación como acción de mejora en su procedimiento de contratación.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Cierre y evaluación sin fecha y traslado del informe de evaluación. El equipo auditor observó que los formatos de cierre y evaluación no tienen fecha y que no consta el traslado del informe. La cronología real del proceso fue la siguiente: cierre de recepción de ofertas, 1 de octubre de 2025; evaluación de la propuesta única, 2 de octubre de 2025, fecha en la que el informe fue comunicado a la proponente; término de traslado para observaciones, 3 de octubre de 2025, sin que se presentaran observaciones, con lo cual la evaluación adquirió firmeza y se procedió a la suscripción del contrato. Como los formatos no consignan fecha, se anexa la constancia suscrita por la proponente y por el líder de contratación de la entidad </w:t>
      </w:r>
      <w:r>
        <w:rPr>
          <w:rFonts w:ascii="Times New Roman" w:eastAsia="Arial" w:hAnsi="Times New Roman" w:cs="Times New Roman"/>
          <w:highlight w:val="yellow"/>
          <w:sz w:val="24"/>
          <w:szCs w:val="24"/>
          <w:lang w:val="es-CO"/>
        </w:rPr>
        <w:t xml:space="preserve">el 3 de octubre de 2025, si es el original de esa fecha / el ... de octubre de 2026, como certificación de los hechos ocurridos los días 2 y 3 de octubre de 2025</w:t>
      </w:r>
      <w:r>
        <w:rPr>
          <w:rFonts w:ascii="Times New Roman" w:eastAsia="Arial" w:hAnsi="Times New Roman" w:cs="Times New Roman"/>
          <w:sz w:val="24"/>
          <w:szCs w:val="24"/>
          <w:lang w:val="es-CO"/>
        </w:rPr>
        <w:t xml:space="preserve">, en la que ambos dan cuenta de que el informe de evaluación fue comunicado a la proponente el 2 de octubre de 2025, de que el término de traslado transcurrió el 3 de octubre de 2025 y de que no se presentaron observaciones </w:t>
      </w:r>
      <w:r>
        <w:rPr>
          <w:rFonts w:ascii="Times New Roman" w:eastAsia="Arial" w:hAnsi="Times New Roman" w:cs="Times New Roman"/>
          <w:highlight w:val="yellow"/>
          <w:sz w:val="24"/>
          <w:szCs w:val="24"/>
          <w:lang w:val="es-CO"/>
        </w:rPr>
        <w:t xml:space="preserve">si existe, anexar el correo o radicado del 2 de octubre de 2025 con el que se remitió el informe</w:t>
      </w:r>
      <w:r>
        <w:rPr>
          <w:rFonts w:ascii="Times New Roman" w:eastAsia="Arial" w:hAnsi="Times New Roman" w:cs="Times New Roman"/>
          <w:sz w:val="24"/>
          <w:szCs w:val="24"/>
          <w:lang w:val="es-CO"/>
        </w:rPr>
        <w:t xml:space="preserve">. Con estos documentos se da cuenta de que el traslado se surtió y de que se respetó el derecho de contradicción de la proponente, sin perjuicio de que la entidad ajustará sus formatos para que cada etapa del proceso quede fechada en el acta correspondiente.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Plazo y rubro reportados en el formato de rendición. El equipo auditor observó que el formato de rendición registra un plazo de diecinueve días, del 7 al 26 de octubre de 2025, que no coincide con el del contrato, y un rubro distinto del afectado. El plazo pactado fue de un mes contado a partir del acta de inicio del 9 de octubre de 2025, esto es, hasta el 8 de noviembre de 2025. La fecha inicial registrada en el formato, 7 de octubre de 2025, corresponde a la fecha del contrato y no a la del acta de inicio, y la fecha final, 26 de octubre de 2025, no corresponde a ningún hito del contrato; se trata de un error de diligenciamiento ya reconocido en la respuesta del 29 de septiembre de 2026, que no altera el plazo pactado ni su cumplimiento, pues los bienes ingresaron al almacén el 20 de octubre de 2025 y se recibieron a satisfacción el 31 de octubre de 2025. El rubro reportado, </w:t>
      </w:r>
      <w:r>
        <w:rPr>
          <w:rFonts w:ascii="Times New Roman" w:eastAsia="Arial" w:hAnsi="Times New Roman" w:cs="Times New Roman"/>
          <w:highlight w:val="yellow"/>
          <w:sz w:val="24"/>
          <w:szCs w:val="24"/>
          <w:lang w:val="es-CO"/>
        </w:rPr>
        <w:t xml:space="preserve">código registrado en el formato</w:t>
      </w:r>
      <w:r>
        <w:rPr>
          <w:rFonts w:ascii="Times New Roman" w:eastAsia="Arial" w:hAnsi="Times New Roman" w:cs="Times New Roman"/>
          <w:sz w:val="24"/>
          <w:szCs w:val="24"/>
          <w:lang w:val="es-CO"/>
        </w:rPr>
        <w:t xml:space="preserve">, tampoco corresponde a los rubros que amparan el contrato, que son los 2.1.2.01.01.003.03.11 a 2.1.2.01.01.003.03.20, financiados con los recursos de la Resolución 877 de 2025, como consta en el certificado de disponibilidad presupuestal. La entidad solicita igualmente orientación sobre el mecanismo para corregir el reporte.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Calidad de la supervisora. El equipo auditor observó que el contrato asigna la supervisión al Subgerente Administrativo y Financiero, que las actas la atribuyen a la Subdirectora Científica y que el formato de supervisión identifica a la misma persona con el primer cargo. La supervisión fue ejercida por una misma funcionaria, la doctora Yolima Beltrán Santander, cuyo cargo es el de Subdirectora Científica, designada mediante comunicación del 7 de octubre de 2025, quien suscribió el acta de inicio, el acta de recibo final y el formato de supervisión. La cláusula novena del contrato y el formato de supervisión registran un cargo distinto por un error de diligenciamiento de plantillas, que no supuso un cambio de supervisora. Se anexa la designación.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Nombre de la contratista. El equipo auditor observó que el segundo apellido de la contratista difiere entre documentos. La contratista es la señora Chiquinquirá Contreras Rodríguez, identificada con la cédula de ciudadanía 60.371.860 de Cúcuta, tal como consta en la póliza, en el registro presupuestal, en el comprobante de egreso y en el formato de rendición. En el contrato, en algunas actas y en el acta de aprobación de la garantía se consignó por error el segundo apellido como "Contreras". Se trata de un error de transcripción que no genera duda sobre la identidad de la contratista, pues el número de cédula es el mismo en todos los documentos, aspecto ya aclarado en la respuesta del 29 de septiembre de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Número del certificado de disponibilidad presupuestal citado en el contrato. El contrato cita el certificado de disponibilidad presupuestal como N° 1239, cuando el correcto es el N° 1329, que ampara el proceso por el valor contratado. Se trata de una transposición de dígitos, aclarada en la respuesta del 29 de septiembre de 2026. El certificado y el registro presupuestal se anexan </w:t>
      </w:r>
      <w:r>
        <w:rPr>
          <w:rFonts w:ascii="Times New Roman" w:eastAsia="Arial" w:hAnsi="Times New Roman" w:cs="Times New Roman"/>
          <w:highlight w:val="yellow"/>
          <w:sz w:val="24"/>
          <w:szCs w:val="24"/>
          <w:lang w:val="es-CO"/>
        </w:rPr>
        <w:t xml:space="preserve">si se obtiene, anexar certificación del área de presupuesto sobre el CDP 1329 y la inexistencia de un CDP 1239 para este contrato</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Informe de actividades, certificación de supervisión y acreditación de la entrega de los equipos. El equipo auditor observó que la certificación de supervisión y el informe de actividades, ambos del 27 de noviembre de 2025, son posteriores al egreso, y que el informe no detalla cantidades ni seriales de los equipos. El pago se efectuó mediante el comprobante de egreso N° </w:t>
      </w:r>
      <w:r>
        <w:rPr>
          <w:rFonts w:ascii="Times New Roman" w:eastAsia="Arial" w:hAnsi="Times New Roman" w:cs="Times New Roman"/>
          <w:highlight w:val="yellow"/>
          <w:sz w:val="24"/>
          <w:szCs w:val="24"/>
          <w:lang w:val="es-CO"/>
        </w:rPr>
        <w:t xml:space="preserve">número</w:t>
      </w:r>
      <w:r>
        <w:rPr>
          <w:rFonts w:ascii="Times New Roman" w:eastAsia="Arial" w:hAnsi="Times New Roman" w:cs="Times New Roman"/>
          <w:sz w:val="24"/>
          <w:szCs w:val="24"/>
          <w:lang w:val="es-CO"/>
        </w:rPr>
        <w:t xml:space="preserve">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con fundamento en la factura electrónica FE-2920 del 17 de octubre de 2025, en el comprobante de ingreso al almacén FCAF-53 del 20 de octubre de 2025 y en el acta de recibo final del 31 de octubre de 2025 suscrita por la supervisora </w:t>
      </w:r>
      <w:r>
        <w:rPr>
          <w:rFonts w:ascii="Times New Roman" w:eastAsia="Arial" w:hAnsi="Times New Roman" w:cs="Times New Roman"/>
          <w:highlight w:val="yellow"/>
          <w:sz w:val="24"/>
          <w:szCs w:val="24"/>
          <w:lang w:val="es-CO"/>
        </w:rPr>
        <w:t xml:space="preserve">confirmar que el acta es anterior al egreso; si no lo es, reemplazar por: "y en la verificación de la entrega efectuada por la supervisora"</w:t>
      </w:r>
      <w:r>
        <w:rPr>
          <w:rFonts w:ascii="Times New Roman" w:eastAsia="Arial" w:hAnsi="Times New Roman" w:cs="Times New Roman"/>
          <w:sz w:val="24"/>
          <w:szCs w:val="24"/>
          <w:lang w:val="es-CO"/>
        </w:rPr>
        <w:t xml:space="preserve">, documentos que acreditan la entrega real de los bienes antes del pago. El informe de actividades y el formato de supervisión se incorporaron al expediente con posterioridad, situación que la entidad reconoce y que corregirá exigiendo ambos documentos como requisito previo de cada pago. Como el informe de actividades no detalla las cantidades, seriales y sedes de destino de los equipos, se anexa la relación de los portátiles e impresoras entregados, con marca, modelo, serial y sede a la que fueron asignados, levantada por el almacén y la supervisión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a partir de la factura FE-2920 y del comprobante FCAF-53, junto con el registro fotográfico actual de los equipos en las sedes </w:t>
      </w:r>
      <w:r>
        <w:rPr>
          <w:rFonts w:ascii="Times New Roman" w:eastAsia="Arial" w:hAnsi="Times New Roman" w:cs="Times New Roman"/>
          <w:highlight w:val="yellow"/>
          <w:sz w:val="24"/>
          <w:szCs w:val="24"/>
          <w:lang w:val="es-CO"/>
        </w:rPr>
        <w:t xml:space="preserve">si se conserva registro fotográfico de la entrega, indicarlo; si no, usar: "Como la entidad no levantó registro fotográfico en el momento de la entrega, la existencia y ubicación de los equipos se acredita con la relación de seriales y con el registro fotográfico actual"</w:t>
      </w:r>
      <w:r>
        <w:rPr>
          <w:rFonts w:ascii="Times New Roman" w:eastAsia="Arial" w:hAnsi="Times New Roman" w:cs="Times New Roman"/>
          <w:sz w:val="24"/>
          <w:szCs w:val="24"/>
          <w:lang w:val="es-CO"/>
        </w:rPr>
        <w:t xml:space="preserve">. Como acción de mejora, la entidad ajustará el formato de informe de actividades de los contratos de suministro, de modo que incluya la relación de los bienes entregados con sus seriales.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Formato de supervisión. El equipo auditor observó que el formato de supervisión registra como correo de la contratista uno de un dominio ajeno y que corresponde a una plantilla de contratos de prestación de servicios personales. Al revisar el expediente, la entidad confirmó que el correo registrado no es el de la contratista; el formato original se conserva en el expediente y, a solicitud de la entidad del 2 de octubre de 2026, la contratista remitió un formato complementario con su correo correcto, factura20.system@gmail.com, que es el mismo que figura en la constancia de recibo y traslado del informe de evaluación relacionada en el literal d). En cuanto al formato, la entidad utilizó para este contrato la plantilla institucional de supervisión de contratos de prestación de servicios, por lo que la certificación conserva expresiones propias de esos contratos y la referencia a la sede donde reposa el expediente </w:t>
      </w:r>
      <w:r>
        <w:rPr>
          <w:rFonts w:ascii="Times New Roman" w:eastAsia="Arial" w:hAnsi="Times New Roman" w:cs="Times New Roman"/>
          <w:highlight w:val="yellow"/>
          <w:sz w:val="24"/>
          <w:szCs w:val="24"/>
          <w:lang w:val="es-CO"/>
        </w:rPr>
        <w:t xml:space="preserve">indicar la sede real</w:t>
      </w:r>
      <w:r>
        <w:rPr>
          <w:rFonts w:ascii="Times New Roman" w:eastAsia="Arial" w:hAnsi="Times New Roman" w:cs="Times New Roman"/>
          <w:sz w:val="24"/>
          <w:szCs w:val="24"/>
          <w:lang w:val="es-CO"/>
        </w:rPr>
        <w:t xml:space="preserve">; la entidad adoptará un formato específico para los contratos de suministro. Se anexan la solicitud del 2 de octubre de 2026, la constancia de subsanación del 5 de octubre de 2026 y el formato complementario.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Descuentos de estampillas. El equipo auditor observó que al momento del pago se descontó únicamente la Estampilla Pro-Hospital Universitario Erasmo Meoz, por $879.800, equivalente al 2% sobre la base de $43.990.000, valor antes de IVA. En la comunicación del 5 de octubre de 2026 que se anexa, la entidad reconoció que la liquidación de los descuentos departamentales de este contrato fue incompleta. En desarrollo de esa revisión, la entidad confrontará la liquidación con el estatuto tributario departamental vigente en la fecha del hecho generador, teniendo en cuenta que el contrato se suscribió el </w:t>
      </w:r>
      <w:r>
        <w:rPr>
          <w:rFonts w:ascii="Times New Roman" w:eastAsia="Arial" w:hAnsi="Times New Roman" w:cs="Times New Roman"/>
          <w:highlight w:val="yellow"/>
          <w:sz w:val="24"/>
          <w:szCs w:val="24"/>
          <w:lang w:val="es-CO"/>
        </w:rPr>
        <w:t xml:space="preserve">7</w:t>
      </w:r>
      <w:r>
        <w:rPr>
          <w:rFonts w:ascii="Times New Roman" w:eastAsia="Arial" w:hAnsi="Times New Roman" w:cs="Times New Roman"/>
          <w:sz w:val="24"/>
          <w:szCs w:val="24"/>
          <w:lang w:val="es-CO"/>
        </w:rPr>
        <w:t xml:space="preserve"> de octubre de 2025 y se pagó el </w:t>
      </w:r>
      <w:r>
        <w:rPr>
          <w:rFonts w:ascii="Times New Roman" w:eastAsia="Arial" w:hAnsi="Times New Roman" w:cs="Times New Roman"/>
          <w:highlight w:val="yellow"/>
          <w:sz w:val="24"/>
          <w:szCs w:val="24"/>
          <w:lang w:val="es-CO"/>
        </w:rPr>
        <w:t xml:space="preserve">fecha del egreso</w:t>
      </w:r>
      <w:r>
        <w:rPr>
          <w:rFonts w:ascii="Times New Roman" w:eastAsia="Arial" w:hAnsi="Times New Roman" w:cs="Times New Roman"/>
          <w:sz w:val="24"/>
          <w:szCs w:val="24"/>
          <w:lang w:val="es-CO"/>
        </w:rPr>
        <w:t xml:space="preserve">, e incluirá en la verificación las estampillas Pro-Cultura, Pro-Adulto Mayor y Pro-Universidad Francisco de Paula Santander y la Tasa Prodeporte y Recreación </w:t>
      </w:r>
      <w:r>
        <w:rPr>
          <w:rFonts w:ascii="Times New Roman" w:eastAsia="Arial" w:hAnsi="Times New Roman" w:cs="Times New Roman"/>
          <w:highlight w:val="yellow"/>
          <w:sz w:val="24"/>
          <w:szCs w:val="24"/>
          <w:lang w:val="es-CO"/>
        </w:rPr>
        <w:t xml:space="preserve">confirmar con la Secretaría de Hacienda departamental qué estatuto regía en esa fecha y cuáles gravámenes aplicaban</w:t>
      </w:r>
      <w:r>
        <w:rPr>
          <w:rFonts w:ascii="Times New Roman" w:eastAsia="Arial" w:hAnsi="Times New Roman" w:cs="Times New Roman"/>
          <w:sz w:val="24"/>
          <w:szCs w:val="24"/>
          <w:lang w:val="es-CO"/>
        </w:rPr>
        <w:t xml:space="preserve">. Los valores que resulten se liquidarán y trasladarán a las entidades beneficiarias </w:t>
      </w:r>
      <w:r>
        <w:rPr>
          <w:rFonts w:ascii="Times New Roman" w:eastAsia="Arial" w:hAnsi="Times New Roman" w:cs="Times New Roman"/>
          <w:highlight w:val="yellow"/>
          <w:sz w:val="24"/>
          <w:szCs w:val="24"/>
          <w:lang w:val="es-CO"/>
        </w:rPr>
        <w:t xml:space="preserve">indicar si se gestionará el reintegro por parte de la contratista o si los asumirá la entidad, y el plazo</w:t>
      </w:r>
      <w:r>
        <w:rPr>
          <w:rFonts w:ascii="Times New Roman" w:eastAsia="Arial" w:hAnsi="Times New Roman" w:cs="Times New Roman"/>
          <w:sz w:val="24"/>
          <w:szCs w:val="24"/>
          <w:lang w:val="es-CO"/>
        </w:rPr>
        <w:t xml:space="preserve">, y la entidad fortalecerá el procedimiento interno de revisión de los descuentos aplicables a cada contrato, según el objeto, la base gravable y la fuente de financiación.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Garantía única. El equipo auditor observó que no se había aportado la póliza de cumplimiento y calidad. Se anexa la póliza de garantía única de cumplimiento en favor de entidades estatales N° 460-47-994000091804, expedida por Aseguradora Solidaria de Colombia el 9 de octubre de 2025, con los amparos de cumplimiento y de calidad del bien, cada uno por $4.632.130, equivalentes al 10% del valor del contrato, con vigencia del 7 de octubre de 2025 al 7 de mayo de 2026, que supera en más de seis meses la fecha del recibo final de los bienes. Se anexa también el acta de aprobación de pólizas del 9 de octubre de 2025, fecha en la que se suscribió el acta de inicio; en esa acta el número de la póliza aparece con un dígito adicional y el amparo de calidad con la denominación "calidad del servicio", errores de transcripción que no afectan la identificación de la garantía. La póliza de responsabilidad civil extracontractual, remitida con anterioridad, se anexa de nuevo para facilidad de consulta </w:t>
      </w:r>
      <w:r>
        <w:rPr>
          <w:rFonts w:ascii="Times New Roman" w:eastAsia="Arial" w:hAnsi="Times New Roman" w:cs="Times New Roman"/>
          <w:highlight w:val="yellow"/>
          <w:sz w:val="24"/>
          <w:szCs w:val="24"/>
          <w:lang w:val="es-CO"/>
        </w:rPr>
        <w:t xml:space="preserve">verificar que se anexe</w:t>
      </w:r>
      <w:r>
        <w:rPr>
          <w:rFonts w:ascii="Times New Roman" w:eastAsia="Arial" w:hAnsi="Times New Roman" w:cs="Times New Roman"/>
          <w:sz w:val="24"/>
          <w:szCs w:val="24"/>
          <w:lang w:val="es-CO"/>
        </w:rPr>
        <w:t xml:space="preserve">.</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 Documentos que se anexan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Estudio previo del proceso. </w:t>
      </w:r>
      <w:r>
        <w:rPr>
          <w:rFonts w:ascii="Times New Roman" w:eastAsia="Arial" w:hAnsi="Times New Roman" w:cs="Times New Roman"/>
          <w:highlight w:val="yellow"/>
          <w:sz w:val="24"/>
          <w:szCs w:val="24"/>
          <w:lang w:val="es-CO"/>
        </w:rPr>
        <w:t xml:space="preserve">No está en la carpeta compartida: 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Invitación privada N° 017 de 2025, propuesta presentada, acta de cierre e informe de evaluación. </w:t>
      </w:r>
      <w:r>
        <w:rPr>
          <w:rFonts w:ascii="Times New Roman" w:eastAsia="Arial" w:hAnsi="Times New Roman" w:cs="Times New Roman"/>
          <w:highlight w:val="yellow"/>
          <w:sz w:val="24"/>
          <w:szCs w:val="24"/>
          <w:lang w:val="es-CO"/>
        </w:rPr>
        <w:t xml:space="preserve">No están en la carpeta compartida: verificar que existan con fechas de 2025 y que se anexen.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Constancia de recibo, traslado y manifestación sobre el informe de evaluación de la invitación privada N° 017 de 2025, suscrita por la proponente y por el líder de contratación. </w:t>
      </w:r>
      <w:r>
        <w:rPr>
          <w:rFonts w:ascii="Times New Roman" w:eastAsia="Arial" w:hAnsi="Times New Roman" w:cs="Times New Roman"/>
          <w:highlight w:val="yellow"/>
          <w:sz w:val="24"/>
          <w:szCs w:val="24"/>
          <w:lang w:val="es-CO"/>
        </w:rPr>
        <w:t xml:space="preserve">Indicar la fecha real de suscripción y verificar que el documento anexado esté firmado.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Respuesta técnica, jurídica y subsanación definitiva frente a las observaciones de auditoría del Contrato de Suministro N° 983 de 2025, suscrita por la Gerente y por la supervisora del contrato.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Certificado de disponibilidad presupuestal N° 1329 del 3 de octubre de 2025 y registro presupuestal del 7 de octubre de 2025. </w:t>
      </w:r>
      <w:r>
        <w:rPr>
          <w:rFonts w:ascii="Times New Roman" w:eastAsia="Arial" w:hAnsi="Times New Roman" w:cs="Times New Roman"/>
          <w:highlight w:val="yellow"/>
          <w:sz w:val="24"/>
          <w:szCs w:val="24"/>
          <w:lang w:val="es-CO"/>
        </w:rPr>
        <w:t xml:space="preserve">Verificar que se anexen.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Comunicación de designación de la supervisora del contrato, del 7 de octubre de 2025. </w:t>
      </w:r>
      <w:r>
        <w:rPr>
          <w:rFonts w:ascii="Times New Roman" w:eastAsia="Arial" w:hAnsi="Times New Roman" w:cs="Times New Roman"/>
          <w:highlight w:val="yellow"/>
          <w:sz w:val="24"/>
          <w:szCs w:val="24"/>
          <w:lang w:val="es-CO"/>
        </w:rPr>
        <w:t xml:space="preserve">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Póliza de garantía única N° 460-47-994000091804, acta de aprobación de pólizas del 9 de octubre de 2025 y póliza de responsabilidad civil extracontractual.</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Factura electrónica de venta FE-2920 del 17 de octubre de 2025. </w:t>
      </w:r>
      <w:r>
        <w:rPr>
          <w:rFonts w:ascii="Times New Roman" w:eastAsia="Arial" w:hAnsi="Times New Roman" w:cs="Times New Roman"/>
          <w:highlight w:val="yellow"/>
          <w:sz w:val="24"/>
          <w:szCs w:val="24"/>
          <w:lang w:val="es-CO"/>
        </w:rPr>
        <w:t xml:space="preserve">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Comprobante de ingreso a almacén FCAF-53 del 20 de octubre de 2025. </w:t>
      </w:r>
      <w:r>
        <w:rPr>
          <w:rFonts w:ascii="Times New Roman" w:eastAsia="Arial" w:hAnsi="Times New Roman" w:cs="Times New Roman"/>
          <w:highlight w:val="yellow"/>
          <w:sz w:val="24"/>
          <w:szCs w:val="24"/>
          <w:lang w:val="es-CO"/>
        </w:rPr>
        <w:t xml:space="preserve">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Acta de recibo final del 31 de octubre de 2025 y comprobante de egreso del pago. </w:t>
      </w:r>
      <w:r>
        <w:rPr>
          <w:rFonts w:ascii="Times New Roman" w:eastAsia="Arial" w:hAnsi="Times New Roman" w:cs="Times New Roman"/>
          <w:highlight w:val="yellow"/>
          <w:sz w:val="24"/>
          <w:szCs w:val="24"/>
          <w:lang w:val="es-CO"/>
        </w:rPr>
        <w:t xml:space="preserve">Verificar que se anexen.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Relación de los equipos entregados, con marca, modelo, serial y sede de destino, y registro fotográfico. </w:t>
      </w:r>
      <w:r>
        <w:rPr>
          <w:rFonts w:ascii="Times New Roman" w:eastAsia="Arial" w:hAnsi="Times New Roman" w:cs="Times New Roman"/>
          <w:highlight w:val="yellow"/>
          <w:sz w:val="24"/>
          <w:szCs w:val="24"/>
          <w:lang w:val="es-CO"/>
        </w:rPr>
        <w:t xml:space="preserve">Por elaborar por almacén y supervisión.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Solicitud de subsanación del formato de supervisión del 2 de octubre de 2026, constancia de subsanación del 5 de octubre de 2026 y formato de supervisión complementario.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m)</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Comunicación de la Gerente del 5 de octubre de 2026 sobre el comprobante de egreso CE-10343 del Contrato N° 1058 de 2025, cuya parte final se refiere a los descuentos de estampillas del Contrato N° 983 de 2025.</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 Solicitud</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Con fundamento en lo expuesto y en los documentos que se anexan, la E.S.E. Hospital Regional Centro solicita respetuosamente al equipo auditor valorar la información remitida y tener por atendidas las observaciones relativas al Contrato de Suministro N° 983 de 2025. Las imprecisiones de forma advertidas han sido corregidas o aclaradas en los términos indicados; la corrección del formato de rendición y la liquidación de los descuentos departamentales se adelantarán conforme a las indicaciones del equipo auditor y a la verificación anunciada, y las acciones de mejora señaladas se incorporarán al plan de mejoramiento que resulte del proceso auditor.</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 entidad reitera su disposición de aportar cualquier información o aclaración adicional que el equipo auditor considere necesaria y de atender las visitas o verificaciones que estime pertinentes, en desarrollo de los principios de colaboración y transparencia que orientan su relación con el órgano de control.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Atentamente,</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CLAUDIA BELÉN JULIO SEPÚLVEDA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Gerente, E.S.E. Hospital Regional Centro</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los relacionados en el numeral 3.</w:t>
      </w:r>
    </w:p>
    <w:p>
      <w:pPr>
        <w:spacing w:after="0"/>
      </w:pPr>
    </w:p>
    <w:tbl>
      <w:tblPr>
        <w:tblStyle w:val="Tablaconcuadrcula"/>
        <w:tblW w:w="5000" w:type="pct"/>
        <w:tblLook w:val="04A0" w:firstRow="1" w:lastRow="0" w:firstColumn="1" w:lastColumn="0" w:noHBand="0" w:noVBand="1"/>
      </w:tblPr>
      <w:tblGrid>
        <w:gridCol w:w="1036"/>
        <w:gridCol w:w="4854"/>
        <w:gridCol w:w="2938"/>
      </w:tblGrid>
      <w:tr w:rsidR="00DE4070" w14:paraId="5E403577" w14:textId="77777777" w:rsidTr="00E95D9C">
        <w:trPr>
          <w:trHeight w:val="283"/>
        </w:trPr>
        <w:tc>
          <w:tcPr>
            <w:tcW w:w="587" w:type="pct"/>
            <w:vAlign w:val="center"/>
          </w:tcPr>
          <w:p w14:paraId="23D369F5" w14:textId="77777777" w:rsidR="00DE4070" w:rsidRPr="00E95D9C" w:rsidRDefault="00000000">
            <w:pPr>
              <w:spacing w:after="0"/>
              <w:jc w:val="center"/>
              <w:rPr>
                <w:rFonts w:ascii="Times New Roman" w:hAnsi="Times New Roman" w:cs="Times New Roman"/>
                <w:kern w:val="2"/>
              </w:rPr>
            </w:pPr>
            <w:r>
              <w:rPr>
                <w:rFonts w:ascii="Times New Roman" w:hAnsi="Times New Roman" w:cs="Times New Roman"/>
                <w:kern w:val="2"/>
              </w:rPr>
              <w:t>Revisó:</w:t>
            </w:r>
          </w:p>
        </w:tc>
        <w:tc>
          <w:tcPr>
            <w:tcW w:w="2749" w:type="pct"/>
            <w:vAlign w:val="center"/>
          </w:tcPr>
          <w:p w14:paraId="009494F4" w14:textId="2B2809BA" w:rsidR="00DE4070" w:rsidRPr="00E95D9C" w:rsidRDefault="00E95D9C">
            <w:pPr>
              <w:spacing w:after="0"/>
              <w:jc w:val="left"/>
              <w:rPr>
                <w:rFonts w:ascii="Times New Roman" w:hAnsi="Times New Roman" w:cs="Times New Roman"/>
                <w:kern w:val="2"/>
              </w:rPr>
            </w:pPr>
            <w:r>
              <w:rPr>
                <w:rFonts w:ascii="Times New Roman" w:hAnsi="Times New Roman" w:cs="Times New Roman"/>
                <w:kern w:val="2"/>
              </w:rPr>
              <w:t>Natalia Angarita, Ramos Mejía &amp; Abogados S.A.S</w:t>
            </w:r>
          </w:p>
        </w:tc>
        <w:tc>
          <w:tcPr>
            <w:tcW w:w="1664" w:type="pct"/>
            <w:vAlign w:val="center"/>
          </w:tcPr>
          <w:p w14:paraId="5F2309EA" w14:textId="6F9551BE" w:rsidR="00DE4070" w:rsidRPr="00E95D9C" w:rsidRDefault="00E95D9C">
            <w:pPr>
              <w:spacing w:after="0"/>
              <w:jc w:val="left"/>
              <w:rPr>
                <w:rFonts w:ascii="Times New Roman" w:hAnsi="Times New Roman" w:cs="Times New Roman"/>
                <w:kern w:val="2"/>
              </w:rPr>
            </w:pPr>
            <w:r>
              <w:rPr>
                <w:rFonts w:ascii="Times New Roman" w:hAnsi="Times New Roman" w:cs="Times New Roman"/>
                <w:noProof/>
                <w:kern w:val="2"/>
              </w:rPr>
              <w:drawing>
                <wp:anchor distT="0" distB="0" distL="114300" distR="114300" simplePos="0" relativeHeight="251658240" behindDoc="1" locked="0" layoutInCell="1" allowOverlap="1" wp14:anchorId="5B23B1C0" wp14:editId="2F23079C">
                  <wp:simplePos x="0" y="0"/>
                  <wp:positionH relativeFrom="column">
                    <wp:posOffset>756920</wp:posOffset>
                  </wp:positionH>
                  <wp:positionV relativeFrom="paragraph">
                    <wp:posOffset>-123825</wp:posOffset>
                  </wp:positionV>
                  <wp:extent cx="190500" cy="508000"/>
                  <wp:effectExtent l="0" t="0" r="0" b="6350"/>
                  <wp:wrapNone/>
                  <wp:docPr id="117274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44955" name="Imagen 1172744955"/>
                          <pic:cNvPicPr/>
                        </pic:nvPicPr>
                        <pic:blipFill rotWithShape="1">
                          <a:blip r:embed="rId6" cstate="print">
                            <a:extLst>
                              <a:ext uri="{28A0092B-C50C-407E-A947-70E740481C1C}">
                                <a14:useLocalDpi xmlns:a14="http://schemas.microsoft.com/office/drawing/2010/main" val="0"/>
                              </a:ext>
                            </a:extLst>
                          </a:blip>
                          <a:srcRect l="31605" t="25992" r="43539" b="11284"/>
                          <a:stretch>
                            <a:fillRect/>
                          </a:stretch>
                        </pic:blipFill>
                        <pic:spPr bwMode="auto">
                          <a:xfrm>
                            <a:off x="0" y="0"/>
                            <a:ext cx="190500" cy="50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kern w:val="2"/>
              </w:rPr>
              <w:t>Firma:</w:t>
            </w:r>
          </w:p>
        </w:tc>
      </w:tr>
    </w:tbl>
    <w:p>
      <w:pPr>
        <w:spacing w:after="0"/>
      </w:pPr>
    </w:p>
    <w:sectPr w:rsidR="00DE407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DCDB8" w14:textId="77777777" w:rsidR="004C0378" w:rsidRDefault="004C0378">
      <w:r>
        <w:separator/>
      </w:r>
    </w:p>
  </w:endnote>
  <w:endnote w:type="continuationSeparator" w:id="0">
    <w:p w14:paraId="10802AD9" w14:textId="77777777" w:rsidR="004C0378" w:rsidRDefault="004C0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9BDC" w14:textId="77777777" w:rsidR="00DE4070" w:rsidRDefault="00000000">
    <w:pPr>
      <w:suppressAutoHyphens/>
      <w:spacing w:after="0"/>
      <w:ind w:right="360"/>
      <w:jc w:val="center"/>
      <w:rPr>
        <w:rFonts w:eastAsia="Times New Roman" w:cs="Times New Roman"/>
        <w:b/>
        <w:i/>
        <w:iCs/>
        <w:color w:val="000000"/>
        <w:sz w:val="20"/>
        <w:szCs w:val="20"/>
        <w:lang w:val="es-ES" w:eastAsia="es-ES"/>
      </w:rPr>
    </w:pPr>
    <w:r>
      <w:rPr>
        <w:rFonts w:eastAsia="Times New Roman" w:cs="Times New Roman"/>
        <w:b/>
        <w:i/>
        <w:iCs/>
        <w:color w:val="000000"/>
        <w:sz w:val="20"/>
        <w:szCs w:val="20"/>
        <w:lang w:val="es-ES" w:eastAsia="es-ES"/>
      </w:rPr>
      <w:t xml:space="preserve">"Unidos por una atención </w:t>
    </w:r>
    <w:proofErr w:type="gramStart"/>
    <w:r>
      <w:rPr>
        <w:rFonts w:eastAsia="Times New Roman" w:cs="Times New Roman"/>
        <w:b/>
        <w:i/>
        <w:iCs/>
        <w:color w:val="000000"/>
        <w:sz w:val="20"/>
        <w:szCs w:val="20"/>
        <w:lang w:val="es-ES" w:eastAsia="es-ES"/>
      </w:rPr>
      <w:t>más segura y más humana</w:t>
    </w:r>
    <w:proofErr w:type="gramEnd"/>
    <w:r>
      <w:rPr>
        <w:rFonts w:eastAsia="Times New Roman" w:cs="Times New Roman"/>
        <w:b/>
        <w:i/>
        <w:iCs/>
        <w:color w:val="000000"/>
        <w:sz w:val="20"/>
        <w:szCs w:val="20"/>
        <w:lang w:val="es-ES" w:eastAsia="es-ES"/>
      </w:rPr>
      <w:t>"</w:t>
    </w:r>
  </w:p>
  <w:p w14:paraId="62C8233B" w14:textId="77777777" w:rsidR="00DE4070" w:rsidRDefault="00000000">
    <w:pPr>
      <w:suppressAutoHyphens/>
      <w:spacing w:after="0"/>
      <w:ind w:right="360"/>
      <w:jc w:val="center"/>
      <w:rPr>
        <w:rFonts w:eastAsia="Times New Roman" w:cs="Times New Roman"/>
        <w:color w:val="000000"/>
        <w:sz w:val="18"/>
        <w:szCs w:val="18"/>
        <w:lang w:val="es-ES" w:eastAsia="es-ES"/>
      </w:rPr>
    </w:pPr>
    <w:r>
      <w:rPr>
        <w:rFonts w:eastAsia="Times New Roman" w:cs="Times New Roman"/>
        <w:color w:val="000000"/>
        <w:sz w:val="18"/>
        <w:szCs w:val="18"/>
        <w:lang w:val="es-ES" w:eastAsia="es-ES"/>
      </w:rPr>
      <w:t>KDX VDA, BARRIO MIRAFLOREZ, Cel.3118111189</w:t>
    </w:r>
  </w:p>
  <w:p w14:paraId="32FC863F" w14:textId="07455C00" w:rsidR="00DE4070" w:rsidRDefault="00173B02">
    <w:pPr>
      <w:tabs>
        <w:tab w:val="center" w:pos="4419"/>
        <w:tab w:val="right" w:pos="8838"/>
      </w:tabs>
      <w:suppressAutoHyphens/>
      <w:spacing w:after="0"/>
      <w:jc w:val="center"/>
      <w:rPr>
        <w:rFonts w:eastAsia="Arial" w:cs="Arial"/>
        <w:color w:val="000000"/>
        <w:sz w:val="18"/>
        <w:szCs w:val="18"/>
        <w:lang w:val="es-ES" w:eastAsia="es-ES"/>
      </w:rPr>
    </w:pPr>
    <w:hyperlink r:id="rId1" w:history="1">
      <w:r w:rsidRPr="009B58E2">
        <w:rPr>
          <w:rStyle w:val="Hipervnculo"/>
          <w:rFonts w:eastAsia="Arial" w:cs="Arial"/>
          <w:sz w:val="18"/>
          <w:szCs w:val="18"/>
          <w:lang w:val="es-ES" w:eastAsia="es-ES"/>
        </w:rPr>
        <w:t>secretariageneral@centroese.gov.co</w:t>
      </w:r>
    </w:hyperlink>
    <w:r>
      <w:rPr>
        <w:rFonts w:eastAsia="Arial" w:cs="Arial"/>
        <w:color w:val="000000"/>
        <w:sz w:val="18"/>
        <w:szCs w:val="18"/>
        <w:lang w:val="es-ES" w:eastAsia="es-ES"/>
      </w:rPr>
      <w:t xml:space="preserve"> – </w:t>
    </w:r>
    <w:hyperlink r:id="rId2" w:history="1">
      <w:r>
        <w:rPr>
          <w:rFonts w:eastAsia="Arial" w:cs="Arial"/>
          <w:color w:val="0563C1"/>
          <w:sz w:val="18"/>
          <w:szCs w:val="18"/>
          <w:u w:val="single"/>
          <w:lang w:val="es-ES" w:eastAsia="es-ES"/>
        </w:rPr>
        <w:t>www.esecentro.com</w:t>
      </w:r>
    </w:hyperlink>
    <w:r>
      <w:rPr>
        <w:rFonts w:eastAsia="Arial" w:cs="Arial"/>
        <w:color w:val="0563C1"/>
        <w:sz w:val="18"/>
        <w:szCs w:val="18"/>
        <w:u w:val="single"/>
        <w:lang w:val="es-ES" w:eastAsia="es-ES"/>
      </w:rPr>
      <w:t>.co</w:t>
    </w:r>
  </w:p>
  <w:p w14:paraId="1CB6E360" w14:textId="77777777" w:rsidR="00DE4070" w:rsidRDefault="00000000">
    <w:pPr>
      <w:tabs>
        <w:tab w:val="center" w:pos="4419"/>
        <w:tab w:val="right" w:pos="8838"/>
      </w:tabs>
      <w:suppressAutoHyphens/>
      <w:spacing w:after="0"/>
      <w:jc w:val="center"/>
      <w:rPr>
        <w:rFonts w:eastAsia="Arial" w:cs="Arial"/>
        <w:color w:val="000000"/>
        <w:sz w:val="18"/>
        <w:szCs w:val="18"/>
        <w:lang w:val="es-ES" w:eastAsia="es-ES"/>
      </w:rPr>
    </w:pPr>
    <w:r>
      <w:rPr>
        <w:rFonts w:eastAsia="Arial" w:cs="Arial"/>
        <w:color w:val="000000"/>
        <w:sz w:val="18"/>
        <w:szCs w:val="18"/>
        <w:lang w:val="es-ES" w:eastAsia="es-ES"/>
      </w:rPr>
      <w:t>Gramalote- Norte de Santander</w:t>
    </w:r>
  </w:p>
  <w:p w14:paraId="2F3D8E1A" w14:textId="77777777" w:rsidR="00DE4070" w:rsidRDefault="00DE40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D2B0A" w14:textId="77777777" w:rsidR="004C0378" w:rsidRDefault="004C0378">
      <w:pPr>
        <w:spacing w:after="0"/>
      </w:pPr>
      <w:r>
        <w:separator/>
      </w:r>
    </w:p>
  </w:footnote>
  <w:footnote w:type="continuationSeparator" w:id="0">
    <w:p w14:paraId="20080032" w14:textId="77777777" w:rsidR="004C0378" w:rsidRDefault="004C0378">
      <w:pPr>
        <w:spacing w:after="0"/>
      </w:pPr>
      <w:r>
        <w:continuationSeparator/>
      </w:r>
    </w:p>
  </w:footnote>
  <w:footnote w:id="1">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100 de 1993, artículo 195, numeral 6, y Ley 1150 de 2007, artículo 13.</w:t>
      </w:r>
    </w:p>
  </w:footnote>
  <w:footnote w:id="2">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Estatutos de la E.S.E., Acuerdo 006 de 2014 de la Junta Directiva, artículo 68, que remite en materia presupuestal a los Decretos 111 y 115 de 1996, cuyos artículos 71 y 21 exigen certificado de disponibilidad previo para los actos que afecten las apropiaciones y registro presupuestal para los compromisos.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37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1196"/>
      <w:gridCol w:w="4568"/>
      <w:gridCol w:w="2032"/>
      <w:gridCol w:w="1698"/>
    </w:tblGrid>
    <w:tr w:rsidR="00DE4070" w14:paraId="26545AFC" w14:textId="77777777">
      <w:trPr>
        <w:trHeight w:val="60"/>
        <w:jc w:val="center"/>
      </w:trPr>
      <w:tc>
        <w:tcPr>
          <w:tcW w:w="654" w:type="pct"/>
          <w:vMerge w:val="restart"/>
        </w:tcPr>
        <w:p w14:paraId="15A0E886" w14:textId="77777777" w:rsidR="00DE4070" w:rsidRDefault="00000000">
          <w:pPr>
            <w:tabs>
              <w:tab w:val="center" w:pos="4252"/>
              <w:tab w:val="right" w:pos="8504"/>
            </w:tabs>
            <w:spacing w:after="0"/>
            <w:ind w:hanging="2"/>
            <w:jc w:val="center"/>
            <w:rPr>
              <w:color w:val="000000"/>
              <w:sz w:val="20"/>
              <w:szCs w:val="20"/>
            </w:rPr>
          </w:pPr>
          <w:r>
            <w:rPr>
              <w:noProof/>
              <w:sz w:val="20"/>
              <w:szCs w:val="20"/>
              <w:lang w:eastAsia="es-CO"/>
            </w:rPr>
            <w:drawing>
              <wp:anchor distT="0" distB="0" distL="114300" distR="114300" simplePos="0" relativeHeight="251659264" behindDoc="1" locked="0" layoutInCell="1" allowOverlap="1" wp14:anchorId="32F87063" wp14:editId="7FFC54DC">
                <wp:simplePos x="0" y="0"/>
                <wp:positionH relativeFrom="column">
                  <wp:posOffset>7620</wp:posOffset>
                </wp:positionH>
                <wp:positionV relativeFrom="paragraph">
                  <wp:posOffset>20320</wp:posOffset>
                </wp:positionV>
                <wp:extent cx="695325" cy="533400"/>
                <wp:effectExtent l="0" t="0" r="9525" b="0"/>
                <wp:wrapNone/>
                <wp:docPr id="4" name="Imagen 3"/>
                <wp:cNvGraphicFramePr/>
                <a:graphic xmlns:a="http://schemas.openxmlformats.org/drawingml/2006/main">
                  <a:graphicData uri="http://schemas.openxmlformats.org/drawingml/2006/picture">
                    <pic:pic xmlns:pic="http://schemas.openxmlformats.org/drawingml/2006/picture">
                      <pic:nvPicPr>
                        <pic:cNvPr id="4" name="Imagen 3"/>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5325" cy="533400"/>
                        </a:xfrm>
                        <a:prstGeom prst="rect">
                          <a:avLst/>
                        </a:prstGeom>
                        <a:noFill/>
                        <a:ln>
                          <a:noFill/>
                        </a:ln>
                      </pic:spPr>
                    </pic:pic>
                  </a:graphicData>
                </a:graphic>
              </wp:anchor>
            </w:drawing>
          </w:r>
        </w:p>
      </w:tc>
      <w:tc>
        <w:tcPr>
          <w:tcW w:w="2430" w:type="pct"/>
          <w:vMerge w:val="restart"/>
          <w:vAlign w:val="center"/>
        </w:tcPr>
        <w:p w14:paraId="5905158D" w14:textId="77777777" w:rsidR="00DE4070" w:rsidRDefault="00000000">
          <w:pPr>
            <w:tabs>
              <w:tab w:val="center" w:pos="4252"/>
              <w:tab w:val="right" w:pos="8504"/>
            </w:tabs>
            <w:spacing w:after="0"/>
            <w:ind w:hanging="2"/>
            <w:jc w:val="center"/>
            <w:rPr>
              <w:rFonts w:eastAsia="Arial" w:cs="Arial"/>
              <w:color w:val="000000"/>
              <w:sz w:val="20"/>
              <w:szCs w:val="20"/>
            </w:rPr>
          </w:pPr>
          <w:r>
            <w:rPr>
              <w:rFonts w:eastAsia="Arial" w:cs="Arial"/>
              <w:color w:val="000000"/>
              <w:sz w:val="20"/>
              <w:szCs w:val="20"/>
            </w:rPr>
            <w:t>COMUNICACIÓN EXTERNA</w:t>
          </w:r>
        </w:p>
      </w:tc>
      <w:tc>
        <w:tcPr>
          <w:tcW w:w="1094" w:type="pct"/>
          <w:vAlign w:val="center"/>
        </w:tcPr>
        <w:p w14:paraId="331896E5" w14:textId="77777777" w:rsidR="00DE4070" w:rsidRDefault="00000000">
          <w:pPr>
            <w:tabs>
              <w:tab w:val="center" w:pos="4252"/>
              <w:tab w:val="right" w:pos="8504"/>
            </w:tabs>
            <w:spacing w:after="0"/>
            <w:jc w:val="left"/>
            <w:rPr>
              <w:rFonts w:eastAsia="Calibri" w:cs="Arial"/>
              <w:color w:val="000000"/>
              <w:sz w:val="20"/>
              <w:szCs w:val="20"/>
            </w:rPr>
          </w:pPr>
          <w:r>
            <w:rPr>
              <w:rFonts w:eastAsia="Calibri" w:cs="Arial"/>
              <w:color w:val="000000"/>
              <w:sz w:val="20"/>
              <w:szCs w:val="20"/>
            </w:rPr>
            <w:t>Código: GCA-FO-02</w:t>
          </w:r>
        </w:p>
      </w:tc>
      <w:tc>
        <w:tcPr>
          <w:tcW w:w="822" w:type="pct"/>
          <w:vMerge w:val="restart"/>
        </w:tcPr>
        <w:p w14:paraId="51618C68" w14:textId="77777777" w:rsidR="00DE4070" w:rsidRDefault="00000000">
          <w:pPr>
            <w:tabs>
              <w:tab w:val="center" w:pos="4252"/>
              <w:tab w:val="right" w:pos="8504"/>
            </w:tabs>
            <w:spacing w:after="0"/>
            <w:ind w:hanging="2"/>
            <w:jc w:val="center"/>
            <w:rPr>
              <w:color w:val="000000"/>
              <w:sz w:val="20"/>
              <w:szCs w:val="20"/>
            </w:rPr>
          </w:pPr>
          <w:r>
            <w:rPr>
              <w:noProof/>
              <w:color w:val="000000"/>
              <w:sz w:val="20"/>
              <w:szCs w:val="20"/>
            </w:rPr>
            <w:drawing>
              <wp:inline distT="0" distB="0" distL="0" distR="0" wp14:anchorId="0E508665" wp14:editId="42407794">
                <wp:extent cx="987425" cy="600075"/>
                <wp:effectExtent l="0" t="0" r="3175" b="9525"/>
                <wp:docPr id="4080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1466"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87425" cy="600075"/>
                        </a:xfrm>
                        <a:prstGeom prst="rect">
                          <a:avLst/>
                        </a:prstGeom>
                        <a:noFill/>
                      </pic:spPr>
                    </pic:pic>
                  </a:graphicData>
                </a:graphic>
              </wp:inline>
            </w:drawing>
          </w:r>
        </w:p>
      </w:tc>
    </w:tr>
    <w:tr w:rsidR="00DE4070" w14:paraId="7FE72EE4" w14:textId="77777777">
      <w:tblPrEx>
        <w:tblCellMar>
          <w:left w:w="108" w:type="dxa"/>
          <w:right w:w="108" w:type="dxa"/>
        </w:tblCellMar>
      </w:tblPrEx>
      <w:trPr>
        <w:trHeight w:val="204"/>
        <w:jc w:val="center"/>
      </w:trPr>
      <w:tc>
        <w:tcPr>
          <w:tcW w:w="654" w:type="pct"/>
          <w:vMerge/>
        </w:tcPr>
        <w:p w14:paraId="0D3329ED" w14:textId="77777777" w:rsidR="00DE4070" w:rsidRDefault="00DE4070">
          <w:pPr>
            <w:widowControl w:val="0"/>
            <w:spacing w:after="0" w:line="276" w:lineRule="auto"/>
            <w:ind w:hanging="2"/>
            <w:rPr>
              <w:color w:val="000000"/>
              <w:sz w:val="20"/>
              <w:szCs w:val="20"/>
            </w:rPr>
          </w:pPr>
        </w:p>
      </w:tc>
      <w:tc>
        <w:tcPr>
          <w:tcW w:w="2430" w:type="pct"/>
          <w:vMerge/>
          <w:vAlign w:val="center"/>
        </w:tcPr>
        <w:p w14:paraId="7EDC1B4C" w14:textId="77777777" w:rsidR="00DE4070" w:rsidRDefault="00DE4070">
          <w:pPr>
            <w:widowControl w:val="0"/>
            <w:spacing w:after="0" w:line="276" w:lineRule="auto"/>
            <w:ind w:hanging="2"/>
            <w:rPr>
              <w:rFonts w:cs="Arial"/>
              <w:color w:val="000000"/>
              <w:sz w:val="20"/>
              <w:szCs w:val="20"/>
            </w:rPr>
          </w:pPr>
        </w:p>
      </w:tc>
      <w:tc>
        <w:tcPr>
          <w:tcW w:w="1094" w:type="pct"/>
          <w:vAlign w:val="center"/>
        </w:tcPr>
        <w:p w14:paraId="5D10274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Versión: 2</w:t>
          </w:r>
        </w:p>
      </w:tc>
      <w:tc>
        <w:tcPr>
          <w:tcW w:w="822" w:type="pct"/>
          <w:vMerge/>
        </w:tcPr>
        <w:p w14:paraId="4FBF7B3A"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0AE592AC" w14:textId="77777777">
      <w:tblPrEx>
        <w:tblCellMar>
          <w:left w:w="108" w:type="dxa"/>
          <w:right w:w="108" w:type="dxa"/>
        </w:tblCellMar>
      </w:tblPrEx>
      <w:trPr>
        <w:trHeight w:val="60"/>
        <w:jc w:val="center"/>
      </w:trPr>
      <w:tc>
        <w:tcPr>
          <w:tcW w:w="654" w:type="pct"/>
          <w:vMerge/>
        </w:tcPr>
        <w:p w14:paraId="62FEE453"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restart"/>
          <w:vAlign w:val="center"/>
        </w:tcPr>
        <w:p w14:paraId="678A3BF6" w14:textId="77777777" w:rsidR="00DE4070" w:rsidRDefault="00000000">
          <w:pPr>
            <w:tabs>
              <w:tab w:val="center" w:pos="4252"/>
              <w:tab w:val="right" w:pos="8504"/>
            </w:tabs>
            <w:spacing w:after="0"/>
            <w:ind w:hanging="2"/>
            <w:jc w:val="center"/>
            <w:rPr>
              <w:rFonts w:cs="Arial"/>
              <w:color w:val="000000"/>
              <w:sz w:val="20"/>
              <w:szCs w:val="20"/>
            </w:rPr>
          </w:pPr>
          <w:r>
            <w:rPr>
              <w:rFonts w:cs="Arial"/>
              <w:color w:val="000000"/>
              <w:sz w:val="20"/>
              <w:szCs w:val="20"/>
            </w:rPr>
            <w:t>E.S.E HOSPITAL REGIONAL CENTRO</w:t>
          </w:r>
        </w:p>
      </w:tc>
      <w:tc>
        <w:tcPr>
          <w:tcW w:w="1094" w:type="pct"/>
          <w:vAlign w:val="center"/>
        </w:tcPr>
        <w:p w14:paraId="3D2B3737"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 xml:space="preserve">Fecha: </w:t>
          </w:r>
          <w:proofErr w:type="gramStart"/>
          <w:r>
            <w:rPr>
              <w:rFonts w:eastAsia="Calibri" w:cs="Arial"/>
              <w:color w:val="000000"/>
              <w:sz w:val="20"/>
              <w:szCs w:val="20"/>
            </w:rPr>
            <w:t>Agosto</w:t>
          </w:r>
          <w:proofErr w:type="gramEnd"/>
          <w:r>
            <w:rPr>
              <w:rFonts w:eastAsia="Calibri" w:cs="Arial"/>
              <w:color w:val="000000"/>
              <w:sz w:val="20"/>
              <w:szCs w:val="20"/>
            </w:rPr>
            <w:t xml:space="preserve"> 2024</w:t>
          </w:r>
        </w:p>
      </w:tc>
      <w:tc>
        <w:tcPr>
          <w:tcW w:w="822" w:type="pct"/>
          <w:vMerge/>
        </w:tcPr>
        <w:p w14:paraId="3DF21392"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55AB004C" w14:textId="77777777">
      <w:tblPrEx>
        <w:tblCellMar>
          <w:left w:w="108" w:type="dxa"/>
          <w:right w:w="108" w:type="dxa"/>
        </w:tblCellMar>
      </w:tblPrEx>
      <w:trPr>
        <w:trHeight w:val="60"/>
        <w:jc w:val="center"/>
      </w:trPr>
      <w:tc>
        <w:tcPr>
          <w:tcW w:w="654" w:type="pct"/>
          <w:vMerge/>
        </w:tcPr>
        <w:p w14:paraId="243880AA"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ign w:val="center"/>
        </w:tcPr>
        <w:p w14:paraId="26ACCBBB" w14:textId="77777777" w:rsidR="00DE4070" w:rsidRDefault="00DE4070">
          <w:pPr>
            <w:widowControl w:val="0"/>
            <w:spacing w:after="0" w:line="276" w:lineRule="auto"/>
            <w:ind w:hanging="2"/>
            <w:rPr>
              <w:rFonts w:eastAsia="Calibri" w:cs="Arial"/>
              <w:color w:val="000000"/>
              <w:sz w:val="20"/>
              <w:szCs w:val="20"/>
            </w:rPr>
          </w:pPr>
        </w:p>
      </w:tc>
      <w:tc>
        <w:tcPr>
          <w:tcW w:w="1094" w:type="pct"/>
          <w:vAlign w:val="center"/>
        </w:tcPr>
        <w:p w14:paraId="4E1093D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Pag.:</w:t>
          </w:r>
          <w:r>
            <w:rPr>
              <w:rFonts w:eastAsia="Calibri" w:cs="Arial"/>
              <w:color w:val="000000"/>
              <w:sz w:val="20"/>
              <w:szCs w:val="20"/>
            </w:rPr>
            <w:fldChar w:fldCharType="begin"/>
          </w:r>
          <w:r>
            <w:rPr>
              <w:rFonts w:eastAsia="Calibri" w:cs="Arial"/>
              <w:color w:val="000000"/>
              <w:sz w:val="20"/>
              <w:szCs w:val="20"/>
            </w:rPr>
            <w:instrText>PAGE   \* MERGEFORMAT</w:instrText>
          </w:r>
          <w:r>
            <w:rPr>
              <w:rFonts w:eastAsia="Calibri" w:cs="Arial"/>
              <w:color w:val="000000"/>
              <w:sz w:val="20"/>
              <w:szCs w:val="20"/>
            </w:rPr>
            <w:fldChar w:fldCharType="separate"/>
          </w:r>
          <w:r>
            <w:rPr>
              <w:rFonts w:eastAsia="Calibri" w:cs="Arial"/>
              <w:color w:val="000000"/>
              <w:sz w:val="20"/>
              <w:szCs w:val="20"/>
            </w:rPr>
            <w:t>1</w:t>
          </w:r>
          <w:r>
            <w:rPr>
              <w:rFonts w:eastAsia="Calibri" w:cs="Arial"/>
              <w:color w:val="000000"/>
              <w:sz w:val="20"/>
              <w:szCs w:val="20"/>
            </w:rPr>
            <w:fldChar w:fldCharType="end"/>
          </w:r>
        </w:p>
      </w:tc>
      <w:tc>
        <w:tcPr>
          <w:tcW w:w="822" w:type="pct"/>
          <w:vMerge/>
        </w:tcPr>
        <w:p w14:paraId="6D04367B" w14:textId="77777777" w:rsidR="00DE4070" w:rsidRDefault="00DE4070">
          <w:pPr>
            <w:widowControl w:val="0"/>
            <w:spacing w:after="0" w:line="276" w:lineRule="auto"/>
            <w:ind w:hanging="2"/>
            <w:rPr>
              <w:rFonts w:ascii="Calibri" w:eastAsia="Calibri" w:hAnsi="Calibri" w:cs="Calibri"/>
              <w:color w:val="000000"/>
              <w:sz w:val="20"/>
              <w:szCs w:val="20"/>
            </w:rPr>
          </w:pPr>
        </w:p>
      </w:tc>
    </w:tr>
  </w:tbl>
  <w:p w14:paraId="1C3747F1" w14:textId="77777777" w:rsidR="00DE4070" w:rsidRDefault="00DE407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7C3"/>
    <w:rsid w:val="000563F6"/>
    <w:rsid w:val="00094768"/>
    <w:rsid w:val="00126A1F"/>
    <w:rsid w:val="00147C18"/>
    <w:rsid w:val="0015414C"/>
    <w:rsid w:val="00173B02"/>
    <w:rsid w:val="001E7C52"/>
    <w:rsid w:val="0023289C"/>
    <w:rsid w:val="002355C4"/>
    <w:rsid w:val="00242F16"/>
    <w:rsid w:val="00253C95"/>
    <w:rsid w:val="002B3A7A"/>
    <w:rsid w:val="003079BB"/>
    <w:rsid w:val="00323C18"/>
    <w:rsid w:val="003451F7"/>
    <w:rsid w:val="003915B3"/>
    <w:rsid w:val="003B5C75"/>
    <w:rsid w:val="003C4020"/>
    <w:rsid w:val="003F311D"/>
    <w:rsid w:val="00405478"/>
    <w:rsid w:val="004705D9"/>
    <w:rsid w:val="00484C4D"/>
    <w:rsid w:val="004B3B04"/>
    <w:rsid w:val="004B6CD9"/>
    <w:rsid w:val="004C0378"/>
    <w:rsid w:val="004D6A9D"/>
    <w:rsid w:val="004E0C35"/>
    <w:rsid w:val="004E19FB"/>
    <w:rsid w:val="005206D4"/>
    <w:rsid w:val="00524590"/>
    <w:rsid w:val="005A45A3"/>
    <w:rsid w:val="005B243F"/>
    <w:rsid w:val="005B6C48"/>
    <w:rsid w:val="005E6D37"/>
    <w:rsid w:val="005F4B01"/>
    <w:rsid w:val="005F79C5"/>
    <w:rsid w:val="00606C0A"/>
    <w:rsid w:val="00624A6C"/>
    <w:rsid w:val="00640A3A"/>
    <w:rsid w:val="0066029F"/>
    <w:rsid w:val="00665D08"/>
    <w:rsid w:val="006719F1"/>
    <w:rsid w:val="00696C3A"/>
    <w:rsid w:val="006B0744"/>
    <w:rsid w:val="006B4C97"/>
    <w:rsid w:val="006B6D79"/>
    <w:rsid w:val="00724999"/>
    <w:rsid w:val="007A1F0F"/>
    <w:rsid w:val="007E0CB5"/>
    <w:rsid w:val="007E371E"/>
    <w:rsid w:val="007E7A56"/>
    <w:rsid w:val="00801B92"/>
    <w:rsid w:val="0084076A"/>
    <w:rsid w:val="008B160D"/>
    <w:rsid w:val="008B4C10"/>
    <w:rsid w:val="008C15A3"/>
    <w:rsid w:val="008C6F62"/>
    <w:rsid w:val="008D6EEF"/>
    <w:rsid w:val="008E3B77"/>
    <w:rsid w:val="009332A9"/>
    <w:rsid w:val="0093332B"/>
    <w:rsid w:val="0093587C"/>
    <w:rsid w:val="00965F51"/>
    <w:rsid w:val="00970BEE"/>
    <w:rsid w:val="009905FE"/>
    <w:rsid w:val="009A35BE"/>
    <w:rsid w:val="009B45F7"/>
    <w:rsid w:val="009D67C3"/>
    <w:rsid w:val="009F23D5"/>
    <w:rsid w:val="00A018CA"/>
    <w:rsid w:val="00A03FD1"/>
    <w:rsid w:val="00A22772"/>
    <w:rsid w:val="00A52736"/>
    <w:rsid w:val="00A8053B"/>
    <w:rsid w:val="00A86C95"/>
    <w:rsid w:val="00AC02D5"/>
    <w:rsid w:val="00B13B7C"/>
    <w:rsid w:val="00B1420D"/>
    <w:rsid w:val="00B26974"/>
    <w:rsid w:val="00B777DB"/>
    <w:rsid w:val="00B97CA8"/>
    <w:rsid w:val="00BC1594"/>
    <w:rsid w:val="00BD50D1"/>
    <w:rsid w:val="00BF10B0"/>
    <w:rsid w:val="00C64230"/>
    <w:rsid w:val="00C947D6"/>
    <w:rsid w:val="00C95256"/>
    <w:rsid w:val="00CA3F01"/>
    <w:rsid w:val="00CA41C9"/>
    <w:rsid w:val="00CB786B"/>
    <w:rsid w:val="00CC5003"/>
    <w:rsid w:val="00CC67F9"/>
    <w:rsid w:val="00CE1A9C"/>
    <w:rsid w:val="00CE37F7"/>
    <w:rsid w:val="00CF66EB"/>
    <w:rsid w:val="00D47E14"/>
    <w:rsid w:val="00D51A48"/>
    <w:rsid w:val="00D52CA1"/>
    <w:rsid w:val="00D92C91"/>
    <w:rsid w:val="00DA588F"/>
    <w:rsid w:val="00DB3A8F"/>
    <w:rsid w:val="00DD5FDD"/>
    <w:rsid w:val="00DE4070"/>
    <w:rsid w:val="00E06441"/>
    <w:rsid w:val="00E30C10"/>
    <w:rsid w:val="00E332F4"/>
    <w:rsid w:val="00E3577F"/>
    <w:rsid w:val="00E55AD1"/>
    <w:rsid w:val="00E8158D"/>
    <w:rsid w:val="00E95D9C"/>
    <w:rsid w:val="00EC6E60"/>
    <w:rsid w:val="00ED2745"/>
    <w:rsid w:val="00EF6B23"/>
    <w:rsid w:val="00F0434F"/>
    <w:rsid w:val="00F055D9"/>
    <w:rsid w:val="00F1071B"/>
    <w:rsid w:val="00F37E90"/>
    <w:rsid w:val="00F5680A"/>
    <w:rsid w:val="00F816BF"/>
    <w:rsid w:val="00FE02F1"/>
    <w:rsid w:val="00FE208F"/>
    <w:rsid w:val="00FE546C"/>
    <w:rsid w:val="00FE6103"/>
    <w:rsid w:val="00FE6BD7"/>
    <w:rsid w:val="4D215D21"/>
    <w:rsid w:val="667D3839"/>
    <w:rsid w:val="6B162CBB"/>
    <w:rsid w:val="7890750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402"/>
  <w15:docId w15:val="{597F8497-119D-4292-BF40-B9CC1EEA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jc w:val="both"/>
    </w:pPr>
    <w:rPr>
      <w:rFonts w:ascii="Arial" w:hAnsi="Arial"/>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uiPriority w:val="20"/>
    <w:qFormat/>
    <w:rPr>
      <w:i/>
      <w:iCs/>
    </w:rPr>
  </w:style>
  <w:style w:type="character" w:styleId="Hipervnculo">
    <w:name w:val="Hyperlink"/>
    <w:rPr>
      <w:color w:val="0000FF"/>
      <w:u w:val="single"/>
    </w:rPr>
  </w:style>
  <w:style w:type="paragraph" w:styleId="Textodeglobo">
    <w:name w:val="Balloon Text"/>
    <w:basedOn w:val="Normal"/>
    <w:link w:val="TextodegloboCar"/>
    <w:uiPriority w:val="99"/>
    <w:semiHidden/>
    <w:unhideWhenUsed/>
    <w:qFormat/>
    <w:pPr>
      <w:spacing w:after="0"/>
    </w:pPr>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spacing w:after="0"/>
    </w:pPr>
  </w:style>
  <w:style w:type="paragraph" w:styleId="Piedepgina">
    <w:name w:val="footer"/>
    <w:basedOn w:val="Normal"/>
    <w:link w:val="PiedepginaCar"/>
    <w:uiPriority w:val="99"/>
    <w:unhideWhenUsed/>
    <w:qFormat/>
    <w:pPr>
      <w:tabs>
        <w:tab w:val="center" w:pos="4419"/>
        <w:tab w:val="right" w:pos="8838"/>
      </w:tabs>
      <w:spacing w:after="0"/>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qFormat/>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paragraph" w:styleId="Prrafodelista">
    <w:name w:val="List Paragraph"/>
    <w:basedOn w:val="Normal"/>
    <w:link w:val="PrrafodelistaCar"/>
    <w:uiPriority w:val="34"/>
    <w:qFormat/>
    <w:pPr>
      <w:ind w:left="720"/>
      <w:contextualSpacing/>
    </w:pPr>
  </w:style>
  <w:style w:type="character" w:customStyle="1" w:styleId="PrrafodelistaCar">
    <w:name w:val="Párrafo de lista Car"/>
    <w:link w:val="Prrafodelista"/>
    <w:uiPriority w:val="34"/>
    <w:qFormat/>
    <w:rPr>
      <w:rFonts w:ascii="Arial" w:hAnsi="Arial"/>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styleId="Sinespaciado">
    <w:name w:val="No Spacing"/>
    <w:uiPriority w:val="1"/>
    <w:qFormat/>
    <w:rPr>
      <w:sz w:val="22"/>
      <w:szCs w:val="22"/>
      <w:lang w:eastAsia="en-US"/>
    </w:rPr>
  </w:style>
  <w:style w:type="character" w:styleId="Mencinsinresolver">
    <w:name w:val="Unresolved Mention"/>
    <w:basedOn w:val="Fuentedeprrafopredeter"/>
    <w:uiPriority w:val="99"/>
    <w:semiHidden/>
    <w:unhideWhenUsed/>
    <w:rsid w:val="00173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esecentro.com" TargetMode="External"/><Relationship Id="rId1" Type="http://schemas.openxmlformats.org/officeDocument/2006/relationships/hyperlink" Target="mailto:secretariageneral@centroese.gov.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250</Words>
  <Characters>1380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Patiño Flórez</dc:creator>
  <cp:lastModifiedBy>Natalia Angarita</cp:lastModifiedBy>
  <cp:revision>2</cp:revision>
  <cp:lastPrinted>2021-03-08T19:29:00Z</cp:lastPrinted>
  <dcterms:created xsi:type="dcterms:W3CDTF">2026-10-06T22:45:00Z</dcterms:created>
  <dcterms:modified xsi:type="dcterms:W3CDTF">2026-10-06T22:45:00Z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81F5C677738245DEBB240246E264F419_12</vt:lpwstr>
  </property>
</Properties>
</file>