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360"/>
      </w:pPr>
      <w:r>
        <w:t xml:space="preserve">Fuentes de la clase «Derecho Informático» y estado de verificación</w:t>
      </w:r>
    </w:p>
    <w:p>
      <w:pPr>
        <w:spacing w:after="120"/>
        <w:jc w:val="both"/>
      </w:pPr>
      <w:r>
        <w:rPr>
          <w:b/>
          <w:bCs/>
        </w:rPr>
        <w:t xml:space="preserve">Fecha de corte:</w:t>
      </w:r>
      <w:r>
        <w:t xml:space="preserve"> 5 de octubre de 2026. </w:t>
      </w:r>
      <w:r>
        <w:rPr>
          <w:b/>
          <w:bCs/>
        </w:rPr>
        <w:t xml:space="preserve">Cómo leer la columna Estado:</w:t>
      </w:r>
      <w:r>
        <w:t xml:space="preserve"> «Abierta» = el archivo o la página se abrió y leyó desde el entorno de preparación; «Confirmada por búsqueda» = la URL, el título y los datos esenciales coinciden en dos o más resultados de buscadores, pero la página no pudo abrirse (bloqueo de red del entorno); «No verificada» = dato tomado de una sola fuente secundaria o sin confirmación. Todo enlace debe abrirse al preparar la sesión.</w:t>
      </w:r>
    </w:p>
    <w:p>
      <w:pPr>
        <w:pStyle w:val="Heading1"/>
        <w:spacing w:after="120" w:before="240"/>
      </w:pPr>
      <w:r>
        <w:t xml:space="preserve">1. Lectura académica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Autor / entidad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Año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Enlace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la clase</w:t>
            </w:r>
          </w:p>
        </w:tc>
      </w:tr>
      <w:tr>
        <w:trPr>
          <w:tblHeader w:val="off"/>
        </w:trP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 xml:space="preserve">Derecho Informático</w:t>
            </w:r>
            <w:r>
              <w:rPr>
                <w:sz w:val="18"/>
                <w:szCs w:val="18"/>
              </w:rPr>
              <w:t xml:space="preserve">, Serie Materiales Docentes n.º 31 (lección introductoria: de la informática jurídica a la IA aplicada al derecho; ¿derecho informático o derecho digital?; características)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Lorena Donoso Abarca y Carlos Reusser Monsálvez, Academia Judicial de Chile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2021 (PDF en línea, marzo de 2022)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 (índice parcial y descripción oficial); PDF no abierto; extensión no verificada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hbh9pfgik8ncejd1asxea">
              <w:r>
                <w:rPr>
                  <w:rStyle w:val="Hyperlink"/>
                  <w:sz w:val="18"/>
                  <w:szCs w:val="18"/>
                </w:rPr>
                <w:t xml:space="preserve">https://academiajudicial.cl/wp-content/uploads/2022/03/Derecho-informatico.pdf</w:t>
              </w:r>
            </w:hyperlink>
            <w:r>
              <w:rPr>
                <w:sz w:val="18"/>
                <w:szCs w:val="18"/>
              </w:rPr>
              <w:t xml:space="preserve"> · </w:t>
            </w:r>
            <w:hyperlink w:history="1" r:id="rIdncefmxidbamsp05bhj80e">
              <w:r>
                <w:rPr>
                  <w:rStyle w:val="Hyperlink"/>
                  <w:sz w:val="18"/>
                  <w:szCs w:val="18"/>
                </w:rPr>
                <w:t xml:space="preserve">https://academiajudicial.cl/recursos/materiales-docentes/derecho-informatico/</w:t>
              </w:r>
            </w:hyperlink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Lectura principal</w:t>
            </w:r>
          </w:p>
        </w:tc>
      </w:tr>
      <w:tr>
        <w:trPr>
          <w:tblHeader w:val="off"/>
        </w:trPr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 xml:space="preserve">Derecho de las tecnologías y las tecnologías para el derecho</w:t>
            </w:r>
            <w:r>
              <w:rPr>
                <w:sz w:val="18"/>
                <w:szCs w:val="18"/>
              </w:rPr>
              <w:t xml:space="preserve"> (Presentación, pp. xi-xiv; «El papel de la academia», pp. 44-53)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María Lorena Flórez Rojas (coord.), GECTI, Ediciones Uniandes; ISBN 978-958-798-296-1; DOI 10.15425/2017.571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2022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Abierta (PDF descargado y verificado: 226 páginas; paginación citada comprobada). Acceso abierto probable por la política «Derecho Abierto Uniandes»; la página legal del PDF dice «Todos los derechos reservados»: entregar a los estudiantes el enlace editorial, no el archivo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tt0hucv69irh-bqguxtnv">
              <w:r>
                <w:rPr>
                  <w:rStyle w:val="Hyperlink"/>
                  <w:sz w:val="18"/>
                  <w:szCs w:val="18"/>
                </w:rPr>
                <w:t xml:space="preserve">https://ediciones.uniandes.edu.co/library/publication/derecho-de-las-tecnologias-y-las-tecnologias-para-el-derecho</w:t>
              </w:r>
            </w:hyperlink>
            <w:r>
              <w:rPr>
                <w:sz w:val="18"/>
                <w:szCs w:val="18"/>
              </w:rPr>
              <w:t xml:space="preserve"> · PDF del distribuidor: </w:t>
            </w:r>
            <w:hyperlink w:history="1" r:id="rIdmpekoohd4viuxcutkrdag">
              <w:r>
                <w:rPr>
                  <w:rStyle w:val="Hyperlink"/>
                  <w:sz w:val="18"/>
                  <w:szCs w:val="18"/>
                </w:rPr>
                <w:t xml:space="preserve">https://simehbucket.s3.amazonaws.com/miscfiles/9789587982961_w32pd8rd.pdf</w:t>
              </w:r>
            </w:hyperlink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Complemento colombiano</w:t>
            </w:r>
          </w:p>
        </w:tc>
      </w:tr>
      <w:tr>
        <w:trPr>
          <w:tblHeader w:val="off"/>
        </w:trP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«Derecho e Internet: introducción a un campo emergente para la investigación y práctica jurídicas», </w:t>
            </w:r>
            <w:r>
              <w:rPr>
                <w:i/>
                <w:iCs/>
                <w:sz w:val="18"/>
                <w:szCs w:val="18"/>
              </w:rPr>
              <w:t xml:space="preserve">Prolegómenos</w:t>
            </w:r>
            <w:r>
              <w:rPr>
                <w:sz w:val="18"/>
                <w:szCs w:val="18"/>
              </w:rPr>
              <w:t xml:space="preserve">, vol. XX, n.º 40, pp. 43-61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William Guillermo Jiménez y Orlando Meneses Quintana, Universidad Militar Nueva Granada; DOI 10.18359/prole.3040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2017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 (SciELO, Redalyc, Dialnet)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1q9ad9btrbwtjguadief7">
              <w:r>
                <w:rPr>
                  <w:rStyle w:val="Hyperlink"/>
                  <w:sz w:val="18"/>
                  <w:szCs w:val="18"/>
                </w:rPr>
                <w:t xml:space="preserve">https://doi.org/10.18359/prole.3040</w:t>
              </w:r>
            </w:hyperlink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Alternativa arbitrada colombiana</w:t>
            </w:r>
          </w:p>
        </w:tc>
      </w:tr>
      <w:tr>
        <w:trPr>
          <w:tblHeader w:val="off"/>
        </w:trPr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«Inteligencia artificial y derecho informático, retos y oportunidades para las legislaciones actuales», </w:t>
            </w:r>
            <w:r>
              <w:rPr>
                <w:i/>
                <w:iCs/>
                <w:sz w:val="18"/>
                <w:szCs w:val="18"/>
              </w:rPr>
              <w:t xml:space="preserve">Igobernanza</w:t>
            </w:r>
            <w:r>
              <w:rPr>
                <w:sz w:val="18"/>
                <w:szCs w:val="18"/>
              </w:rPr>
              <w:t xml:space="preserve">, vol. 8, n.º 29, pp. 109-126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Gustavo Alberto Reyna López et al.; DOI 10.47865/igob.vol8.n29.2025.396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2025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búsqueda; PDF no abierto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e19mtoheixfuxxekddeyo">
              <w:r>
                <w:rPr>
                  <w:rStyle w:val="Hyperlink"/>
                  <w:sz w:val="18"/>
                  <w:szCs w:val="18"/>
                </w:rPr>
                <w:t xml:space="preserve">https://www.igobernanza.org/index.php/IGOB/article/view/396</w:t>
              </w:r>
            </w:hyperlink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Alternativa reciente (nivel medio)</w:t>
            </w:r>
          </w:p>
        </w:tc>
      </w:tr>
      <w:tr>
        <w:trPr>
          <w:tblHeader w:val="off"/>
        </w:trP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 xml:space="preserve">Derecho informático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Julio Téllez Valdés, IIJ-UNAM (1.ª ed.); ediciones posteriores McGraw-Hill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1991 y ss.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mwnnzhe41mw2_ek7oqann">
              <w:r>
                <w:rPr>
                  <w:rStyle w:val="Hyperlink"/>
                  <w:sz w:val="18"/>
                  <w:szCs w:val="18"/>
                </w:rPr>
                <w:t xml:space="preserve">http://ru.juridicas.unam.mx/xmlui/handle/123456789/9287</w:t>
              </w:r>
            </w:hyperlink>
            <w:r>
              <w:rPr>
                <w:sz w:val="18"/>
                <w:szCs w:val="18"/>
              </w:rPr>
              <w:t xml:space="preserve"> (acceso no verificado)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Definición clásica</w:t>
            </w:r>
          </w:p>
        </w:tc>
      </w:tr>
    </w:tbl>
    <w:p>
      <w:pPr>
        <w:spacing w:after="60"/>
      </w:pPr>
    </w:p>
    <w:p>
      <w:pPr>
        <w:pStyle w:val="Heading1"/>
        <w:spacing w:after="120" w:before="240"/>
      </w:pPr>
      <w:r>
        <w:t xml:space="preserve">2. Jurisprudencia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Providencia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Corporación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Enlace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la clase</w:t>
            </w:r>
          </w:p>
        </w:tc>
      </w:tr>
      <w:tr>
        <w:trPr>
          <w:tblHeader w:val="off"/>
        </w:trP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Sentencia T-323 de 2024 (expediente T-9.301.656; M.P. Juan Carlos Cortés González; Sala Segunda de Revisión)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Corte Constitucional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 de agosto de 2024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 sobre la relatoría, el boletín de la Corte, el ABC del Consejo Superior de la Judicatura y la reproducción en alcaldiabogota.gov.co (norma 177898); texto íntegro no abierto; numeración del resuelve y números de fundamento jurídico no verificados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iparueo-novzl9xlm60zw">
              <w:r>
                <w:rPr>
                  <w:rStyle w:val="Hyperlink"/>
                  <w:sz w:val="18"/>
                  <w:szCs w:val="18"/>
                </w:rPr>
                <w:t xml:space="preserve">https://www.corteconstitucional.gov.co/relatoria/2024/T-323-24.htm</w:t>
              </w:r>
            </w:hyperlink>
            <w:r>
              <w:rPr>
                <w:sz w:val="18"/>
                <w:szCs w:val="18"/>
              </w:rPr>
              <w:t xml:space="preserve"> · Boletín: </w:t>
            </w:r>
            <w:hyperlink w:history="1" r:id="rIdds66ldc6nyeblqshpcoca">
              <w:r>
                <w:rPr>
                  <w:rStyle w:val="Hyperlink"/>
                  <w:sz w:val="18"/>
                  <w:szCs w:val="18"/>
                </w:rPr>
                <w:t xml:space="preserve">https://corteconstitucional.gov.co/noticia.php?la-inteligencia-artificial-%28ia%29-no-puede-sustituir-al-juez-9844=</w:t>
              </w:r>
            </w:hyperlink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Sentencia hito</w:t>
            </w:r>
          </w:p>
        </w:tc>
      </w:tr>
      <w:tr>
        <w:trPr>
          <w:tblHeader w:val="off"/>
        </w:trPr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ABC de la sentencia T-323 de 2024 (Circular PCSJC24-37 del 23 de septiembre de 2024)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Consejo Superior de la Judicatura, Escuela Judicial Rodrigo Lara Bonilla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2024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pl6icj-fucjpef8w-e40j">
              <w:r>
                <w:rPr>
                  <w:rStyle w:val="Hyperlink"/>
                  <w:sz w:val="18"/>
                  <w:szCs w:val="18"/>
                </w:rPr>
                <w:t xml:space="preserve">https://escuelajudicial.ramajudicial.gov.co/sites/default/files/ABC_SentenciaIA_T323De2024.pdf</w:t>
              </w:r>
            </w:hyperlink>
            <w:r>
              <w:rPr>
                <w:sz w:val="18"/>
                <w:szCs w:val="18"/>
              </w:rPr>
              <w:t xml:space="preserve"> · </w:t>
            </w:r>
            <w:hyperlink w:history="1" r:id="rId8ctdoiqb1xhsdifyhxzos">
              <w:r>
                <w:rPr>
                  <w:rStyle w:val="Hyperlink"/>
                  <w:sz w:val="18"/>
                  <w:szCs w:val="18"/>
                </w:rPr>
                <w:t xml:space="preserve">https://escuelajudicial.ramajudicial.gov.co/sites/default/files/Circular37De2024_ABCSentenciaT323IA.pdf</w:t>
              </w:r>
            </w:hyperlink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Apoyo al taller</w:t>
            </w:r>
          </w:p>
        </w:tc>
      </w:tr>
      <w:tr>
        <w:trPr>
          <w:tblHeader w:val="off"/>
        </w:trP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Documento técnico de lineamientos de uso de IA en la Rama Judicial (13 de diciembre de 2024)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Consejo Superior de la Judicatura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2024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xhdyxo3zqe9j15bssqhp2">
              <w:r>
                <w:rPr>
                  <w:rStyle w:val="Hyperlink"/>
                  <w:sz w:val="18"/>
                  <w:szCs w:val="18"/>
                </w:rPr>
                <w:t xml:space="preserve">https://www.ramajudicial.gov.co/documents/164295699/174277484/DocumentoTecnico_LineamientosUsoIARamaJudicial_13122024_Vrev.pdf</w:t>
              </w:r>
            </w:hyperlink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Cumplimiento de la orden de la T-323</w:t>
            </w:r>
          </w:p>
        </w:tc>
      </w:tr>
      <w:tr>
        <w:trPr>
          <w:tblHeader w:val="off"/>
        </w:trPr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STC17832-2025 (tutela contra la Sala Civil Familia Laboral del Tribunal Superior de Sincelejo; citas inexistentes atribuidas a STC13560-2023 y STC4734-2025)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Corte Suprema de Justicia, Sala de Casación Civil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noviembre de 2025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 (prensa jurídica y nota de la Corte); texto no abierto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_9ghfe_6gnouydm_ejq8p">
              <w:r>
                <w:rPr>
                  <w:rStyle w:val="Hyperlink"/>
                  <w:sz w:val="18"/>
                  <w:szCs w:val="18"/>
                </w:rPr>
                <w:t xml:space="preserve">https://cortesuprema.gov.co</w:t>
              </w:r>
            </w:hyperlink>
            <w:r>
              <w:rPr>
                <w:sz w:val="18"/>
                <w:szCs w:val="18"/>
              </w:rPr>
              <w:t xml:space="preserve"> (relatoría)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Contraste en el taller</w:t>
            </w:r>
          </w:p>
        </w:tc>
      </w:tr>
      <w:tr>
        <w:trPr>
          <w:tblHeader w:val="off"/>
        </w:trP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Auto AC739-2026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Corte Suprema de Justicia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 (reseñas del Externado); texto no abierto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ihghioyusaa7kcw5svsgd">
              <w:r>
                <w:rPr>
                  <w:rStyle w:val="Hyperlink"/>
                  <w:sz w:val="18"/>
                  <w:szCs w:val="18"/>
                </w:rPr>
                <w:t xml:space="preserve">https://www.uexternado.edu.co/derecho/el-externado-analiza-el-uso-de-la-inteligencia-artificial-en-la-justicia-colombiana/</w:t>
              </w:r>
            </w:hyperlink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Mención</w:t>
            </w:r>
          </w:p>
        </w:tc>
      </w:tr>
      <w:tr>
        <w:trPr>
          <w:tblHeader w:val="off"/>
        </w:trPr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C-224 de 2019 (control del Convenio de Budapest y de la Ley 1928 de 2018; M.P. Cristina Pardo Schlesinger)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Corte Constitucional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22 de mayo de 2019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gjbito0-ktux4j9ndtb12">
              <w:r>
                <w:rPr>
                  <w:rStyle w:val="Hyperlink"/>
                  <w:sz w:val="18"/>
                  <w:szCs w:val="18"/>
                </w:rPr>
                <w:t xml:space="preserve">https://www.corteconstitucional.gov.co/relatoria/2019/C-224-19.htm</w:t>
              </w:r>
            </w:hyperlink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Fuentes</w:t>
            </w:r>
          </w:p>
        </w:tc>
      </w:tr>
      <w:tr>
        <w:trPr>
          <w:tblHeader w:val="off"/>
        </w:trP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T-414 de 1992; SU-082 de 1995; C-748 de 2011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Corte Constitucional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1992, 1995, 2011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Citadas por su contenido conocido (habeas data; control previo de la Ley 1581); no abiertas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Relatoría de la Corte Constitucional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Evolución y mapa de campos</w:t>
            </w:r>
          </w:p>
        </w:tc>
      </w:tr>
    </w:tbl>
    <w:p>
      <w:pPr>
        <w:spacing w:after="60"/>
      </w:pPr>
    </w:p>
    <w:p>
      <w:pPr>
        <w:pStyle w:val="Heading1"/>
        <w:spacing w:after="120" w:before="240"/>
      </w:pPr>
      <w:r>
        <w:t xml:space="preserve">3. Normas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Norma</w:t>
            </w:r>
          </w:p>
        </w:tc>
        <w:tc>
          <w:tcPr>
            <w:tcW w:type="dxa" w:w="234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Contenido citado</w:t>
            </w:r>
          </w:p>
        </w:tc>
        <w:tc>
          <w:tcPr>
            <w:tcW w:type="dxa" w:w="234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234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Enlace sugerido</w:t>
            </w:r>
          </w:p>
        </w:tc>
      </w:tr>
      <w:tr>
        <w:trPr>
          <w:tblHeader w:val="off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Constitución Política, arts. 15, 20, 61, 74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Habeas data; información; propiedad intelectual; documentos públicos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Contenido conocido; texto no abierto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ftl6vgmdab6aedit99qqp">
              <w:r>
                <w:rPr>
                  <w:rStyle w:val="Hyperlink"/>
                  <w:sz w:val="18"/>
                  <w:szCs w:val="18"/>
                </w:rPr>
                <w:t xml:space="preserve">https://www.secretariasenado.gov.co/constitucion-politica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Ley 527 de 1999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Mensajes de datos, equivalencia funcional (arts. 5 a 8), admisibilidad y fuerza probatoria (arts. 10 y 11), firmas digitales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Contenido conocido; texto no abierto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sexgocy_us8giih-0w_jo">
              <w:r>
                <w:rPr>
                  <w:rStyle w:val="Hyperlink"/>
                  <w:sz w:val="18"/>
                  <w:szCs w:val="18"/>
                </w:rPr>
                <w:t xml:space="preserve">https://www.secretariasenado.gov.co/senado/basedoc/ley_0527_1999.html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Ley 1266 de 2008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Habeas data financiero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Contenido conocido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t1afaflgygyixqz_vimwa">
              <w:r>
                <w:rPr>
                  <w:rStyle w:val="Hyperlink"/>
                  <w:sz w:val="18"/>
                  <w:szCs w:val="18"/>
                </w:rPr>
                <w:t xml:space="preserve">https://www.secretariasenado.gov.co/senado/basedoc/ley_1266_2008.html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Ley 1273 de 2009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Delitos informáticos (arts. 269A a 269J del Código Penal)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Contenido conocido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i7bbgrv-sd9pfimy_gcnv">
              <w:r>
                <w:rPr>
                  <w:rStyle w:val="Hyperlink"/>
                  <w:sz w:val="18"/>
                  <w:szCs w:val="18"/>
                </w:rPr>
                <w:t xml:space="preserve">https://www.secretariasenado.gov.co/senado/basedoc/ley_1273_2009.html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Ley 1341 de 2009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Sector TIC; CRC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Contenido conocido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gjapyewwce2gqdcpwujo1">
              <w:r>
                <w:rPr>
                  <w:rStyle w:val="Hyperlink"/>
                  <w:sz w:val="18"/>
                  <w:szCs w:val="18"/>
                </w:rPr>
                <w:t xml:space="preserve">https://www.secretariasenado.gov.co/senado/basedoc/ley_1341_2009.html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Ley 1581 de 2012 y Decreto 1377 de 2013 (compilado en el Decreto 1074 de 2015)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Régimen general de datos personales; principios (art. 4); responsabilidad demostrada (arts. 26 y 27 del decreto)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Contenido conocido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bsgcajiueltxkzt7htvud">
              <w:r>
                <w:rPr>
                  <w:rStyle w:val="Hyperlink"/>
                  <w:sz w:val="18"/>
                  <w:szCs w:val="18"/>
                </w:rPr>
                <w:t xml:space="preserve">https://www.secretariasenado.gov.co/senado/basedoc/ley_1581_2012.html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Ley 1712 de 2014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Transparencia y acceso a la información pública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Contenido conocido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kjb9spevrwekypeaj4mhr">
              <w:r>
                <w:rPr>
                  <w:rStyle w:val="Hyperlink"/>
                  <w:sz w:val="18"/>
                  <w:szCs w:val="18"/>
                </w:rPr>
                <w:t xml:space="preserve">https://www.secretariasenado.gov.co/senado/basedoc/ley_1712_2014.html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Ley 1928 de 2018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Aprueba el Convenio de Budapest sobre Ciberdelincuencia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vktl4hjxnz4ozbicnvdfz">
              <w:r>
                <w:rPr>
                  <w:rStyle w:val="Hyperlink"/>
                  <w:sz w:val="18"/>
                  <w:szCs w:val="18"/>
                </w:rPr>
                <w:t xml:space="preserve">https://normograma.icfes.gov.co/docs/pdf/ley_1928_2018.pdf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Ley 2213 de 2022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Justicia digital permanente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Contenido conocido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f9h7ofwdjbe9jd4appk1_">
              <w:r>
                <w:rPr>
                  <w:rStyle w:val="Hyperlink"/>
                  <w:sz w:val="18"/>
                  <w:szCs w:val="18"/>
                </w:rPr>
                <w:t xml:space="preserve">https://www.secretariasenado.gov.co/senado/basedoc/ley_2213_2022.html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Código General del Proceso, art. 247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Valoración de mensajes de datos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Contenido conocido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y65owzdnvtbfrwx5mvb1k">
              <w:r>
                <w:rPr>
                  <w:rStyle w:val="Hyperlink"/>
                  <w:sz w:val="18"/>
                  <w:szCs w:val="18"/>
                </w:rPr>
                <w:t xml:space="preserve">https://www.secretariasenado.gov.co/senado/basedoc/ley_1564_2012.html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Circular Externa 002 de 2024 de la SIC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Tratamiento de datos personales en sistemas de IA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Citada en materiales previos del docente (conferencia 2026); texto no abierto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fzmtu37w7wpf-vdtnouvd">
              <w:r>
                <w:rPr>
                  <w:rStyle w:val="Hyperlink"/>
                  <w:sz w:val="18"/>
                  <w:szCs w:val="18"/>
                </w:rPr>
                <w:t xml:space="preserve">https://www.sic.gov.co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CONPES 3975 de 2019 y CONPES 4144 de 2025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Transformación digital e IA; Política nacional de IA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Confirmados por búsqueda</w:t>
            </w:r>
          </w:p>
        </w:tc>
        <w:tc>
          <w:tcPr>
            <w:tcW w:type="dxa" w:w="234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r1a-spj3ekf02u5zuzqcm">
              <w:r>
                <w:rPr>
                  <w:rStyle w:val="Hyperlink"/>
                  <w:sz w:val="18"/>
                  <w:szCs w:val="18"/>
                </w:rPr>
                <w:t xml:space="preserve">https://www.dnp.gov.co</w:t>
              </w:r>
            </w:hyperlink>
          </w:p>
        </w:tc>
      </w:tr>
      <w:tr>
        <w:trPr>
          <w:tblHeader w:val="off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Ley 1123 de 2007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Código Disciplinario del Abogado (caso 2)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Contenido conocido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bcr_6-51rtjkatidfbcki">
              <w:r>
                <w:rPr>
                  <w:rStyle w:val="Hyperlink"/>
                  <w:sz w:val="18"/>
                  <w:szCs w:val="18"/>
                </w:rPr>
                <w:t xml:space="preserve">https://www.secretariasenado.gov.co/senado/basedoc/ley_1123_2007.html</w:t>
              </w:r>
            </w:hyperlink>
          </w:p>
        </w:tc>
      </w:tr>
    </w:tbl>
    <w:p>
      <w:pPr>
        <w:spacing w:after="60"/>
      </w:pPr>
    </w:p>
    <w:p>
      <w:pPr>
        <w:pStyle w:val="Heading1"/>
        <w:spacing w:after="120" w:before="240"/>
      </w:pPr>
      <w:r>
        <w:t xml:space="preserve">4. Video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Video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Duración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15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Enlace</w:t>
            </w:r>
          </w:p>
        </w:tc>
      </w:tr>
      <w:tr>
        <w:trPr>
          <w:tblHeader w:val="off"/>
        </w:trP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 xml:space="preserve">Espresso Digital</w:t>
            </w:r>
            <w:r>
              <w:rPr>
                <w:sz w:val="18"/>
                <w:szCs w:val="18"/>
              </w:rPr>
              <w:t xml:space="preserve">, cap. 2: «La decisión de la Corte Constitucional sobre IA y su uso en la administración de justicia» (magistrado Juan Carlos Cortés González, magistrada Diana Alexandra Remolina Botía, Ulises Canosa)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Consejo Superior de la Judicatura (YouTube y Spotify)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 de septiembre de 2024 según la Rama Judicial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verificada (se proyecta fragmento de máximo 15 min)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búsqueda; YouTube bloqueado desde el entorno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r50f_26yx0i5t_ckwin_7">
              <w:r>
                <w:rPr>
                  <w:rStyle w:val="Hyperlink"/>
                  <w:sz w:val="18"/>
                  <w:szCs w:val="18"/>
                </w:rPr>
                <w:t xml:space="preserve">https://youtu.be/c4UEAZcz4Qc</w:t>
              </w:r>
            </w:hyperlink>
          </w:p>
        </w:tc>
      </w:tr>
      <w:tr>
        <w:trPr>
          <w:tblHeader w:val="off"/>
        </w:trPr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 xml:space="preserve">Espresso Digital</w:t>
            </w:r>
            <w:r>
              <w:rPr>
                <w:sz w:val="18"/>
                <w:szCs w:val="18"/>
              </w:rPr>
              <w:t xml:space="preserve">, cap. 1: «Mitos y oportunidades de la inteligencia artificial en la justicia» (Juan David Gutiérrez, Uniandes)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Consejo Superior de la Judicatura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2024 (indicios)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verificada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j8-ocudi6ofipxplpen8r">
              <w:r>
                <w:rPr>
                  <w:rStyle w:val="Hyperlink"/>
                  <w:sz w:val="18"/>
                  <w:szCs w:val="18"/>
                </w:rPr>
                <w:t xml:space="preserve">https://youtu.be/5f0Hu2Ea7SA</w:t>
              </w:r>
            </w:hyperlink>
          </w:p>
        </w:tc>
      </w:tr>
      <w:tr>
        <w:trPr>
          <w:tblHeader w:val="off"/>
        </w:trP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18"/>
                <w:szCs w:val="18"/>
              </w:rPr>
              <w:t xml:space="preserve">Espresso Digital</w:t>
            </w:r>
            <w:r>
              <w:rPr>
                <w:sz w:val="18"/>
                <w:szCs w:val="18"/>
              </w:rPr>
              <w:t xml:space="preserve">, episodio del 4 de junio de 2025 (magistrada Remolina Botía con Viviana Vanegas, DNP, y Santiago Pardo, Defensoría del Pueblo: uso ético de la IA, Acuerdo PCSJA23-12243, CONPES 4144)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Consejo Superior de la Judicatura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 de junio de 2025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verificada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Fecha confirmada por nota de la Rama Judicial; URL no localizada (buscar en el canal)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i_00kive6a2voy38eloev">
              <w:r>
                <w:rPr>
                  <w:rStyle w:val="Hyperlink"/>
                  <w:sz w:val="18"/>
                  <w:szCs w:val="18"/>
                </w:rPr>
                <w:t xml:space="preserve">https://www.ramajudicial.gov.co/web/utdi/recursos-y-aprendizajes</w:t>
              </w:r>
            </w:hyperlink>
          </w:p>
        </w:tc>
      </w:tr>
      <w:tr>
        <w:trPr>
          <w:tblHeader w:val="off"/>
        </w:trPr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Mesa de Trabajo Multiactor sobre Regulación de IA en Colombia, sesión 8 (Carolina Botero, decisiones automatizadas en el sector público)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Uniandes, Externado y Fundación Corona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2025 (relatoría del 19 de mayo de 2025)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verificada (sesión larga)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</w:t>
            </w:r>
          </w:p>
        </w:tc>
        <w:tc>
          <w:tcPr>
            <w:tcW w:type="dxa" w:w="156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klajc-7d-0j2ixqo3nisp">
              <w:r>
                <w:rPr>
                  <w:rStyle w:val="Hyperlink"/>
                  <w:sz w:val="18"/>
                  <w:szCs w:val="18"/>
                </w:rPr>
                <w:t xml:space="preserve">https://www.youtube.com/watch?v=dRVePioM5x4</w:t>
              </w:r>
            </w:hyperlink>
          </w:p>
        </w:tc>
      </w:tr>
      <w:tr>
        <w:trPr>
          <w:tblHeader w:val="off"/>
        </w:trP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Seminarios web 2026 del Departamento de Derecho, Comunicaciones y Tecnologías de la Información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Universidad Externado de Colombia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Variable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Página verificada en materiales previos del docente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ari8q8gc3wmjra9ayfl8c">
              <w:r>
                <w:rPr>
                  <w:rStyle w:val="Hyperlink"/>
                  <w:sz w:val="18"/>
                  <w:szCs w:val="18"/>
                </w:rPr>
                <w:t xml:space="preserve">https://www.uexternado.edu.co/departamento-de-derecho-comunicaciones-y-tecnologias-de-la-informacion/seminarios-web-2026/</w:t>
              </w:r>
            </w:hyperlink>
          </w:p>
        </w:tc>
      </w:tr>
    </w:tbl>
    <w:p>
      <w:pPr>
        <w:spacing w:after="60"/>
      </w:pPr>
    </w:p>
    <w:p>
      <w:pPr>
        <w:pStyle w:val="Heading1"/>
        <w:spacing w:after="120" w:before="240"/>
      </w:pPr>
      <w:r>
        <w:t xml:space="preserve">5. Otras referencias usadas en el desarrollo teórico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Referencia</w:t>
            </w:r>
          </w:p>
        </w:tc>
        <w:tc>
          <w:tcPr>
            <w:tcW w:type="dxa" w:w="312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  <w:tc>
          <w:tcPr>
            <w:tcW w:type="dxa" w:w="312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tblHeader w:val="off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Lessig, L. (1999). </w:t>
            </w:r>
            <w:r>
              <w:rPr>
                <w:i/>
                <w:iCs/>
                <w:sz w:val="18"/>
                <w:szCs w:val="18"/>
              </w:rPr>
              <w:t xml:space="preserve">Code and other laws of cyberspace</w:t>
            </w:r>
            <w:r>
              <w:rPr>
                <w:sz w:val="18"/>
                <w:szCs w:val="18"/>
              </w:rPr>
              <w:t xml:space="preserve">. Basic Books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código como regulación (etapa 2; fuentes)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Obra conocida</w:t>
            </w:r>
          </w:p>
        </w:tc>
      </w:tr>
      <w:tr>
        <w:trPr>
          <w:tblHeader w:val="off"/>
        </w:trPr>
        <w:tc>
          <w:tcPr>
            <w:tcW w:type="dxa" w:w="312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Frosini, V. (1968). </w:t>
            </w:r>
            <w:r>
              <w:rPr>
                <w:i/>
                <w:iCs/>
                <w:sz w:val="18"/>
                <w:szCs w:val="18"/>
              </w:rPr>
              <w:t xml:space="preserve">Cibernética, derecho y sociedad</w:t>
            </w:r>
            <w:r>
              <w:rPr>
                <w:sz w:val="18"/>
                <w:szCs w:val="18"/>
              </w:rPr>
              <w:t xml:space="preserve">; Losano, M. (1969). </w:t>
            </w:r>
            <w:r>
              <w:rPr>
                <w:i/>
                <w:iCs/>
                <w:sz w:val="18"/>
                <w:szCs w:val="18"/>
              </w:rPr>
              <w:t xml:space="preserve">Giuscibernetica</w:t>
            </w:r>
          </w:p>
        </w:tc>
        <w:tc>
          <w:tcPr>
            <w:tcW w:type="dxa" w:w="312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Origen de la disciplina (etapa 1)</w:t>
            </w:r>
          </w:p>
        </w:tc>
        <w:tc>
          <w:tcPr>
            <w:tcW w:type="dxa" w:w="312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Obras conocidas</w:t>
            </w:r>
          </w:p>
        </w:tc>
      </w:tr>
      <w:tr>
        <w:trPr>
          <w:tblHeader w:val="off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GECTI, Universidad de los Andes (creado el 5 de octubre de 2001 por Nelson Remolina Angarita)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Campo docente e institucional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Confirmada por búsqueda: </w:t>
            </w:r>
            <w:hyperlink w:history="1" r:id="rId5ee-rbbfvntvoateamccu">
              <w:r>
                <w:rPr>
                  <w:rStyle w:val="Hyperlink"/>
                  <w:sz w:val="18"/>
                  <w:szCs w:val="18"/>
                </w:rPr>
                <w:t xml:space="preserve">https://derecho.uniandes.edu.co/es/gecti</w:t>
              </w:r>
            </w:hyperlink>
          </w:p>
        </w:tc>
      </w:tr>
      <w:tr>
        <w:trPr>
          <w:tblHeader w:val="off"/>
        </w:trPr>
        <w:tc>
          <w:tcPr>
            <w:tcW w:type="dxa" w:w="312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Departamento de Derecho, Comunicaciones y Tecnologías de la Información del Externado (30 años en 2026)</w:t>
            </w:r>
          </w:p>
        </w:tc>
        <w:tc>
          <w:tcPr>
            <w:tcW w:type="dxa" w:w="312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Campo docente</w:t>
            </w:r>
          </w:p>
        </w:tc>
        <w:tc>
          <w:tcPr>
            <w:tcW w:type="dxa" w:w="312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Tomado de los materiales previos del docente (conferencia 2026)</w:t>
            </w:r>
          </w:p>
        </w:tc>
      </w:tr>
      <w:tr>
        <w:trPr>
          <w:tblHeader w:val="off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Directrices UNESCO para el uso de sistemas de IA en cortes y tribunales, versión en español (Escuela de Gobierno de Uniandes, 2025)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Etapa 4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Tomado de los materiales previos del docente (conferencia 2026)</w:t>
            </w:r>
          </w:p>
        </w:tc>
      </w:tr>
      <w:tr>
        <w:trPr>
          <w:tblHeader w:val="off"/>
        </w:trPr>
        <w:tc>
          <w:tcPr>
            <w:tcW w:type="dxa" w:w="312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Programa «Derecho y tecnología para el lunes» (conferencia, repositorio del docente, rama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claude/conferencia-derecho-tecnologia-cuqio4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12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Formato de referencia y catálogo de 184 fuentes sobre T-323, Ley 527, Ley 1581 y Circular 002 de 2024</w:t>
            </w:r>
          </w:p>
        </w:tc>
        <w:tc>
          <w:tcPr>
            <w:tcW w:type="dxa" w:w="3120"/>
            <w:shd w:fill="EEF3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Abierta (repositorio)</w:t>
            </w:r>
          </w:p>
        </w:tc>
      </w:tr>
    </w:tbl>
    <w:p>
      <w:pPr>
        <w:spacing w:after="60"/>
      </w:pPr>
    </w:p>
    <w:sectPr>
      <w:head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6670"/>
        <w:sz w:val="16"/>
        <w:szCs w:val="16"/>
      </w:rPr>
      <w:t xml:space="preserve">Clase integral: Derecho Informático · Fuentes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mbria" w:cs="Cambria" w:eastAsia="Cambria" w:hAnsi="Cambria"/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mbria" w:cs="Cambria" w:eastAsia="Cambria" w:hAnsi="Cambria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mbria" w:cs="Cambria" w:eastAsia="Cambria" w:hAnsi="Cambria"/>
      <w:b/>
      <w:bCs/>
      <w:color w:val="0E7C8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mbria" w:cs="Cambria" w:eastAsia="Cambria" w:hAnsi="Cambria"/>
      <w:b/>
      <w:bCs/>
      <w:color w:val="1B1F2E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hbh9pfgik8ncejd1asxea" Type="http://schemas.openxmlformats.org/officeDocument/2006/relationships/hyperlink" Target="https://academiajudicial.cl/wp-content/uploads/2022/03/Derecho-informatico.pdf" TargetMode="External"/><Relationship Id="rIdncefmxidbamsp05bhj80e" Type="http://schemas.openxmlformats.org/officeDocument/2006/relationships/hyperlink" Target="https://academiajudicial.cl/recursos/materiales-docentes/derecho-informatico/" TargetMode="External"/><Relationship Id="rIdtt0hucv69irh-bqguxtnv" Type="http://schemas.openxmlformats.org/officeDocument/2006/relationships/hyperlink" Target="https://ediciones.uniandes.edu.co/library/publication/derecho-de-las-tecnologias-y-las-tecnologias-para-el-derecho" TargetMode="External"/><Relationship Id="rIdmpekoohd4viuxcutkrdag" Type="http://schemas.openxmlformats.org/officeDocument/2006/relationships/hyperlink" Target="https://simehbucket.s3.amazonaws.com/miscfiles/9789587982961_w32pd8rd.pdf" TargetMode="External"/><Relationship Id="rId1q9ad9btrbwtjguadief7" Type="http://schemas.openxmlformats.org/officeDocument/2006/relationships/hyperlink" Target="https://doi.org/10.18359/prole.3040" TargetMode="External"/><Relationship Id="rIde19mtoheixfuxxekddeyo" Type="http://schemas.openxmlformats.org/officeDocument/2006/relationships/hyperlink" Target="https://www.igobernanza.org/index.php/IGOB/article/view/396" TargetMode="External"/><Relationship Id="rIdmwnnzhe41mw2_ek7oqann" Type="http://schemas.openxmlformats.org/officeDocument/2006/relationships/hyperlink" Target="http://ru.juridicas.unam.mx/xmlui/handle/123456789/9287" TargetMode="External"/><Relationship Id="rIdiparueo-novzl9xlm60zw" Type="http://schemas.openxmlformats.org/officeDocument/2006/relationships/hyperlink" Target="https://www.corteconstitucional.gov.co/relatoria/2024/T-323-24.htm" TargetMode="External"/><Relationship Id="rIdds66ldc6nyeblqshpcoca" Type="http://schemas.openxmlformats.org/officeDocument/2006/relationships/hyperlink" Target="https://corteconstitucional.gov.co/noticia.php?la-inteligencia-artificial-%28ia%29-no-puede-sustituir-al-juez-9844=" TargetMode="External"/><Relationship Id="rIdpl6icj-fucjpef8w-e40j" Type="http://schemas.openxmlformats.org/officeDocument/2006/relationships/hyperlink" Target="https://escuelajudicial.ramajudicial.gov.co/sites/default/files/ABC_SentenciaIA_T323De2024.pdf" TargetMode="External"/><Relationship Id="rId8ctdoiqb1xhsdifyhxzos" Type="http://schemas.openxmlformats.org/officeDocument/2006/relationships/hyperlink" Target="https://escuelajudicial.ramajudicial.gov.co/sites/default/files/Circular37De2024_ABCSentenciaT323IA.pdf" TargetMode="External"/><Relationship Id="rIdxhdyxo3zqe9j15bssqhp2" Type="http://schemas.openxmlformats.org/officeDocument/2006/relationships/hyperlink" Target="https://www.ramajudicial.gov.co/documents/164295699/174277484/DocumentoTecnico_LineamientosUsoIARamaJudicial_13122024_Vrev.pdf" TargetMode="External"/><Relationship Id="rId_9ghfe_6gnouydm_ejq8p" Type="http://schemas.openxmlformats.org/officeDocument/2006/relationships/hyperlink" Target="https://cortesuprema.gov.co" TargetMode="External"/><Relationship Id="rIdihghioyusaa7kcw5svsgd" Type="http://schemas.openxmlformats.org/officeDocument/2006/relationships/hyperlink" Target="https://www.uexternado.edu.co/derecho/el-externado-analiza-el-uso-de-la-inteligencia-artificial-en-la-justicia-colombiana/" TargetMode="External"/><Relationship Id="rIdgjbito0-ktux4j9ndtb12" Type="http://schemas.openxmlformats.org/officeDocument/2006/relationships/hyperlink" Target="https://www.corteconstitucional.gov.co/relatoria/2019/C-224-19.htm" TargetMode="External"/><Relationship Id="rIdftl6vgmdab6aedit99qqp" Type="http://schemas.openxmlformats.org/officeDocument/2006/relationships/hyperlink" Target="https://www.secretariasenado.gov.co/constitucion-politica" TargetMode="External"/><Relationship Id="rIdsexgocy_us8giih-0w_jo" Type="http://schemas.openxmlformats.org/officeDocument/2006/relationships/hyperlink" Target="https://www.secretariasenado.gov.co/senado/basedoc/ley_0527_1999.html" TargetMode="External"/><Relationship Id="rIdt1afaflgygyixqz_vimwa" Type="http://schemas.openxmlformats.org/officeDocument/2006/relationships/hyperlink" Target="https://www.secretariasenado.gov.co/senado/basedoc/ley_1266_2008.html" TargetMode="External"/><Relationship Id="rIdi7bbgrv-sd9pfimy_gcnv" Type="http://schemas.openxmlformats.org/officeDocument/2006/relationships/hyperlink" Target="https://www.secretariasenado.gov.co/senado/basedoc/ley_1273_2009.html" TargetMode="External"/><Relationship Id="rIdgjapyewwce2gqdcpwujo1" Type="http://schemas.openxmlformats.org/officeDocument/2006/relationships/hyperlink" Target="https://www.secretariasenado.gov.co/senado/basedoc/ley_1341_2009.html" TargetMode="External"/><Relationship Id="rIdbsgcajiueltxkzt7htvud" Type="http://schemas.openxmlformats.org/officeDocument/2006/relationships/hyperlink" Target="https://www.secretariasenado.gov.co/senado/basedoc/ley_1581_2012.html" TargetMode="External"/><Relationship Id="rIdkjb9spevrwekypeaj4mhr" Type="http://schemas.openxmlformats.org/officeDocument/2006/relationships/hyperlink" Target="https://www.secretariasenado.gov.co/senado/basedoc/ley_1712_2014.html" TargetMode="External"/><Relationship Id="rIdvktl4hjxnz4ozbicnvdfz" Type="http://schemas.openxmlformats.org/officeDocument/2006/relationships/hyperlink" Target="https://normograma.icfes.gov.co/docs/pdf/ley_1928_2018.pdf" TargetMode="External"/><Relationship Id="rIdf9h7ofwdjbe9jd4appk1_" Type="http://schemas.openxmlformats.org/officeDocument/2006/relationships/hyperlink" Target="https://www.secretariasenado.gov.co/senado/basedoc/ley_2213_2022.html" TargetMode="External"/><Relationship Id="rIdy65owzdnvtbfrwx5mvb1k" Type="http://schemas.openxmlformats.org/officeDocument/2006/relationships/hyperlink" Target="https://www.secretariasenado.gov.co/senado/basedoc/ley_1564_2012.html" TargetMode="External"/><Relationship Id="rIdfzmtu37w7wpf-vdtnouvd" Type="http://schemas.openxmlformats.org/officeDocument/2006/relationships/hyperlink" Target="https://www.sic.gov.co" TargetMode="External"/><Relationship Id="rIdr1a-spj3ekf02u5zuzqcm" Type="http://schemas.openxmlformats.org/officeDocument/2006/relationships/hyperlink" Target="https://www.dnp.gov.co" TargetMode="External"/><Relationship Id="rIdbcr_6-51rtjkatidfbcki" Type="http://schemas.openxmlformats.org/officeDocument/2006/relationships/hyperlink" Target="https://www.secretariasenado.gov.co/senado/basedoc/ley_1123_2007.html" TargetMode="External"/><Relationship Id="rIdr50f_26yx0i5t_ckwin_7" Type="http://schemas.openxmlformats.org/officeDocument/2006/relationships/hyperlink" Target="https://youtu.be/c4UEAZcz4Qc" TargetMode="External"/><Relationship Id="rIdj8-ocudi6ofipxplpen8r" Type="http://schemas.openxmlformats.org/officeDocument/2006/relationships/hyperlink" Target="https://youtu.be/5f0Hu2Ea7SA" TargetMode="External"/><Relationship Id="rIdi_00kive6a2voy38eloev" Type="http://schemas.openxmlformats.org/officeDocument/2006/relationships/hyperlink" Target="https://www.ramajudicial.gov.co/web/utdi/recursos-y-aprendizajes" TargetMode="External"/><Relationship Id="rIdklajc-7d-0j2ixqo3nisp" Type="http://schemas.openxmlformats.org/officeDocument/2006/relationships/hyperlink" Target="https://www.youtube.com/watch?v=dRVePioM5x4" TargetMode="External"/><Relationship Id="rIdari8q8gc3wmjra9ayfl8c" Type="http://schemas.openxmlformats.org/officeDocument/2006/relationships/hyperlink" Target="https://www.uexternado.edu.co/departamento-de-derecho-comunicaciones-y-tecnologias-de-la-informacion/seminarios-web-2026/" TargetMode="External"/><Relationship Id="rId5ee-rbbfvntvoateamccu" Type="http://schemas.openxmlformats.org/officeDocument/2006/relationships/hyperlink" Target="https://derecho.uniandes.edu.co/es/gecti" TargetMode="External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FUENTES.docx</dc:title>
  <dc:creator>Carlos Arturo Ramos Mejía</dc:creator>
  <cp:lastModifiedBy>Un-named</cp:lastModifiedBy>
  <cp:revision>1</cp:revision>
  <dcterms:created xsi:type="dcterms:W3CDTF">2026-10-05T02:46:34.683Z</dcterms:created>
  <dcterms:modified xsi:type="dcterms:W3CDTF">2026-10-05T02:46:34.683Z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