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360"/>
      </w:pPr>
      <w:r>
        <w:t xml:space="preserve">Solucionario del docente: clase integral de Derecho Informático</w:t>
      </w:r>
    </w:p>
    <w:p>
      <w:pPr>
        <w:pStyle w:val="Heading1"/>
        <w:spacing w:after="120" w:before="240"/>
      </w:pPr>
      <w:r>
        <w:t xml:space="preserve">Asignatura Tecnología y Derecho · Programa de Derecho · Universidad Francisco de Paula Santander</w:t>
      </w:r>
    </w:p>
    <w:p>
      <w:pPr>
        <w:spacing w:after="120"/>
        <w:jc w:val="both"/>
      </w:pPr>
      <w:r>
        <w:rPr>
          <w:b/>
          <w:bCs/>
        </w:rPr>
        <w:t xml:space="preserve">Docente:</w:t>
      </w:r>
      <w:r>
        <w:t xml:space="preserve"> Mg. Carlos Arturo Ramos Mejía - Prof. Cátedra UFPS. </w:t>
      </w:r>
      <w:r>
        <w:rPr>
          <w:b/>
          <w:bCs/>
        </w:rPr>
        <w:t xml:space="preserve">Uso:</w:t>
      </w:r>
      <w:r>
        <w:t xml:space="preserve"> documento reservado al docente; no se entrega a los estudiantes. Contiene la respuesta completa y justificada de cada actividad de la clase: la pregunta detonante, el ejercicio relámpago, la actividad del mapa de campos, la ficha de lectura con su guía de lectura, las preguntas del video, la matriz de análisis de la Sentencia T-323 de 2024 con la pregunta de contraste, las preguntas orientadoras (que son el banco de preguntas del programa), los tres minicasos, el quiz y el ticket de salida. Cada respuesta indica dónde aparece la actividad (diapositiva o sección de la guía de trabajo del estudiante).</w:t>
      </w:r>
    </w:p>
    <w:p>
      <w:pPr>
        <w:spacing w:after="120"/>
        <w:jc w:val="both"/>
      </w:pPr>
      <w:r>
        <w:rPr>
          <w:b/>
          <w:bCs/>
        </w:rPr>
        <w:t xml:space="preserve">Estado de verificación.</w:t>
      </w:r>
      <w:r>
        <w:t xml:space="preserve"> Las respuestas sobre la Sentencia T-323 de 2024 y la STC17832-2025 se construyeron con las fuentes que </w:t>
      </w:r>
      <w:r>
        <w:rPr>
          <w:rFonts w:ascii="Consolas" w:cs="Consolas" w:eastAsia="Consolas" w:hAnsi="Consolas"/>
        </w:rPr>
        <w:t xml:space="preserve">FUENTES.md</w:t>
      </w:r>
      <w:r>
        <w:t xml:space="preserve"> marca como «Confirmada por búsqueda» (relatoría, boletín de la Corte, ABC del Consejo Superior de la Judicatura): antes de calificar, cotejar las citas textuales con la relatoría. Las respuestas sobre el libro del GECTI (Uniandes, 2022) se tomaron del PDF abierto y verificado, con página. Las respuestas sobre la lección de Donoso Abarca y Reusser Monsálvez se construyeron a partir del índice confirmado de la lección y de la doctrina estándar, porque el PDF no pudo abrirse desde el entorno de preparación: ajustar las páginas al leerlo. Las respuestas sobre el video se derivan de la sentencia que el ponente explica, porque el video no pudo reproducirse: confirmarlas al verlo.</w:t>
      </w:r>
    </w:p>
    <w:p>
      <w:pPr>
        <w:pStyle w:val="Heading1"/>
        <w:spacing w:after="120" w:before="240"/>
      </w:pPr>
      <w:r>
        <w:t xml:space="preserve">1. Pregunta detonante: «¿Un juez puede preguntarle a ChatGPT?» (diapositiva 2)</w:t>
      </w:r>
    </w:p>
    <w:p>
      <w:pPr>
        <w:spacing w:after="120"/>
        <w:jc w:val="both"/>
      </w:pPr>
      <w:r>
        <w:rPr>
          <w:b/>
          <w:bCs/>
        </w:rPr>
        <w:t xml:space="preserve">Respuesta conforme a la T-323 de 2024: la opción B.</w:t>
      </w:r>
      <w:r>
        <w:t xml:space="preserve"> Sí puede usar la herramienta, pero debe decirlo y verificar lo que la máquina responde, y nunca puede delegarle la decisión.</w:t>
      </w:r>
    </w:p>
    <w:p>
      <w:pPr>
        <w:pStyle w:val="ListParagraph"/>
        <w:numPr>
          <w:ilvl w:val="0"/>
          <w:numId w:val="2"/>
        </w:numPr>
        <w:spacing w:after="60"/>
      </w:pPr>
      <w:r>
        <w:rPr>
          <w:b/>
          <w:bCs/>
        </w:rPr>
        <w:t xml:space="preserve">Por qué no la A</w:t>
      </w:r>
      <w:r>
        <w:t xml:space="preserve"> («es una herramienta más, como un buscador»). La Corte no trató la IA generativa como un buscador neutro: le impuso cargas específicas (transparencia, responsabilidad, privacidad, no sustitución de la racionalidad humana) porque produce texto con apariencia de autoridad que puede contener alucinaciones y porque puede exponer datos del expediente.</w:t>
      </w:r>
    </w:p>
    <w:p>
      <w:pPr>
        <w:pStyle w:val="ListParagraph"/>
        <w:numPr>
          <w:ilvl w:val="0"/>
          <w:numId w:val="2"/>
        </w:numPr>
        <w:spacing w:after="60"/>
      </w:pPr>
      <w:r>
        <w:rPr>
          <w:b/>
          <w:bCs/>
        </w:rPr>
        <w:t xml:space="preserve">Por qué no la C</w:t>
      </w:r>
      <w:r>
        <w:t xml:space="preserve"> («la decisión judicial no admite intermediarios automáticos»). Acierta en que la decisión no puede ser de la máquina (si la IA decidiera sin valoración del juez, la providencia sería inválida), pero se equivoca al prohibir todo uso: la Corte admitió el uso razonable y ponderado como apoyo y declaró que en el caso concreto no hubo usurpación de la función judicial ni violación del debido proceso, porque el juez ya había motivado y adoptado la decisión antes de consultar a ChatGPT.</w:t>
      </w:r>
    </w:p>
    <w:p>
      <w:pPr>
        <w:pStyle w:val="ListParagraph"/>
        <w:numPr>
          <w:ilvl w:val="0"/>
          <w:numId w:val="2"/>
        </w:numPr>
        <w:spacing w:after="60"/>
      </w:pPr>
      <w:r>
        <w:rPr>
          <w:b/>
          <w:bCs/>
        </w:rPr>
        <w:t xml:space="preserve">Cómo cerrar la clase con ella.</w:t>
      </w:r>
      <w:r>
        <w:t xml:space="preserve"> Volver al conteo del tablero y preguntar quién cambió de opinión. La respuesta esperada tras el taller es que la mayoría se mueva hacia B y que quienes defendían C precisen su posición: lo indelegable es la decisión, no el uso.</w:t>
      </w:r>
    </w:p>
    <w:p>
      <w:pPr>
        <w:pStyle w:val="Heading1"/>
        <w:spacing w:after="120" w:before="240"/>
      </w:pPr>
      <w:r>
        <w:t xml:space="preserve">2. Ejercicio relámpago (diapositiva 7; claves resumidas en las notas del orador)</w:t>
      </w:r>
    </w:p>
    <w:p>
      <w:pPr>
        <w:spacing w:after="120"/>
        <w:jc w:val="both"/>
      </w:pPr>
      <w:r>
        <w:t xml:space="preserve">Consigna: clasificar cada situación en Derecho Informático (DI), informática jurídica (IJ) o Derecho de las telecomunicaciones (DT). Una situación cae en dos casillas.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A5F" w:color="auto" w:val="clear"/>
            <w:tcMar>
              <w:top w:type="dxa" w:w="60"/>
              <w:left w:type="dxa" w:w="100"/>
              <w:bottom w:type="dxa" w:w="60"/>
              <w:right w:type="dxa" w:w="100"/>
            </w:tcMar>
          </w:tcPr>
          <w:p>
            <w:pPr>
              <w:spacing w:after="0"/>
            </w:pPr>
            <w:r>
              <w:rPr>
                <w:b/>
                <w:bCs/>
                <w:color w:val="FFFFFF"/>
                <w:sz w:val="18"/>
                <w:szCs w:val="18"/>
              </w:rPr>
              <w:t xml:space="preserve">N.º</w:t>
            </w:r>
          </w:p>
        </w:tc>
        <w:tc>
          <w:tcPr>
            <w:tcW w:type="dxa" w:w="2340"/>
            <w:shd w:fill="1F3A5F" w:color="auto" w:val="clear"/>
            <w:tcMar>
              <w:top w:type="dxa" w:w="60"/>
              <w:left w:type="dxa" w:w="100"/>
              <w:bottom w:type="dxa" w:w="60"/>
              <w:right w:type="dxa" w:w="100"/>
            </w:tcMar>
          </w:tcPr>
          <w:p>
            <w:pPr>
              <w:spacing w:after="0"/>
            </w:pPr>
            <w:r>
              <w:rPr>
                <w:b/>
                <w:bCs/>
                <w:color w:val="FFFFFF"/>
                <w:sz w:val="18"/>
                <w:szCs w:val="18"/>
              </w:rPr>
              <w:t xml:space="preserve">Situación</w:t>
            </w:r>
          </w:p>
        </w:tc>
        <w:tc>
          <w:tcPr>
            <w:tcW w:type="dxa" w:w="2340"/>
            <w:shd w:fill="1F3A5F" w:color="auto" w:val="clear"/>
            <w:tcMar>
              <w:top w:type="dxa" w:w="60"/>
              <w:left w:type="dxa" w:w="100"/>
              <w:bottom w:type="dxa" w:w="60"/>
              <w:right w:type="dxa" w:w="100"/>
            </w:tcMar>
          </w:tcPr>
          <w:p>
            <w:pPr>
              <w:spacing w:after="0"/>
            </w:pPr>
            <w:r>
              <w:rPr>
                <w:b/>
                <w:bCs/>
                <w:color w:val="FFFFFF"/>
                <w:sz w:val="18"/>
                <w:szCs w:val="18"/>
              </w:rPr>
              <w:t xml:space="preserve">Respuesta</w:t>
            </w:r>
          </w:p>
        </w:tc>
        <w:tc>
          <w:tcPr>
            <w:tcW w:type="dxa" w:w="2340"/>
            <w:shd w:fill="1F3A5F" w:color="auto" w:val="clear"/>
            <w:tcMar>
              <w:top w:type="dxa" w:w="60"/>
              <w:left w:type="dxa" w:w="100"/>
              <w:bottom w:type="dxa" w:w="60"/>
              <w:right w:type="dxa" w:w="100"/>
            </w:tcMar>
          </w:tcPr>
          <w:p>
            <w:pPr>
              <w:spacing w:after="0"/>
            </w:pPr>
            <w:r>
              <w:rPr>
                <w:b/>
                <w:bCs/>
                <w:color w:val="FFFFFF"/>
                <w:sz w:val="18"/>
                <w:szCs w:val="18"/>
              </w:rPr>
              <w:t xml:space="preserve">Justificación</w:t>
            </w:r>
          </w:p>
        </w:tc>
      </w:tr>
      <w:tr>
        <w:trPr>
          <w:tblHeader w:val="off"/>
        </w:trPr>
        <w:tc>
          <w:tcPr>
            <w:tcW w:type="dxa" w:w="2340"/>
            <w:tcMar>
              <w:top w:type="dxa" w:w="60"/>
              <w:left w:type="dxa" w:w="100"/>
              <w:bottom w:type="dxa" w:w="60"/>
              <w:right w:type="dxa" w:w="100"/>
            </w:tcMar>
          </w:tcPr>
          <w:p>
            <w:pPr>
              <w:spacing w:after="0"/>
            </w:pPr>
            <w:r>
              <w:rPr>
                <w:sz w:val="18"/>
                <w:szCs w:val="18"/>
              </w:rPr>
              <w:t xml:space="preserve">1</w:t>
            </w:r>
          </w:p>
        </w:tc>
        <w:tc>
          <w:tcPr>
            <w:tcW w:type="dxa" w:w="2340"/>
            <w:tcMar>
              <w:top w:type="dxa" w:w="60"/>
              <w:left w:type="dxa" w:w="100"/>
              <w:bottom w:type="dxa" w:w="60"/>
              <w:right w:type="dxa" w:w="100"/>
            </w:tcMar>
          </w:tcPr>
          <w:p>
            <w:pPr>
              <w:spacing w:after="0"/>
            </w:pPr>
            <w:r>
              <w:rPr>
                <w:sz w:val="18"/>
                <w:szCs w:val="18"/>
              </w:rPr>
              <w:t xml:space="preserve">Un juzgado adopta un software para programar audiencias</w:t>
            </w:r>
          </w:p>
        </w:tc>
        <w:tc>
          <w:tcPr>
            <w:tcW w:type="dxa" w:w="2340"/>
            <w:tcMar>
              <w:top w:type="dxa" w:w="60"/>
              <w:left w:type="dxa" w:w="100"/>
              <w:bottom w:type="dxa" w:w="60"/>
              <w:right w:type="dxa" w:w="100"/>
            </w:tcMar>
          </w:tcPr>
          <w:p>
            <w:pPr>
              <w:spacing w:after="0"/>
            </w:pPr>
            <w:r>
              <w:rPr>
                <w:b/>
                <w:bCs/>
                <w:sz w:val="18"/>
                <w:szCs w:val="18"/>
              </w:rPr>
              <w:t xml:space="preserve">IJ</w:t>
            </w:r>
            <w:r>
              <w:rPr>
                <w:sz w:val="18"/>
                <w:szCs w:val="18"/>
              </w:rPr>
              <w:t xml:space="preserve"> (de gestión)</w:t>
            </w:r>
          </w:p>
        </w:tc>
        <w:tc>
          <w:tcPr>
            <w:tcW w:type="dxa" w:w="2340"/>
            <w:tcMar>
              <w:top w:type="dxa" w:w="60"/>
              <w:left w:type="dxa" w:w="100"/>
              <w:bottom w:type="dxa" w:w="60"/>
              <w:right w:type="dxa" w:w="100"/>
            </w:tcMar>
          </w:tcPr>
          <w:p>
            <w:pPr>
              <w:spacing w:after="0"/>
            </w:pPr>
            <w:r>
              <w:rPr>
                <w:sz w:val="18"/>
                <w:szCs w:val="18"/>
              </w:rPr>
              <w:t xml:space="preserve">La informática es herramienta del despacho, no objeto de regulación. Si el sistema trata datos personales de las partes o se enmarca en la justicia digital (Ley 2213 de 2022), aparecen normas de DI, pero el núcleo de la situación es informática jurídica de gestión y control.</w:t>
            </w:r>
          </w:p>
        </w:tc>
      </w:tr>
      <w:tr>
        <w:trPr>
          <w:tblHeader w:val="off"/>
        </w:trPr>
        <w:tc>
          <w:tcPr>
            <w:tcW w:type="dxa" w:w="2340"/>
            <w:shd w:fill="EEF3F8" w:color="auto" w:val="clear"/>
            <w:tcMar>
              <w:top w:type="dxa" w:w="60"/>
              <w:left w:type="dxa" w:w="100"/>
              <w:bottom w:type="dxa" w:w="60"/>
              <w:right w:type="dxa" w:w="100"/>
            </w:tcMar>
          </w:tcPr>
          <w:p>
            <w:pPr>
              <w:spacing w:after="0"/>
            </w:pPr>
            <w:r>
              <w:rPr>
                <w:sz w:val="18"/>
                <w:szCs w:val="18"/>
              </w:rPr>
              <w:t xml:space="preserve">2</w:t>
            </w:r>
          </w:p>
        </w:tc>
        <w:tc>
          <w:tcPr>
            <w:tcW w:type="dxa" w:w="2340"/>
            <w:shd w:fill="EEF3F8" w:color="auto" w:val="clear"/>
            <w:tcMar>
              <w:top w:type="dxa" w:w="60"/>
              <w:left w:type="dxa" w:w="100"/>
              <w:bottom w:type="dxa" w:w="60"/>
              <w:right w:type="dxa" w:w="100"/>
            </w:tcMar>
          </w:tcPr>
          <w:p>
            <w:pPr>
              <w:spacing w:after="0"/>
            </w:pPr>
            <w:r>
              <w:rPr>
                <w:sz w:val="18"/>
                <w:szCs w:val="18"/>
              </w:rPr>
              <w:t xml:space="preserve">La SIC sanciona a una empresa por enviar publicidad sin autorización del titular del dato</w:t>
            </w:r>
          </w:p>
        </w:tc>
        <w:tc>
          <w:tcPr>
            <w:tcW w:type="dxa" w:w="2340"/>
            <w:shd w:fill="EEF3F8" w:color="auto" w:val="clear"/>
            <w:tcMar>
              <w:top w:type="dxa" w:w="60"/>
              <w:left w:type="dxa" w:w="100"/>
              <w:bottom w:type="dxa" w:w="60"/>
              <w:right w:type="dxa" w:w="100"/>
            </w:tcMar>
          </w:tcPr>
          <w:p>
            <w:pPr>
              <w:spacing w:after="0"/>
            </w:pPr>
            <w:r>
              <w:rPr>
                <w:b/>
                <w:bCs/>
                <w:sz w:val="18"/>
                <w:szCs w:val="18"/>
              </w:rPr>
              <w:t xml:space="preserve">DI</w:t>
            </w:r>
          </w:p>
        </w:tc>
        <w:tc>
          <w:tcPr>
            <w:tcW w:type="dxa" w:w="2340"/>
            <w:shd w:fill="EEF3F8" w:color="auto" w:val="clear"/>
            <w:tcMar>
              <w:top w:type="dxa" w:w="60"/>
              <w:left w:type="dxa" w:w="100"/>
              <w:bottom w:type="dxa" w:w="60"/>
              <w:right w:type="dxa" w:w="100"/>
            </w:tcMar>
          </w:tcPr>
          <w:p>
            <w:pPr>
              <w:spacing w:after="0"/>
            </w:pPr>
            <w:r>
              <w:rPr>
                <w:sz w:val="18"/>
                <w:szCs w:val="18"/>
              </w:rPr>
              <w:t xml:space="preserve">Protección de datos personales: el tratamiento exige autorización previa, expresa e informada (Ley 1581 de 2012, art. 4 literal c y art. 9); la Delegatura para la Protección de Datos Personales de la SIC es la autoridad (art. 19). La informática es aquí el objeto regulado.</w:t>
            </w:r>
          </w:p>
        </w:tc>
      </w:tr>
      <w:tr>
        <w:trPr>
          <w:tblHeader w:val="off"/>
        </w:trPr>
        <w:tc>
          <w:tcPr>
            <w:tcW w:type="dxa" w:w="2340"/>
            <w:tcMar>
              <w:top w:type="dxa" w:w="60"/>
              <w:left w:type="dxa" w:w="100"/>
              <w:bottom w:type="dxa" w:w="60"/>
              <w:right w:type="dxa" w:w="100"/>
            </w:tcMar>
          </w:tcPr>
          <w:p>
            <w:pPr>
              <w:spacing w:after="0"/>
            </w:pPr>
            <w:r>
              <w:rPr>
                <w:sz w:val="18"/>
                <w:szCs w:val="18"/>
              </w:rPr>
              <w:t xml:space="preserve">3</w:t>
            </w:r>
          </w:p>
        </w:tc>
        <w:tc>
          <w:tcPr>
            <w:tcW w:type="dxa" w:w="2340"/>
            <w:tcMar>
              <w:top w:type="dxa" w:w="60"/>
              <w:left w:type="dxa" w:w="100"/>
              <w:bottom w:type="dxa" w:w="60"/>
              <w:right w:type="dxa" w:w="100"/>
            </w:tcMar>
          </w:tcPr>
          <w:p>
            <w:pPr>
              <w:spacing w:after="0"/>
            </w:pPr>
            <w:r>
              <w:rPr>
                <w:sz w:val="18"/>
                <w:szCs w:val="18"/>
              </w:rPr>
              <w:t xml:space="preserve">La CRC fija condiciones de calidad para el servicio de internet móvil</w:t>
            </w:r>
          </w:p>
        </w:tc>
        <w:tc>
          <w:tcPr>
            <w:tcW w:type="dxa" w:w="2340"/>
            <w:tcMar>
              <w:top w:type="dxa" w:w="60"/>
              <w:left w:type="dxa" w:w="100"/>
              <w:bottom w:type="dxa" w:w="60"/>
              <w:right w:type="dxa" w:w="100"/>
            </w:tcMar>
          </w:tcPr>
          <w:p>
            <w:pPr>
              <w:spacing w:after="0"/>
            </w:pPr>
            <w:r>
              <w:rPr>
                <w:b/>
                <w:bCs/>
                <w:sz w:val="18"/>
                <w:szCs w:val="18"/>
              </w:rPr>
              <w:t xml:space="preserve">DT</w:t>
            </w:r>
          </w:p>
        </w:tc>
        <w:tc>
          <w:tcPr>
            <w:tcW w:type="dxa" w:w="2340"/>
            <w:tcMar>
              <w:top w:type="dxa" w:w="60"/>
              <w:left w:type="dxa" w:w="100"/>
              <w:bottom w:type="dxa" w:w="60"/>
              <w:right w:type="dxa" w:w="100"/>
            </w:tcMar>
          </w:tcPr>
          <w:p>
            <w:pPr>
              <w:spacing w:after="0"/>
            </w:pPr>
            <w:r>
              <w:rPr>
                <w:sz w:val="18"/>
                <w:szCs w:val="18"/>
              </w:rPr>
              <w:t xml:space="preserve">Regulación de la infraestructura y los servicios de transmisión: Ley 1341 de 2009 (funciones de la CRC, art. 22). Solo si la condición tocara los datos de los usuarios habría una intersección con DI.</w:t>
            </w:r>
          </w:p>
        </w:tc>
      </w:tr>
      <w:tr>
        <w:trPr>
          <w:tblHeader w:val="off"/>
        </w:trPr>
        <w:tc>
          <w:tcPr>
            <w:tcW w:type="dxa" w:w="2340"/>
            <w:shd w:fill="EEF3F8" w:color="auto" w:val="clear"/>
            <w:tcMar>
              <w:top w:type="dxa" w:w="60"/>
              <w:left w:type="dxa" w:w="100"/>
              <w:bottom w:type="dxa" w:w="60"/>
              <w:right w:type="dxa" w:w="100"/>
            </w:tcMar>
          </w:tcPr>
          <w:p>
            <w:pPr>
              <w:spacing w:after="0"/>
            </w:pPr>
            <w:r>
              <w:rPr>
                <w:sz w:val="18"/>
                <w:szCs w:val="18"/>
              </w:rPr>
              <w:t xml:space="preserve">4</w:t>
            </w:r>
          </w:p>
        </w:tc>
        <w:tc>
          <w:tcPr>
            <w:tcW w:type="dxa" w:w="2340"/>
            <w:shd w:fill="EEF3F8" w:color="auto" w:val="clear"/>
            <w:tcMar>
              <w:top w:type="dxa" w:w="60"/>
              <w:left w:type="dxa" w:w="100"/>
              <w:bottom w:type="dxa" w:w="60"/>
              <w:right w:type="dxa" w:w="100"/>
            </w:tcMar>
          </w:tcPr>
          <w:p>
            <w:pPr>
              <w:spacing w:after="0"/>
            </w:pPr>
            <w:r>
              <w:rPr>
                <w:sz w:val="18"/>
                <w:szCs w:val="18"/>
              </w:rPr>
              <w:t xml:space="preserve">Un abogado aporta como prueba una conversación de WhatsApp</w:t>
            </w:r>
          </w:p>
        </w:tc>
        <w:tc>
          <w:tcPr>
            <w:tcW w:type="dxa" w:w="2340"/>
            <w:shd w:fill="EEF3F8" w:color="auto" w:val="clear"/>
            <w:tcMar>
              <w:top w:type="dxa" w:w="60"/>
              <w:left w:type="dxa" w:w="100"/>
              <w:bottom w:type="dxa" w:w="60"/>
              <w:right w:type="dxa" w:w="100"/>
            </w:tcMar>
          </w:tcPr>
          <w:p>
            <w:pPr>
              <w:spacing w:after="0"/>
            </w:pPr>
            <w:r>
              <w:rPr>
                <w:b/>
                <w:bCs/>
                <w:sz w:val="18"/>
                <w:szCs w:val="18"/>
              </w:rPr>
              <w:t xml:space="preserve">DI</w:t>
            </w:r>
          </w:p>
        </w:tc>
        <w:tc>
          <w:tcPr>
            <w:tcW w:type="dxa" w:w="2340"/>
            <w:shd w:fill="EEF3F8" w:color="auto" w:val="clear"/>
            <w:tcMar>
              <w:top w:type="dxa" w:w="60"/>
              <w:left w:type="dxa" w:w="100"/>
              <w:bottom w:type="dxa" w:w="60"/>
              <w:right w:type="dxa" w:w="100"/>
            </w:tcMar>
          </w:tcPr>
          <w:p>
            <w:pPr>
              <w:spacing w:after="0"/>
            </w:pPr>
            <w:r>
              <w:rPr>
                <w:sz w:val="18"/>
                <w:szCs w:val="18"/>
              </w:rPr>
              <w:t xml:space="preserve">Prueba electrónica: la conversación es un mensaje de datos con reconocimiento jurídico (Ley 527 de 1999, arts. 5, 10 y 11) que se valora según el art. 247 del CGP (aportarla en el formato en que se generó o en uno que la reproduzca con exactitud; la simple impresión se valora como documento). La discusión sobre autenticidad e integridad es la del derecho probatorio aplicado a la informática.</w:t>
            </w:r>
          </w:p>
        </w:tc>
      </w:tr>
      <w:tr>
        <w:trPr>
          <w:tblHeader w:val="off"/>
        </w:trPr>
        <w:tc>
          <w:tcPr>
            <w:tcW w:type="dxa" w:w="2340"/>
            <w:tcMar>
              <w:top w:type="dxa" w:w="60"/>
              <w:left w:type="dxa" w:w="100"/>
              <w:bottom w:type="dxa" w:w="60"/>
              <w:right w:type="dxa" w:w="100"/>
            </w:tcMar>
          </w:tcPr>
          <w:p>
            <w:pPr>
              <w:spacing w:after="0"/>
            </w:pPr>
            <w:r>
              <w:rPr>
                <w:sz w:val="18"/>
                <w:szCs w:val="18"/>
              </w:rPr>
              <w:t xml:space="preserve">5</w:t>
            </w:r>
          </w:p>
        </w:tc>
        <w:tc>
          <w:tcPr>
            <w:tcW w:type="dxa" w:w="2340"/>
            <w:tcMar>
              <w:top w:type="dxa" w:w="60"/>
              <w:left w:type="dxa" w:w="100"/>
              <w:bottom w:type="dxa" w:w="60"/>
              <w:right w:type="dxa" w:w="100"/>
            </w:tcMar>
          </w:tcPr>
          <w:p>
            <w:pPr>
              <w:spacing w:after="0"/>
            </w:pPr>
            <w:r>
              <w:rPr>
                <w:sz w:val="18"/>
                <w:szCs w:val="18"/>
              </w:rPr>
              <w:t xml:space="preserve">Un estudiante usa una IA para redactar una tutela y cita una sentencia que no existe</w:t>
            </w:r>
          </w:p>
        </w:tc>
        <w:tc>
          <w:tcPr>
            <w:tcW w:type="dxa" w:w="2340"/>
            <w:tcMar>
              <w:top w:type="dxa" w:w="60"/>
              <w:left w:type="dxa" w:w="100"/>
              <w:bottom w:type="dxa" w:w="60"/>
              <w:right w:type="dxa" w:w="100"/>
            </w:tcMar>
          </w:tcPr>
          <w:p>
            <w:pPr>
              <w:spacing w:after="0"/>
            </w:pPr>
            <w:r>
              <w:rPr>
                <w:b/>
                <w:bCs/>
                <w:sz w:val="18"/>
                <w:szCs w:val="18"/>
              </w:rPr>
              <w:t xml:space="preserve">IJ y DI</w:t>
            </w:r>
            <w:r>
              <w:rPr>
                <w:sz w:val="18"/>
                <w:szCs w:val="18"/>
              </w:rPr>
              <w:t xml:space="preserve"> (las dos casillas)</w:t>
            </w:r>
          </w:p>
        </w:tc>
        <w:tc>
          <w:tcPr>
            <w:tcW w:type="dxa" w:w="2340"/>
            <w:tcMar>
              <w:top w:type="dxa" w:w="60"/>
              <w:left w:type="dxa" w:w="100"/>
              <w:bottom w:type="dxa" w:w="60"/>
              <w:right w:type="dxa" w:w="100"/>
            </w:tcMar>
          </w:tcPr>
          <w:p>
            <w:pPr>
              <w:spacing w:after="0"/>
            </w:pPr>
            <w:r>
              <w:rPr>
                <w:sz w:val="18"/>
                <w:szCs w:val="18"/>
              </w:rPr>
              <w:t xml:space="preserve">Como herramienta de redacción y búsqueda la IA es informática jurídica (decisional o documental). El problema que genera (cita inexistente, deberes de lealtad y verificación del abogado, estándar de la T-323 de 2024 y de la STC17832-2025) es objeto del Derecho Informático. Es la situación que muestra el cruce de la regla de tres.</w:t>
            </w:r>
          </w:p>
        </w:tc>
      </w:tr>
    </w:tbl>
    <w:p>
      <w:pPr>
        <w:spacing w:after="60"/>
      </w:pPr>
    </w:p>
    <w:p>
      <w:pPr>
        <w:spacing w:after="120"/>
        <w:jc w:val="both"/>
      </w:pPr>
      <w:r>
        <w:rPr>
          <w:b/>
          <w:bCs/>
        </w:rPr>
        <w:t xml:space="preserve">Cómo calificar en sala.</w:t>
      </w:r>
      <w:r>
        <w:t xml:space="preserve"> No se califica; sirve para diagnosticar. Si varios grupos ponen DI en la situación 1, retomar la regla de tres: la misma herramienta puede ser objeto de regulación (DI) cuando la norma la toma como objeto, pero la adopción de un software de agenda es, ante todo, informática al servicio del despacho.</w:t>
      </w:r>
    </w:p>
    <w:p>
      <w:pPr>
        <w:pStyle w:val="Heading1"/>
        <w:spacing w:after="120" w:before="240"/>
      </w:pPr>
      <w:r>
        <w:t xml:space="preserve">3. Actividad del mapa de campos (diapositiva 15)</w:t>
      </w:r>
    </w:p>
    <w:p>
      <w:pPr>
        <w:spacing w:after="120"/>
        <w:jc w:val="both"/>
      </w:pPr>
      <w:r>
        <w:t xml:space="preserve">Consigna: cada grupo recibe un campo y escribe, sin mirar la tabla, la pregunta que ese campo responde. Respuestas esperadas (se aceptan formulaciones equivalentes que capturen el mismo bien jurídico):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A5F" w:color="auto" w:val="clear"/>
            <w:tcMar>
              <w:top w:type="dxa" w:w="60"/>
              <w:left w:type="dxa" w:w="100"/>
              <w:bottom w:type="dxa" w:w="60"/>
              <w:right w:type="dxa" w:w="100"/>
            </w:tcMar>
          </w:tcPr>
          <w:p>
            <w:pPr>
              <w:spacing w:after="0"/>
            </w:pPr>
            <w:r>
              <w:rPr>
                <w:b/>
                <w:bCs/>
                <w:color w:val="FFFFFF"/>
                <w:sz w:val="18"/>
                <w:szCs w:val="18"/>
              </w:rPr>
              <w:t xml:space="preserve">Campo</w:t>
            </w:r>
          </w:p>
        </w:tc>
        <w:tc>
          <w:tcPr>
            <w:tcW w:type="dxa" w:w="3120"/>
            <w:shd w:fill="1F3A5F" w:color="auto" w:val="clear"/>
            <w:tcMar>
              <w:top w:type="dxa" w:w="60"/>
              <w:left w:type="dxa" w:w="100"/>
              <w:bottom w:type="dxa" w:w="60"/>
              <w:right w:type="dxa" w:w="100"/>
            </w:tcMar>
          </w:tcPr>
          <w:p>
            <w:pPr>
              <w:spacing w:after="0"/>
            </w:pPr>
            <w:r>
              <w:rPr>
                <w:b/>
                <w:bCs/>
                <w:color w:val="FFFFFF"/>
                <w:sz w:val="18"/>
                <w:szCs w:val="18"/>
              </w:rPr>
              <w:t xml:space="preserve">Pregunta que responde</w:t>
            </w:r>
          </w:p>
        </w:tc>
        <w:tc>
          <w:tcPr>
            <w:tcW w:type="dxa" w:w="3120"/>
            <w:shd w:fill="1F3A5F" w:color="auto" w:val="clear"/>
            <w:tcMar>
              <w:top w:type="dxa" w:w="60"/>
              <w:left w:type="dxa" w:w="100"/>
              <w:bottom w:type="dxa" w:w="60"/>
              <w:right w:type="dxa" w:w="100"/>
            </w:tcMar>
          </w:tcPr>
          <w:p>
            <w:pPr>
              <w:spacing w:after="0"/>
            </w:pPr>
            <w:r>
              <w:rPr>
                <w:b/>
                <w:bCs/>
                <w:color w:val="FFFFFF"/>
                <w:sz w:val="18"/>
                <w:szCs w:val="18"/>
              </w:rPr>
              <w:t xml:space="preserve">Norma de cabecera que debe aparecer en la puesta en común</w:t>
            </w:r>
          </w:p>
        </w:tc>
      </w:tr>
      <w:tr>
        <w:trPr>
          <w:tblHeader w:val="off"/>
        </w:trPr>
        <w:tc>
          <w:tcPr>
            <w:tcW w:type="dxa" w:w="3120"/>
            <w:tcMar>
              <w:top w:type="dxa" w:w="60"/>
              <w:left w:type="dxa" w:w="100"/>
              <w:bottom w:type="dxa" w:w="60"/>
              <w:right w:type="dxa" w:w="100"/>
            </w:tcMar>
          </w:tcPr>
          <w:p>
            <w:pPr>
              <w:spacing w:after="0"/>
            </w:pPr>
            <w:r>
              <w:rPr>
                <w:sz w:val="18"/>
                <w:szCs w:val="18"/>
              </w:rPr>
              <w:t xml:space="preserve">Datos personales y habeas data</w:t>
            </w:r>
          </w:p>
        </w:tc>
        <w:tc>
          <w:tcPr>
            <w:tcW w:type="dxa" w:w="3120"/>
            <w:tcMar>
              <w:top w:type="dxa" w:w="60"/>
              <w:left w:type="dxa" w:w="100"/>
              <w:bottom w:type="dxa" w:w="60"/>
              <w:right w:type="dxa" w:w="100"/>
            </w:tcMar>
          </w:tcPr>
          <w:p>
            <w:pPr>
              <w:spacing w:after="0"/>
            </w:pPr>
            <w:r>
              <w:rPr>
                <w:sz w:val="18"/>
                <w:szCs w:val="18"/>
              </w:rPr>
              <w:t xml:space="preserve">¿Quién controla la información sobre mí y qué puedo hacer con ella?</w:t>
            </w:r>
          </w:p>
        </w:tc>
        <w:tc>
          <w:tcPr>
            <w:tcW w:type="dxa" w:w="3120"/>
            <w:tcMar>
              <w:top w:type="dxa" w:w="60"/>
              <w:left w:type="dxa" w:w="100"/>
              <w:bottom w:type="dxa" w:w="60"/>
              <w:right w:type="dxa" w:w="100"/>
            </w:tcMar>
          </w:tcPr>
          <w:p>
            <w:pPr>
              <w:spacing w:after="0"/>
            </w:pPr>
            <w:r>
              <w:rPr>
                <w:sz w:val="18"/>
                <w:szCs w:val="18"/>
              </w:rPr>
              <w:t xml:space="preserve">Art. 15 C.P.; Ley 1266 de 2008; Ley 1581 de 2012</w:t>
            </w:r>
          </w:p>
        </w:tc>
      </w:tr>
      <w:tr>
        <w:trPr>
          <w:tblHeader w:val="off"/>
        </w:trPr>
        <w:tc>
          <w:tcPr>
            <w:tcW w:type="dxa" w:w="3120"/>
            <w:shd w:fill="EEF3F8" w:color="auto" w:val="clear"/>
            <w:tcMar>
              <w:top w:type="dxa" w:w="60"/>
              <w:left w:type="dxa" w:w="100"/>
              <w:bottom w:type="dxa" w:w="60"/>
              <w:right w:type="dxa" w:w="100"/>
            </w:tcMar>
          </w:tcPr>
          <w:p>
            <w:pPr>
              <w:spacing w:after="0"/>
            </w:pPr>
            <w:r>
              <w:rPr>
                <w:sz w:val="18"/>
                <w:szCs w:val="18"/>
              </w:rPr>
              <w:t xml:space="preserve">Comercio electrónico y contratación</w:t>
            </w:r>
          </w:p>
        </w:tc>
        <w:tc>
          <w:tcPr>
            <w:tcW w:type="dxa" w:w="3120"/>
            <w:shd w:fill="EEF3F8" w:color="auto" w:val="clear"/>
            <w:tcMar>
              <w:top w:type="dxa" w:w="60"/>
              <w:left w:type="dxa" w:w="100"/>
              <w:bottom w:type="dxa" w:w="60"/>
              <w:right w:type="dxa" w:w="100"/>
            </w:tcMar>
          </w:tcPr>
          <w:p>
            <w:pPr>
              <w:spacing w:after="0"/>
            </w:pPr>
            <w:r>
              <w:rPr>
                <w:sz w:val="18"/>
                <w:szCs w:val="18"/>
              </w:rPr>
              <w:t xml:space="preserve">¿Vale lo que pacto por medios electrónicos y cómo pruebo que lo pacté?</w:t>
            </w:r>
          </w:p>
        </w:tc>
        <w:tc>
          <w:tcPr>
            <w:tcW w:type="dxa" w:w="3120"/>
            <w:shd w:fill="EEF3F8" w:color="auto" w:val="clear"/>
            <w:tcMar>
              <w:top w:type="dxa" w:w="60"/>
              <w:left w:type="dxa" w:w="100"/>
              <w:bottom w:type="dxa" w:w="60"/>
              <w:right w:type="dxa" w:w="100"/>
            </w:tcMar>
          </w:tcPr>
          <w:p>
            <w:pPr>
              <w:spacing w:after="0"/>
            </w:pPr>
            <w:r>
              <w:rPr>
                <w:sz w:val="18"/>
                <w:szCs w:val="18"/>
              </w:rPr>
              <w:t xml:space="preserve">Ley 527 de 1999</w:t>
            </w:r>
          </w:p>
        </w:tc>
      </w:tr>
      <w:tr>
        <w:trPr>
          <w:tblHeader w:val="off"/>
        </w:trPr>
        <w:tc>
          <w:tcPr>
            <w:tcW w:type="dxa" w:w="3120"/>
            <w:tcMar>
              <w:top w:type="dxa" w:w="60"/>
              <w:left w:type="dxa" w:w="100"/>
              <w:bottom w:type="dxa" w:w="60"/>
              <w:right w:type="dxa" w:w="100"/>
            </w:tcMar>
          </w:tcPr>
          <w:p>
            <w:pPr>
              <w:spacing w:after="0"/>
            </w:pPr>
            <w:r>
              <w:rPr>
                <w:sz w:val="18"/>
                <w:szCs w:val="18"/>
              </w:rPr>
              <w:t xml:space="preserve">Prueba electrónica</w:t>
            </w:r>
          </w:p>
        </w:tc>
        <w:tc>
          <w:tcPr>
            <w:tcW w:type="dxa" w:w="3120"/>
            <w:tcMar>
              <w:top w:type="dxa" w:w="60"/>
              <w:left w:type="dxa" w:w="100"/>
              <w:bottom w:type="dxa" w:w="60"/>
              <w:right w:type="dxa" w:w="100"/>
            </w:tcMar>
          </w:tcPr>
          <w:p>
            <w:pPr>
              <w:spacing w:after="0"/>
            </w:pPr>
            <w:r>
              <w:rPr>
                <w:sz w:val="18"/>
                <w:szCs w:val="18"/>
              </w:rPr>
              <w:t xml:space="preserve">¿Cómo se aporta, se autentica y se valora un mensaje de datos en un proceso?</w:t>
            </w:r>
          </w:p>
        </w:tc>
        <w:tc>
          <w:tcPr>
            <w:tcW w:type="dxa" w:w="3120"/>
            <w:tcMar>
              <w:top w:type="dxa" w:w="60"/>
              <w:left w:type="dxa" w:w="100"/>
              <w:bottom w:type="dxa" w:w="60"/>
              <w:right w:type="dxa" w:w="100"/>
            </w:tcMar>
          </w:tcPr>
          <w:p>
            <w:pPr>
              <w:spacing w:after="0"/>
            </w:pPr>
            <w:r>
              <w:rPr>
                <w:sz w:val="18"/>
                <w:szCs w:val="18"/>
              </w:rPr>
              <w:t xml:space="preserve">Ley 527, arts. 10 y 11; CGP, art. 247</w:t>
            </w:r>
          </w:p>
        </w:tc>
      </w:tr>
      <w:tr>
        <w:trPr>
          <w:tblHeader w:val="off"/>
        </w:trPr>
        <w:tc>
          <w:tcPr>
            <w:tcW w:type="dxa" w:w="3120"/>
            <w:shd w:fill="EEF3F8" w:color="auto" w:val="clear"/>
            <w:tcMar>
              <w:top w:type="dxa" w:w="60"/>
              <w:left w:type="dxa" w:w="100"/>
              <w:bottom w:type="dxa" w:w="60"/>
              <w:right w:type="dxa" w:w="100"/>
            </w:tcMar>
          </w:tcPr>
          <w:p>
            <w:pPr>
              <w:spacing w:after="0"/>
            </w:pPr>
            <w:r>
              <w:rPr>
                <w:sz w:val="18"/>
                <w:szCs w:val="18"/>
              </w:rPr>
              <w:t xml:space="preserve">Delitos informáticos</w:t>
            </w:r>
          </w:p>
        </w:tc>
        <w:tc>
          <w:tcPr>
            <w:tcW w:type="dxa" w:w="3120"/>
            <w:shd w:fill="EEF3F8" w:color="auto" w:val="clear"/>
            <w:tcMar>
              <w:top w:type="dxa" w:w="60"/>
              <w:left w:type="dxa" w:w="100"/>
              <w:bottom w:type="dxa" w:w="60"/>
              <w:right w:type="dxa" w:w="100"/>
            </w:tcMar>
          </w:tcPr>
          <w:p>
            <w:pPr>
              <w:spacing w:after="0"/>
            </w:pPr>
            <w:r>
              <w:rPr>
                <w:sz w:val="18"/>
                <w:szCs w:val="18"/>
              </w:rPr>
              <w:t xml:space="preserve">¿Qué conductas contra la información y los sistemas son delito y con qué pena?</w:t>
            </w:r>
          </w:p>
        </w:tc>
        <w:tc>
          <w:tcPr>
            <w:tcW w:type="dxa" w:w="3120"/>
            <w:shd w:fill="EEF3F8" w:color="auto" w:val="clear"/>
            <w:tcMar>
              <w:top w:type="dxa" w:w="60"/>
              <w:left w:type="dxa" w:w="100"/>
              <w:bottom w:type="dxa" w:w="60"/>
              <w:right w:type="dxa" w:w="100"/>
            </w:tcMar>
          </w:tcPr>
          <w:p>
            <w:pPr>
              <w:spacing w:after="0"/>
            </w:pPr>
            <w:r>
              <w:rPr>
                <w:sz w:val="18"/>
                <w:szCs w:val="18"/>
              </w:rPr>
              <w:t xml:space="preserve">Ley 1273 de 2009; Convenio de Budapest (Ley 1928 de 2018)</w:t>
            </w:r>
          </w:p>
        </w:tc>
      </w:tr>
      <w:tr>
        <w:trPr>
          <w:tblHeader w:val="off"/>
        </w:trPr>
        <w:tc>
          <w:tcPr>
            <w:tcW w:type="dxa" w:w="3120"/>
            <w:tcMar>
              <w:top w:type="dxa" w:w="60"/>
              <w:left w:type="dxa" w:w="100"/>
              <w:bottom w:type="dxa" w:w="60"/>
              <w:right w:type="dxa" w:w="100"/>
            </w:tcMar>
          </w:tcPr>
          <w:p>
            <w:pPr>
              <w:spacing w:after="0"/>
            </w:pPr>
            <w:r>
              <w:rPr>
                <w:sz w:val="18"/>
                <w:szCs w:val="18"/>
              </w:rPr>
              <w:t xml:space="preserve">Propiedad intelectual digital</w:t>
            </w:r>
          </w:p>
        </w:tc>
        <w:tc>
          <w:tcPr>
            <w:tcW w:type="dxa" w:w="3120"/>
            <w:tcMar>
              <w:top w:type="dxa" w:w="60"/>
              <w:left w:type="dxa" w:w="100"/>
              <w:bottom w:type="dxa" w:w="60"/>
              <w:right w:type="dxa" w:w="100"/>
            </w:tcMar>
          </w:tcPr>
          <w:p>
            <w:pPr>
              <w:spacing w:after="0"/>
            </w:pPr>
            <w:r>
              <w:rPr>
                <w:sz w:val="18"/>
                <w:szCs w:val="18"/>
              </w:rPr>
              <w:t xml:space="preserve">¿A quién pertenecen el software, la obra digital, la base de datos y lo que produce una IA?</w:t>
            </w:r>
          </w:p>
        </w:tc>
        <w:tc>
          <w:tcPr>
            <w:tcW w:type="dxa" w:w="3120"/>
            <w:tcMar>
              <w:top w:type="dxa" w:w="60"/>
              <w:left w:type="dxa" w:w="100"/>
              <w:bottom w:type="dxa" w:w="60"/>
              <w:right w:type="dxa" w:w="100"/>
            </w:tcMar>
          </w:tcPr>
          <w:p>
            <w:pPr>
              <w:spacing w:after="0"/>
            </w:pPr>
            <w:r>
              <w:rPr>
                <w:sz w:val="18"/>
                <w:szCs w:val="18"/>
              </w:rPr>
              <w:t xml:space="preserve">Ley 23 de 1982; Decisión Andina 351; Ley 1915 de 2018</w:t>
            </w:r>
          </w:p>
        </w:tc>
      </w:tr>
      <w:tr>
        <w:trPr>
          <w:tblHeader w:val="off"/>
        </w:trPr>
        <w:tc>
          <w:tcPr>
            <w:tcW w:type="dxa" w:w="3120"/>
            <w:shd w:fill="EEF3F8" w:color="auto" w:val="clear"/>
            <w:tcMar>
              <w:top w:type="dxa" w:w="60"/>
              <w:left w:type="dxa" w:w="100"/>
              <w:bottom w:type="dxa" w:w="60"/>
              <w:right w:type="dxa" w:w="100"/>
            </w:tcMar>
          </w:tcPr>
          <w:p>
            <w:pPr>
              <w:spacing w:after="0"/>
            </w:pPr>
            <w:r>
              <w:rPr>
                <w:sz w:val="18"/>
                <w:szCs w:val="18"/>
              </w:rPr>
              <w:t xml:space="preserve">Gobierno y justicia digital</w:t>
            </w:r>
          </w:p>
        </w:tc>
        <w:tc>
          <w:tcPr>
            <w:tcW w:type="dxa" w:w="3120"/>
            <w:shd w:fill="EEF3F8" w:color="auto" w:val="clear"/>
            <w:tcMar>
              <w:top w:type="dxa" w:w="60"/>
              <w:left w:type="dxa" w:w="100"/>
              <w:bottom w:type="dxa" w:w="60"/>
              <w:right w:type="dxa" w:w="100"/>
            </w:tcMar>
          </w:tcPr>
          <w:p>
            <w:pPr>
              <w:spacing w:after="0"/>
            </w:pPr>
            <w:r>
              <w:rPr>
                <w:sz w:val="18"/>
                <w:szCs w:val="18"/>
              </w:rPr>
              <w:t xml:space="preserve">¿Cómo se relacionan el ciudadano y el litigante con el Estado en línea sin perder garantías?</w:t>
            </w:r>
          </w:p>
        </w:tc>
        <w:tc>
          <w:tcPr>
            <w:tcW w:type="dxa" w:w="3120"/>
            <w:shd w:fill="EEF3F8" w:color="auto" w:val="clear"/>
            <w:tcMar>
              <w:top w:type="dxa" w:w="60"/>
              <w:left w:type="dxa" w:w="100"/>
              <w:bottom w:type="dxa" w:w="60"/>
              <w:right w:type="dxa" w:w="100"/>
            </w:tcMar>
          </w:tcPr>
          <w:p>
            <w:pPr>
              <w:spacing w:after="0"/>
            </w:pPr>
            <w:r>
              <w:rPr>
                <w:sz w:val="18"/>
                <w:szCs w:val="18"/>
              </w:rPr>
              <w:t xml:space="preserve">Ley 1437 de 2011; Ley 2213 de 2022; Ley 1712 de 2014</w:t>
            </w:r>
          </w:p>
        </w:tc>
      </w:tr>
      <w:tr>
        <w:trPr>
          <w:tblHeader w:val="off"/>
        </w:trPr>
        <w:tc>
          <w:tcPr>
            <w:tcW w:type="dxa" w:w="3120"/>
            <w:tcMar>
              <w:top w:type="dxa" w:w="60"/>
              <w:left w:type="dxa" w:w="100"/>
              <w:bottom w:type="dxa" w:w="60"/>
              <w:right w:type="dxa" w:w="100"/>
            </w:tcMar>
          </w:tcPr>
          <w:p>
            <w:pPr>
              <w:spacing w:after="0"/>
            </w:pPr>
            <w:r>
              <w:rPr>
                <w:sz w:val="18"/>
                <w:szCs w:val="18"/>
              </w:rPr>
              <w:t xml:space="preserve">Inteligencia artificial</w:t>
            </w:r>
          </w:p>
        </w:tc>
        <w:tc>
          <w:tcPr>
            <w:tcW w:type="dxa" w:w="3120"/>
            <w:tcMar>
              <w:top w:type="dxa" w:w="60"/>
              <w:left w:type="dxa" w:w="100"/>
              <w:bottom w:type="dxa" w:w="60"/>
              <w:right w:type="dxa" w:w="100"/>
            </w:tcMar>
          </w:tcPr>
          <w:p>
            <w:pPr>
              <w:spacing w:after="0"/>
            </w:pPr>
            <w:r>
              <w:rPr>
                <w:sz w:val="18"/>
                <w:szCs w:val="18"/>
              </w:rPr>
              <w:t xml:space="preserve">¿Quién responde por una decisión que una máquina ayudó a tomar y bajo qué condiciones puede usarse?</w:t>
            </w:r>
          </w:p>
        </w:tc>
        <w:tc>
          <w:tcPr>
            <w:tcW w:type="dxa" w:w="3120"/>
            <w:tcMar>
              <w:top w:type="dxa" w:w="60"/>
              <w:left w:type="dxa" w:w="100"/>
              <w:bottom w:type="dxa" w:w="60"/>
              <w:right w:type="dxa" w:w="100"/>
            </w:tcMar>
          </w:tcPr>
          <w:p>
            <w:pPr>
              <w:spacing w:after="0"/>
            </w:pPr>
            <w:r>
              <w:rPr>
                <w:sz w:val="18"/>
                <w:szCs w:val="18"/>
              </w:rPr>
              <w:t xml:space="preserve">CONPES 4144 de 2025; Circular Externa 002 de 2024 de la SIC; T-323 de 2024</w:t>
            </w:r>
          </w:p>
        </w:tc>
      </w:tr>
    </w:tbl>
    <w:p>
      <w:pPr>
        <w:spacing w:after="60"/>
      </w:pPr>
    </w:p>
    <w:p>
      <w:pPr>
        <w:spacing w:after="120"/>
        <w:jc w:val="both"/>
      </w:pPr>
      <w:r>
        <w:rPr>
          <w:b/>
          <w:bCs/>
        </w:rPr>
        <w:t xml:space="preserve">Criterio.</w:t>
      </w:r>
      <w:r>
        <w:t xml:space="preserve"> La pregunta está bien formulada si nombra el bien jurídico (control de la información, validez del acto, valor probatorio, reproche penal, titularidad, garantías ante el Estado, responsabilidad por la decisión) y no solo la tecnología.</w:t>
      </w:r>
    </w:p>
    <w:p>
      <w:pPr>
        <w:pStyle w:val="Heading1"/>
        <w:spacing w:after="120" w:before="240"/>
      </w:pPr>
      <w:r>
        <w:t xml:space="preserve">4. Ficha de lectura: guía de lectura y pregunta de la ficha (guía, secciones 3 y 6.1)</w:t>
      </w:r>
    </w:p>
    <w:p>
      <w:pPr>
        <w:pStyle w:val="Heading2"/>
        <w:spacing w:after="120" w:before="240"/>
      </w:pPr>
      <w:r>
        <w:t xml:space="preserve">4.1 Respuestas esperadas a la guía de lectura</w:t>
      </w:r>
    </w:p>
    <w:p>
      <w:pPr>
        <w:spacing w:after="120"/>
        <w:jc w:val="both"/>
      </w:pPr>
      <w:r>
        <w:rPr>
          <w:b/>
          <w:bCs/>
        </w:rPr>
        <w:t xml:space="preserve">Pregunta 1. ¿Cómo distingue el texto la informática jurídica del derecho informático, y qué lugar le da a la inteligencia artificial aplicada al derecho?</w:t>
      </w:r>
      <w:r>
        <w:t xml:space="preserve"> La lección introductoria de Donoso Abarca y Reusser Monsálvez arranca «de la informática jurídica a la inteligencia artificial aplicada al derecho»: la informática jurídica es el uso de la informática como herramienta del jurista (documental, de gestión y decisional) y el derecho informático es la regulación jurídica de los fenómenos informáticos. La inteligencia artificial aplicada al derecho aparece como el estadio más reciente de la informática jurídica decisional (sistemas que apoyan o anticipan la decisión) y, a la vez, como nuevo objeto de regulación. Una ficha completa reproduce la distinción con las palabras del texto y cita la página. </w:t>
      </w:r>
      <w:r>
        <w:rPr>
          <w:i/>
          <w:iCs/>
        </w:rPr>
        <w:t xml:space="preserve">Nota para el docente: el PDF no pudo abrirse al preparar la clase; verificar la página exacta de la distinción al leer la lección.</w:t>
      </w:r>
    </w:p>
    <w:p>
      <w:pPr>
        <w:spacing w:after="120"/>
        <w:jc w:val="both"/>
      </w:pPr>
      <w:r>
        <w:rPr>
          <w:b/>
          <w:bCs/>
        </w:rPr>
        <w:t xml:space="preserve">Pregunta 2. ¿Qué argumentos ofrece sobre la denominación (derecho informático o derecho digital) y sobre las características de la disciplina?</w:t>
      </w:r>
      <w:r>
        <w:t xml:space="preserve"> Se espera que el estudiante reconstruya el debate: «derecho informático» es la denominación clásica, centrada en la informática como objeto; «derecho digital» (o derecho de las nuevas tecnologías, derecho de las TIC) es más amplia y abarca todo el entorno digital, incluida la red; los autores conservan «derecho informático» en el título de la lección. Entre las características que suele atribuir la doctrina y que el texto desarrolla: es una disciplina nueva y dinámica (cambia con la técnica), transversal (atraviesa las ramas clásicas), internacional (los hechos no respetan fronteras), técnicamente dependiente (exige diálogo con la ingeniería) y con tendencia a combinar regulación estatal y autorregulación. La respuesta se califica por la fidelidad al texto, no por coincidir con esta lista. </w:t>
      </w:r>
      <w:r>
        <w:rPr>
          <w:i/>
          <w:iCs/>
        </w:rPr>
        <w:t xml:space="preserve">Verificar con la lección.</w:t>
      </w:r>
    </w:p>
    <w:p>
      <w:pPr>
        <w:spacing w:after="120"/>
        <w:jc w:val="both"/>
      </w:pPr>
      <w:r>
        <w:rPr>
          <w:b/>
          <w:bCs/>
        </w:rPr>
        <w:t xml:space="preserve">Pregunta 3. ¿Qué papel cumplen la neutralidad tecnológica y la mínima intervención del sistema normativo como criterios regulatorios? ¿Los reconoce usted en la Ley 527 de 1999?</w:t>
      </w:r>
      <w:r>
        <w:t xml:space="preserve"> La neutralidad tecnológica ordena regular funciones y efectos, no tecnologías concretas, para que la norma no quede obsoleta ni privilegie un proveedor; la mínima intervención ordena intervenir solo cuando el derecho existente no basta y preferir la adaptación (equivalencia funcional) a la creación de regímenes nuevos. La Ley 527 de 1999 los refleja: define «mensaje de datos» de manera abierta (información generada, enviada, recibida, almacenada o comunicada por medios electrónicos, ópticos «o similares», art. 2) y reconoce los equivalentes funcionales de escrito, firma y original (arts. 6 a 8) sin crear un derecho contractual paralelo. La excepción que un buen estudiante detecta es la firma digital de la Ley 527 (art. 28), atada a una tecnología concreta (criptografía de clave pública y entidades de certificación), lo que el Decreto 2364 de 2012 corrigió al regular la firma electrónica de modo neutral.</w:t>
      </w:r>
    </w:p>
    <w:p>
      <w:pPr>
        <w:spacing w:after="120"/>
        <w:jc w:val="both"/>
      </w:pPr>
      <w:r>
        <w:rPr>
          <w:b/>
          <w:bCs/>
        </w:rPr>
        <w:t xml:space="preserve">Pregunta 4. En el complemento colombiano, ¿qué campos del derecho informático trabajaba el GECTI desde 2002 y qué diagnóstico hace sobre la enseñanza de la materia en las facultades del país?</w:t>
      </w:r>
      <w:r>
        <w:t xml:space="preserve"> (Respuesta verificada en el PDF del libro.) La Presentación, escrita por Felipe Rubio Torres, recuerda que en 2002, con Legis, el grupo publicaba sobre desmaterialización del documento electrónico, habeas data, evidencia digital, comercio electrónico e internet, modelos de negocio y contratos en internet, aspectos tributarios del comercio electrónico, propiedad intelectual en el entorno digital, jurisdicción y competencia en conflictos nacidos en internet, protección de bases de datos electrónicas y nombres de dominio; y en 2003, sobre gobierno electrónico, ciberdelincuencia, soberanía estatal en internet, videovigilancia y televisión por satélite (pp. xi-xii). El diagnóstico está en la sección «El papel de la academia» del capítulo de Jeimy J. Cano, Paula Gutiérrez Arboleda y Dámaso Javier Vicente Blanco sobre cibercompetencias en el ejercicio de la abogacía (pp. 44-53): aunque seis facultades colombianas figuran entre las veinte mejores de América Latina en el escalafón QS 2021 (Andes, Externado, Javeriana, Rosario, Nacional y Sabana), ninguna incluye asignaturas troncales de seguridad de la información o protección de datos en el pregrado; la oferta está en educación continua, diplomados y posgrados (el Externado tiene una intensificación de Derecho informático y una especialización y una maestría en Derecho Informático y de las Nuevas Tecnologías), y los centros de investigación (GECTI y Observatorio Ciro Angarita Barón en los Andes, CIDI del Externado, iURiscyber del Rosario) cubren el vacío; no existe examen ni requisito de estas competencias para ejercer la profesión. Los autores proponen un pacto entre el Ministerio de Justicia, las facultades de Derecho y el Colegio Profesional de Abogados para que el secreto profesional se garantice con el principio de accountability (pp. 50-52).</w:t>
      </w:r>
    </w:p>
    <w:p>
      <w:pPr>
        <w:pStyle w:val="Heading2"/>
        <w:spacing w:after="120" w:before="240"/>
      </w:pPr>
      <w:r>
        <w:t xml:space="preserve">4.2 Respuesta modelo a la pregunta de la ficha</w:t>
      </w:r>
    </w:p>
    <w:p>
      <w:pPr>
        <w:spacing w:after="120"/>
        <w:jc w:val="both"/>
      </w:pPr>
      <w:r>
        <w:rPr>
          <w:b/>
          <w:bCs/>
        </w:rPr>
        <w:t xml:space="preserve">¿Es el Derecho Informático una rama autónoma o un método transversal? Responda con los criterios del texto y con un ejemplo colombiano.</w:t>
      </w:r>
    </w:p>
    <w:p>
      <w:pPr>
        <w:spacing w:after="120"/>
        <w:jc w:val="both"/>
      </w:pPr>
      <w:r>
        <w:t xml:space="preserve">Una respuesta completa (a) enuncia los cuatro criterios de autonomía que la doctrina exige a una rama: normativo o legislativo (legislación propia), docente (cátedra propia), científico (doctrina e investigación propias) e institucional (autoridades u órganos propios); (b) los contrasta con Colombia: existen leyes específicas (Ley 527 de 1999, Ley 1266 de 2008, Ley 1273 de 2009, Ley 1581 de 2012, Ley 2213 de 2022), cátedras y posgrados (Externado, Uniandes), doctrina y grupos de investigación (GECTI desde 2002, CIDI) y autoridades propias (Delegatura para la Protección de Datos Personales de la SIC, CRC, MinTIC); (c) toma posición: los cuatro criterios se cumplen, pero la disciplina es a la vez transversal, porque sus problemas se resuelven con instituciones del derecho civil, penal, constitucional, administrativo, laboral y procesal; y (d) lo ilustra con un ejemplo colombiano, por ejemplo la prueba de un contrato celebrado por WhatsApp: la regula una ley propia (Ley 527), pero se decide con el derecho de obligaciones y con el régimen probatorio del CGP. La posición más defendible es la intermedia: rama con objeto, principios e instituciones propios y, al mismo tiempo, método transversal.</w:t>
      </w:r>
    </w:p>
    <w:p>
      <w:pPr>
        <w:spacing w:after="120"/>
        <w:jc w:val="both"/>
      </w:pPr>
      <w:r>
        <w:rPr>
          <w:b/>
          <w:bCs/>
        </w:rPr>
        <w:t xml:space="preserve">Cómo calificar la ficha (30 % de la nota).</w:t>
      </w:r>
      <w:r>
        <w:t xml:space="preserve"> Tesis del autor en dos líneas (hasta 25 %); tres ideas centrales con página (hasta 25 %); crítica fundamentada, es decir, que discuta un argumento del texto y no solo opine (hasta 25 %); respuesta a la pregunta de la ficha con los criterios y el ejemplo (hasta 25 %). Una ficha que cite páginas inexistentes o invente contenido se califica como no entregada y abre la conversación sobre verificación que la propia clase propone.</w:t>
      </w:r>
    </w:p>
    <w:p>
      <w:pPr>
        <w:pStyle w:val="Heading1"/>
        <w:spacing w:after="120" w:before="240"/>
      </w:pPr>
      <w:r>
        <w:t xml:space="preserve">5. Preguntas del video (guía, sección 5; programa, sección 5)</w:t>
      </w:r>
    </w:p>
    <w:p>
      <w:pPr>
        <w:spacing w:after="120"/>
        <w:jc w:val="both"/>
      </w:pPr>
      <w:r>
        <w:rPr>
          <w:i/>
          <w:iCs/>
        </w:rPr>
        <w:t xml:space="preserve">Las tres respuestas se derivan de la Sentencia T-323 de 2024, que el ponente explica en el episodio; confirmarlas al ver el fragmento elegido.</w:t>
      </w:r>
    </w:p>
    <w:p>
      <w:pPr>
        <w:spacing w:after="120"/>
        <w:jc w:val="both"/>
      </w:pPr>
      <w:r>
        <w:rPr>
          <w:b/>
          <w:bCs/>
        </w:rPr>
        <w:t xml:space="preserve">1. ¿Qué labores judiciales dice el ponente que la IA puede apoyar y cuáles son indelegables? Compárelo con los doce criterios.</w:t>
      </w:r>
      <w:r>
        <w:t xml:space="preserve"> Apoyables: gestión administrativa y documental, apoyo a la gestión judicial, búsqueda y organización de información, corrección y resumen de textos, siempre con supervisión humana. Indelegables: interpretar los hechos, valorar las pruebas, motivar y adoptar la decisión. La comparación con los criterios muestra que esa frontera es el contenido del criterio (iv) no sustitución de la racionalidad humana y del criterio (viii) control humano, y que los demás criterios (transparencia, responsabilidad, privacidad, seriedad y verificación, prevención de riesgos, igualdad y equidad, regulación ética, buenas prácticas, seguimiento continuo e idoneidad) son las condiciones para los usos permitidos.</w:t>
      </w:r>
    </w:p>
    <w:p>
      <w:pPr>
        <w:spacing w:after="120"/>
        <w:jc w:val="both"/>
      </w:pPr>
      <w:r>
        <w:rPr>
          <w:b/>
          <w:bCs/>
        </w:rPr>
        <w:t xml:space="preserve">2. ¿Qué debió hacer distinto el juez de Cartagena para cumplir con la transparencia y la responsabilidad?</w:t>
      </w:r>
      <w:r>
        <w:t xml:space="preserve"> Transparencia: declarar de manera completa el uso (qué herramienta y versión, qué preguntas, en qué parte de la providencia se usó y con qué alcance), no solo transcribir las respuestas; la Corte consideró que la exposición fue parcial. Responsabilidad: verificar cada afirmación de la IA contra las fuentes antes de incorporarla y asumir el contenido como propio; la Corte encontró que se incorporaron datos no del todo precisos. Además, mantener la privacidad (no introducir datos personales del expediente), que en el caso sí se respetó. La lección práctica: la IA puede ayudar a redactar o ilustrar, pero lo que entra a la sentencia tiene que estar verificado y declarado.</w:t>
      </w:r>
    </w:p>
    <w:p>
      <w:pPr>
        <w:spacing w:after="120"/>
        <w:jc w:val="both"/>
      </w:pPr>
      <w:r>
        <w:rPr>
          <w:b/>
          <w:bCs/>
        </w:rPr>
        <w:t xml:space="preserve">3. Si usted fuera apoderado de la parte vencida, ¿qué argumento construiría a partir del uso de la IA en la sentencia de segunda instancia?</w:t>
      </w:r>
      <w:r>
        <w:t xml:space="preserve"> El argumento disponible es el de debido proceso y juez natural: sostener que la decisión fue adoptada o determinada por una máquina y no por el juez, o que la motivación es aparente porque descansa en respuestas no verificadas de la IA, lo que acarrearía la invalidez de la providencia conforme a la propia regla de la T-323 (si la IA decide sin valoración del juez, la decisión es inválida). La respuesta completa reconoce el límite del argumento: en el caso real la Corte constató que el juez ya había fundamentado y adoptado la decisión antes de consultar a ChatGPT, de modo que el uso fue posterior y accesorio y no hubo nulidad. Por eso el apoderado tendría que demostrar que el contenido de la IA fue determinante de la decisión, y plantearlo por la vía procesal correcta (impugnación o nulidad dentro del trámite; en tutela, la revisión eventual).</w:t>
      </w:r>
    </w:p>
    <w:p>
      <w:pPr>
        <w:pStyle w:val="Heading1"/>
        <w:spacing w:after="120" w:before="240"/>
      </w:pPr>
      <w:r>
        <w:t xml:space="preserve">6. Matriz de análisis de la Sentencia T-323 de 2024, resuelta (guía, sección 6.2)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A5F" w:color="auto" w:val="clear"/>
            <w:tcMar>
              <w:top w:type="dxa" w:w="60"/>
              <w:left w:type="dxa" w:w="100"/>
              <w:bottom w:type="dxa" w:w="60"/>
              <w:right w:type="dxa" w:w="100"/>
            </w:tcMar>
          </w:tcPr>
          <w:p>
            <w:pPr>
              <w:spacing w:after="0"/>
            </w:pPr>
            <w:r>
              <w:rPr>
                <w:b/>
                <w:bCs/>
                <w:color w:val="FFFFFF"/>
                <w:sz w:val="18"/>
                <w:szCs w:val="18"/>
              </w:rPr>
              <w:t xml:space="preserve">Elemento</w:t>
            </w:r>
          </w:p>
        </w:tc>
        <w:tc>
          <w:tcPr>
            <w:tcW w:type="dxa" w:w="4680"/>
            <w:shd w:fill="1F3A5F" w:color="auto" w:val="clear"/>
            <w:tcMar>
              <w:top w:type="dxa" w:w="60"/>
              <w:left w:type="dxa" w:w="100"/>
              <w:bottom w:type="dxa" w:w="60"/>
              <w:right w:type="dxa" w:w="100"/>
            </w:tcMar>
          </w:tcPr>
          <w:p>
            <w:pPr>
              <w:spacing w:after="0"/>
            </w:pPr>
            <w:r>
              <w:rPr>
                <w:b/>
                <w:bCs/>
                <w:color w:val="FFFFFF"/>
                <w:sz w:val="18"/>
                <w:szCs w:val="18"/>
              </w:rPr>
              <w:t xml:space="preserve">Respuesta esperada</w:t>
            </w:r>
          </w:p>
        </w:tc>
      </w:tr>
      <w:tr>
        <w:trPr>
          <w:tblHeader w:val="off"/>
        </w:trPr>
        <w:tc>
          <w:tcPr>
            <w:tcW w:type="dxa" w:w="4680"/>
            <w:tcMar>
              <w:top w:type="dxa" w:w="60"/>
              <w:left w:type="dxa" w:w="100"/>
              <w:bottom w:type="dxa" w:w="60"/>
              <w:right w:type="dxa" w:w="100"/>
            </w:tcMar>
          </w:tcPr>
          <w:p>
            <w:pPr>
              <w:spacing w:after="0"/>
            </w:pPr>
            <w:r>
              <w:rPr>
                <w:sz w:val="18"/>
                <w:szCs w:val="18"/>
              </w:rPr>
              <w:t xml:space="preserve">Hechos relevantes</w:t>
            </w:r>
          </w:p>
        </w:tc>
        <w:tc>
          <w:tcPr>
            <w:tcW w:type="dxa" w:w="4680"/>
            <w:tcMar>
              <w:top w:type="dxa" w:w="60"/>
              <w:left w:type="dxa" w:w="100"/>
              <w:bottom w:type="dxa" w:w="60"/>
              <w:right w:type="dxa" w:w="100"/>
            </w:tcMar>
          </w:tcPr>
          <w:p>
            <w:pPr>
              <w:spacing w:after="0"/>
            </w:pPr>
            <w:r>
              <w:rPr>
                <w:sz w:val="18"/>
                <w:szCs w:val="18"/>
              </w:rPr>
              <w:t xml:space="preserve">Una madre, en representación de su hijo con trastorno del espectro autista, pidió por tutela que la EPS lo exonerara de copagos y cuotas moderadoras, cubriera el transporte a terapias y controles y garantizara tratamiento integral. El 7 de diciembre de 2022 un juzgado municipal de Cartagena concedió el amparo; la EPS impugnó. El 30 de enero de 2023 el Juzgado Primero Laboral del Circuito de Cartagena confirmó y, para «ampliar los argumentos», transcribió en la sentencia las preguntas que hizo a ChatGPT 3.5 y sus respuestas. La Corte seleccionó el caso para revisión y decretó pruebas.</w:t>
            </w:r>
          </w:p>
        </w:tc>
      </w:tr>
      <w:tr>
        <w:trPr>
          <w:tblHeader w:val="off"/>
        </w:trPr>
        <w:tc>
          <w:tcPr>
            <w:tcW w:type="dxa" w:w="4680"/>
            <w:shd w:fill="EEF3F8" w:color="auto" w:val="clear"/>
            <w:tcMar>
              <w:top w:type="dxa" w:w="60"/>
              <w:left w:type="dxa" w:w="100"/>
              <w:bottom w:type="dxa" w:w="60"/>
              <w:right w:type="dxa" w:w="100"/>
            </w:tcMar>
          </w:tcPr>
          <w:p>
            <w:pPr>
              <w:spacing w:after="0"/>
            </w:pPr>
            <w:r>
              <w:rPr>
                <w:sz w:val="18"/>
                <w:szCs w:val="18"/>
              </w:rPr>
              <w:t xml:space="preserve">Problema jurídico (en forma de pregunta)</w:t>
            </w:r>
          </w:p>
        </w:tc>
        <w:tc>
          <w:tcPr>
            <w:tcW w:type="dxa" w:w="4680"/>
            <w:shd w:fill="EEF3F8" w:color="auto" w:val="clear"/>
            <w:tcMar>
              <w:top w:type="dxa" w:w="60"/>
              <w:left w:type="dxa" w:w="100"/>
              <w:bottom w:type="dxa" w:w="60"/>
              <w:right w:type="dxa" w:w="100"/>
            </w:tcMar>
          </w:tcPr>
          <w:p>
            <w:pPr>
              <w:spacing w:after="0"/>
            </w:pPr>
            <w:r>
              <w:rPr>
                <w:sz w:val="18"/>
                <w:szCs w:val="18"/>
              </w:rPr>
              <w:t xml:space="preserve">(1) ¿Se vulneró el debido proceso en la decisión de segunda instancia porque el juez usó ChatGPT 3.5, con las dudas sobre si quien decidió fue un juez de la República o una IA y sobre si la motivación fue debida o producto de respuestas o alucinaciones de la IA? (2) ¿Vulneró la EPS los derechos a la salud, a la vida digna y a la seguridad social del niño al no exonerarlo de copagos y cuotas moderadoras, negar el transporte y no autorizar el tratamiento integral? Un grupo que solo formule el segundo problema deja por fuera lo que hace hito a la sentencia.</w:t>
            </w:r>
          </w:p>
        </w:tc>
      </w:tr>
      <w:tr>
        <w:trPr>
          <w:tblHeader w:val="off"/>
        </w:trPr>
        <w:tc>
          <w:tcPr>
            <w:tcW w:type="dxa" w:w="4680"/>
            <w:tcMar>
              <w:top w:type="dxa" w:w="60"/>
              <w:left w:type="dxa" w:w="100"/>
              <w:bottom w:type="dxa" w:w="60"/>
              <w:right w:type="dxa" w:w="100"/>
            </w:tcMar>
          </w:tcPr>
          <w:p>
            <w:pPr>
              <w:spacing w:after="0"/>
            </w:pPr>
            <w:r>
              <w:rPr>
                <w:sz w:val="18"/>
                <w:szCs w:val="18"/>
              </w:rPr>
              <w:t xml:space="preserve">Decisión</w:t>
            </w:r>
          </w:p>
        </w:tc>
        <w:tc>
          <w:tcPr>
            <w:tcW w:type="dxa" w:w="4680"/>
            <w:tcMar>
              <w:top w:type="dxa" w:w="60"/>
              <w:left w:type="dxa" w:w="100"/>
              <w:bottom w:type="dxa" w:w="60"/>
              <w:right w:type="dxa" w:w="100"/>
            </w:tcMar>
          </w:tcPr>
          <w:p>
            <w:pPr>
              <w:spacing w:after="0"/>
            </w:pPr>
            <w:r>
              <w:rPr>
                <w:sz w:val="18"/>
                <w:szCs w:val="18"/>
              </w:rPr>
              <w:t xml:space="preserve">Confirmó parcialmente la segunda instancia: mantuvo el amparo y lo extendió al transporte para valoraciones, controles y ayudas diagnósticas. Declaró que el uso de ChatGPT no comportó usurpación de la función judicial ni violación del debido proceso, porque el juez ya había fundamentado y adoptado la decisión; constató incumplimientos parciales de transparencia y responsabilidad. Ordenó al Consejo Superior de la Judicatura divulgar en cuatro meses una guía o lineamiento sobre IA generativa en la Rama Judicial y, a través de la Escuela Judicial Rodrigo Lara Bonilla, difundir la sentencia y continuar la capacitación; exhortó a los jueces a evaluar el uso adecuado de estas herramientas; dio órdenes a la EPS.</w:t>
            </w:r>
          </w:p>
        </w:tc>
      </w:tr>
      <w:tr>
        <w:trPr>
          <w:tblHeader w:val="off"/>
        </w:trPr>
        <w:tc>
          <w:tcPr>
            <w:tcW w:type="dxa" w:w="4680"/>
            <w:shd w:fill="EEF3F8" w:color="auto" w:val="clear"/>
            <w:tcMar>
              <w:top w:type="dxa" w:w="60"/>
              <w:left w:type="dxa" w:w="100"/>
              <w:bottom w:type="dxa" w:w="60"/>
              <w:right w:type="dxa" w:w="100"/>
            </w:tcMar>
          </w:tcPr>
          <w:p>
            <w:pPr>
              <w:spacing w:after="0"/>
            </w:pPr>
            <w:r>
              <w:rPr>
                <w:sz w:val="18"/>
                <w:szCs w:val="18"/>
              </w:rPr>
              <w:t xml:space="preserve">Ratio decidendi</w:t>
            </w:r>
          </w:p>
        </w:tc>
        <w:tc>
          <w:tcPr>
            <w:tcW w:type="dxa" w:w="4680"/>
            <w:shd w:fill="EEF3F8" w:color="auto" w:val="clear"/>
            <w:tcMar>
              <w:top w:type="dxa" w:w="60"/>
              <w:left w:type="dxa" w:w="100"/>
              <w:bottom w:type="dxa" w:w="60"/>
              <w:right w:type="dxa" w:w="100"/>
            </w:tcMar>
          </w:tcPr>
          <w:p>
            <w:pPr>
              <w:spacing w:after="0"/>
            </w:pPr>
            <w:r>
              <w:rPr>
                <w:sz w:val="18"/>
                <w:szCs w:val="18"/>
              </w:rPr>
              <w:t xml:space="preserve">El juez natural tiene que ser un ser humano: la IA no puede sustituirlo en las labores que exigen razonamiento humano (interpretar los hechos, valorar las pruebas, motivar y decidir); una decisión adoptada por la IA sin valoración del juez sería inválida y violaría el debido proceso. El uso de la IA como apoyo es admisible si es razonable y ponderado, con enfoque de protección de derechos, bajo las cargas de transparencia, responsabilidad y protección de datos y con la no sustitución de la racionalidad humana como requisito esencial.</w:t>
            </w:r>
          </w:p>
        </w:tc>
      </w:tr>
      <w:tr>
        <w:trPr>
          <w:tblHeader w:val="off"/>
        </w:trPr>
        <w:tc>
          <w:tcPr>
            <w:tcW w:type="dxa" w:w="4680"/>
            <w:tcMar>
              <w:top w:type="dxa" w:w="60"/>
              <w:left w:type="dxa" w:w="100"/>
              <w:bottom w:type="dxa" w:w="60"/>
              <w:right w:type="dxa" w:w="100"/>
            </w:tcMar>
          </w:tcPr>
          <w:p>
            <w:pPr>
              <w:spacing w:after="0"/>
            </w:pPr>
            <w:r>
              <w:rPr>
                <w:sz w:val="18"/>
                <w:szCs w:val="18"/>
              </w:rPr>
              <w:t xml:space="preserve">Regla o subregla jurisprudencial</w:t>
            </w:r>
          </w:p>
        </w:tc>
        <w:tc>
          <w:tcPr>
            <w:tcW w:type="dxa" w:w="4680"/>
            <w:tcMar>
              <w:top w:type="dxa" w:w="60"/>
              <w:left w:type="dxa" w:w="100"/>
              <w:bottom w:type="dxa" w:w="60"/>
              <w:right w:type="dxa" w:w="100"/>
            </w:tcMar>
          </w:tcPr>
          <w:p>
            <w:pPr>
              <w:spacing w:after="0"/>
            </w:pPr>
            <w:r>
              <w:rPr>
                <w:sz w:val="18"/>
                <w:szCs w:val="18"/>
              </w:rPr>
              <w:t xml:space="preserve">Un funcionario judicial puede usar IA generativa como apoyo siempre que (i) no le delegue la interpretación de los hechos, la valoración de las pruebas, la motivación ni la decisión; (ii) evidencie con claridad y precisión el uso, su alcance y su ubicación en la providencia; (iii) verifique con rigor fuentes y datos y proteja la reserva de la información del proceso; y (iv) responda por el resultado. Los doce criterios para la Rama Judicial: transparencia, responsabilidad, privacidad, no sustitución de la racionalidad humana, seriedad y verificación, prevención de riesgos, igualdad y equidad, control humano, regulación ética, adecuación a buenas prácticas y estándares colectivos, seguimiento continuo y adaptación, e idoneidad.</w:t>
            </w:r>
          </w:p>
        </w:tc>
      </w:tr>
      <w:tr>
        <w:trPr>
          <w:tblHeader w:val="off"/>
        </w:trPr>
        <w:tc>
          <w:tcPr>
            <w:tcW w:type="dxa" w:w="4680"/>
            <w:shd w:fill="EEF3F8" w:color="auto" w:val="clear"/>
            <w:tcMar>
              <w:top w:type="dxa" w:w="60"/>
              <w:left w:type="dxa" w:w="100"/>
              <w:bottom w:type="dxa" w:w="60"/>
              <w:right w:type="dxa" w:w="100"/>
            </w:tcMar>
          </w:tcPr>
          <w:p>
            <w:pPr>
              <w:spacing w:after="0"/>
            </w:pPr>
            <w:r>
              <w:rPr>
                <w:sz w:val="18"/>
                <w:szCs w:val="18"/>
              </w:rPr>
              <w:t xml:space="preserve">Precedente que establece</w:t>
            </w:r>
          </w:p>
        </w:tc>
        <w:tc>
          <w:tcPr>
            <w:tcW w:type="dxa" w:w="4680"/>
            <w:shd w:fill="EEF3F8" w:color="auto" w:val="clear"/>
            <w:tcMar>
              <w:top w:type="dxa" w:w="60"/>
              <w:left w:type="dxa" w:w="100"/>
              <w:bottom w:type="dxa" w:w="60"/>
              <w:right w:type="dxa" w:w="100"/>
            </w:tcMar>
          </w:tcPr>
          <w:p>
            <w:pPr>
              <w:spacing w:after="0"/>
            </w:pPr>
            <w:r>
              <w:rPr>
                <w:sz w:val="18"/>
                <w:szCs w:val="18"/>
              </w:rPr>
              <w:t xml:space="preserve">Vincula a los funcionarios y empleados de la Rama Judicial en el uso de IA generativa, desarrollado por el ABC del Consejo Superior de la Judicatura (Circular PCSJC24-37 de 2024) y por los lineamientos de diciembre de 2024. Para casos futuros fija la regla de validez: decisión de la máquina sin valoración del juez, invalidez; uso declarado, verificado y accesorio, validez. Para los abogados no es orden directa, pero es el estándar de diligencia que la Corte Suprema aplicó en la STC17832-2025.</w:t>
            </w:r>
          </w:p>
        </w:tc>
      </w:tr>
      <w:tr>
        <w:trPr>
          <w:tblHeader w:val="off"/>
        </w:trPr>
        <w:tc>
          <w:tcPr>
            <w:tcW w:type="dxa" w:w="4680"/>
            <w:tcMar>
              <w:top w:type="dxa" w:w="60"/>
              <w:left w:type="dxa" w:w="100"/>
              <w:bottom w:type="dxa" w:w="60"/>
              <w:right w:type="dxa" w:w="100"/>
            </w:tcMar>
          </w:tcPr>
          <w:p>
            <w:pPr>
              <w:spacing w:after="0"/>
            </w:pPr>
            <w:r>
              <w:rPr>
                <w:sz w:val="18"/>
                <w:szCs w:val="18"/>
              </w:rPr>
              <w:t xml:space="preserve">Obiter dicta relevantes</w:t>
            </w:r>
          </w:p>
        </w:tc>
        <w:tc>
          <w:tcPr>
            <w:tcW w:type="dxa" w:w="4680"/>
            <w:tcMar>
              <w:top w:type="dxa" w:w="60"/>
              <w:left w:type="dxa" w:w="100"/>
              <w:bottom w:type="dxa" w:w="60"/>
              <w:right w:type="dxa" w:w="100"/>
            </w:tcMar>
          </w:tcPr>
          <w:p>
            <w:pPr>
              <w:spacing w:after="0"/>
            </w:pPr>
            <w:r>
              <w:rPr>
                <w:sz w:val="18"/>
                <w:szCs w:val="18"/>
              </w:rPr>
              <w:t xml:space="preserve">Las consideraciones generales sobre los riesgos de la IA generativa (alucinaciones, sesgos, opacidad), las referencias comparadas y de instrumentos internacionales, y el catálogo de usos admisibles son consideraciones que no eran necesarias para resolver el caso concreto (en el que no hubo nulidad) y por eso se leen como obiter dicta con valor orientador; las órdenes al Consejo Superior son remedios, no ratio. Cotejar con el texto de la relatoría la ubicación de cada pasaje.</w:t>
            </w:r>
          </w:p>
        </w:tc>
      </w:tr>
      <w:tr>
        <w:trPr>
          <w:tblHeader w:val="off"/>
        </w:trPr>
        <w:tc>
          <w:tcPr>
            <w:tcW w:type="dxa" w:w="4680"/>
            <w:shd w:fill="EEF3F8" w:color="auto" w:val="clear"/>
            <w:tcMar>
              <w:top w:type="dxa" w:w="60"/>
              <w:left w:type="dxa" w:w="100"/>
              <w:bottom w:type="dxa" w:w="60"/>
              <w:right w:type="dxa" w:w="100"/>
            </w:tcMar>
          </w:tcPr>
          <w:p>
            <w:pPr>
              <w:spacing w:after="0"/>
            </w:pPr>
            <w:r>
              <w:rPr>
                <w:sz w:val="18"/>
                <w:szCs w:val="18"/>
              </w:rPr>
              <w:t xml:space="preserve">Utilidad para el ejercicio profesional</w:t>
            </w:r>
          </w:p>
        </w:tc>
        <w:tc>
          <w:tcPr>
            <w:tcW w:type="dxa" w:w="4680"/>
            <w:shd w:fill="EEF3F8" w:color="auto" w:val="clear"/>
            <w:tcMar>
              <w:top w:type="dxa" w:w="60"/>
              <w:left w:type="dxa" w:w="100"/>
              <w:bottom w:type="dxa" w:w="60"/>
              <w:right w:type="dxa" w:w="100"/>
            </w:tcMar>
          </w:tcPr>
          <w:p>
            <w:pPr>
              <w:spacing w:after="0"/>
            </w:pPr>
            <w:r>
              <w:rPr>
                <w:sz w:val="18"/>
                <w:szCs w:val="18"/>
              </w:rPr>
              <w:t xml:space="preserve">Da al abogado un estándar para su propio uso de IA (declarar, verificar, no delegar, proteger datos), un argumento de debido proceso frente a providencias que la usen sin cumplirlo y un criterio para asesorar a clientes públicos y privados que automatizan decisiones.</w:t>
            </w:r>
          </w:p>
        </w:tc>
      </w:tr>
      <w:tr>
        <w:trPr>
          <w:tblHeader w:val="off"/>
        </w:trPr>
        <w:tc>
          <w:tcPr>
            <w:tcW w:type="dxa" w:w="4680"/>
            <w:tcMar>
              <w:top w:type="dxa" w:w="60"/>
              <w:left w:type="dxa" w:w="100"/>
              <w:bottom w:type="dxa" w:w="60"/>
              <w:right w:type="dxa" w:w="100"/>
            </w:tcMar>
          </w:tcPr>
          <w:p>
            <w:pPr>
              <w:spacing w:after="0"/>
            </w:pPr>
            <w:r>
              <w:rPr>
                <w:sz w:val="18"/>
                <w:szCs w:val="18"/>
              </w:rPr>
              <w:t xml:space="preserve">Crítica del grupo</w:t>
            </w:r>
          </w:p>
        </w:tc>
        <w:tc>
          <w:tcPr>
            <w:tcW w:type="dxa" w:w="4680"/>
            <w:tcMar>
              <w:top w:type="dxa" w:w="60"/>
              <w:left w:type="dxa" w:w="100"/>
              <w:bottom w:type="dxa" w:w="60"/>
              <w:right w:type="dxa" w:w="100"/>
            </w:tcMar>
          </w:tcPr>
          <w:p>
            <w:pPr>
              <w:spacing w:after="0"/>
            </w:pPr>
            <w:r>
              <w:rPr>
                <w:sz w:val="18"/>
                <w:szCs w:val="18"/>
              </w:rPr>
              <w:t xml:space="preserve">Se acepta cualquier crítica argumentada. Las más frecuentes y defendibles: la Corte reguló por vía judicial una materia que el legislador no ha abordado (tensión con la separación de poderes y con la neutralidad tecnológica); la fórmula «uso razonable y ponderado» es indeterminada; hay tensión entre declarar que no hubo violación y, a la vez, encontrar incumplidas la transparencia y la responsabilidad sin consecuencia para el caso; los doce criterios operan como soft law hasta que una norma los recoja.</w:t>
            </w:r>
          </w:p>
        </w:tc>
      </w:tr>
    </w:tbl>
    <w:p>
      <w:pPr>
        <w:spacing w:after="60"/>
      </w:pPr>
    </w:p>
    <w:p>
      <w:pPr>
        <w:pStyle w:val="Heading1"/>
        <w:spacing w:after="120" w:before="240"/>
      </w:pPr>
      <w:r>
        <w:t xml:space="preserve">7. Pregunta de contraste del taller (guía, sección 6.2; diapositiva 20)</w:t>
      </w:r>
    </w:p>
    <w:p>
      <w:pPr>
        <w:spacing w:after="120"/>
        <w:jc w:val="both"/>
      </w:pPr>
      <w:r>
        <w:rPr>
          <w:b/>
          <w:bCs/>
        </w:rPr>
        <w:t xml:space="preserve">¿La regla de la T-323 de 2024 habría evitado lo ocurrido en la STC17832-2025? ¿Qué le falta a esa regla para el abogado litigante?</w:t>
      </w:r>
    </w:p>
    <w:p>
      <w:pPr>
        <w:spacing w:after="120"/>
        <w:jc w:val="both"/>
      </w:pPr>
      <w:r>
        <w:t xml:space="preserve">Sí la habría evitado si el Tribunal Superior de Sincelejo la hubiera cumplido: la regla exige seriedad y verificación de toda fuente que se incorpore a la providencia y transparencia sobre el uso de la herramienta; el tribunal citó dos providencias de la Corte Suprema con pasajes inexistentes, sin verificar ni evidenciar el uso, y por eso la Sala de Casación Civil dejó sin efectos la decisión y advirtió sobre el uso no verificado de IA. El caso demuestra, además, que la regla funciona como estándar de control: la Corte Suprema la aplicó a un tribunal un año después.</w:t>
      </w:r>
    </w:p>
    <w:p>
      <w:pPr>
        <w:spacing w:after="120"/>
        <w:jc w:val="both"/>
      </w:pPr>
      <w:r>
        <w:t xml:space="preserve">Lo que le falta para el litigante: la T-323 se dirige a la Rama Judicial, de modo que el abogado que radica un escrito con citas inventadas no incumple una orden de la Corte Constitucional. Su deber de verificación y de revelar el uso de IA hoy se deriva de normas generales: la lealtad y la buena fe procesal (CGP, art. 78, numerales 1 y 2), la temeridad o mala fe y sus consecuencias patrimoniales (CGP, arts. 79 a 81), los deberes de lealtad, honradez y diligencia del abogado (Ley 1123 de 2007, art. 28) y las faltas contra la recta y leal realización de la justicia (art. 33). Una respuesta sobresaliente propone lo que falta: una regla expresa, en el estatuto del abogado o en el CGP, que imponga verificar y declarar el uso de IA en los escritos, y protocolos de los consultorios jurídicos y de las firmas. Puede añadir que el Auto AC739-2026 de la Corte Suprema volvió sobre el problema, lo que indica que el estándar se está consolidando por vía judicial a falta de ley.</w:t>
      </w:r>
    </w:p>
    <w:p>
      <w:pPr>
        <w:pStyle w:val="Heading1"/>
        <w:spacing w:after="120" w:before="240"/>
      </w:pPr>
      <w:r>
        <w:t xml:space="preserve">8. Preguntas orientadoras para la discusión (guía, sección 6.3; coinciden con el banco de preguntas del programa)</w:t>
      </w:r>
    </w:p>
    <w:p>
      <w:pPr>
        <w:spacing w:after="120"/>
        <w:jc w:val="both"/>
      </w:pPr>
      <w:r>
        <w:rPr>
          <w:b/>
          <w:bCs/>
        </w:rPr>
        <w:t xml:space="preserve">1. ¿Es el Derecho Informático una rama autónoma o un método transversal? Defienda una posición con los cuatro criterios de autonomía.</w:t>
      </w:r>
      <w:r>
        <w:t xml:space="preserve"> Ver la respuesta modelo de la ficha de lectura (sección 4.2): los cuatro criterios (normativo, docente, científico, institucional) se cumplen en Colombia, pero la disciplina es transversal; posición intermedia.</w:t>
      </w:r>
    </w:p>
    <w:p>
      <w:pPr>
        <w:spacing w:after="120"/>
        <w:jc w:val="both"/>
      </w:pPr>
      <w:r>
        <w:rPr>
          <w:b/>
          <w:bCs/>
        </w:rPr>
        <w:t xml:space="preserve">2. ¿Qué cambia en el razonamiento probatorio cuando el documento es un mensaje de datos? Relacione la Ley 527 de 1999 con el artículo 247 del Código General del Proceso.</w:t>
      </w:r>
      <w:r>
        <w:t xml:space="preserve"> Cambia el objeto del juicio de autenticidad e integridad: ya no se mira el papel y la firma manuscrita sino la confiabilidad de la forma en que el mensaje se generó, archivó o comunicó y la posibilidad de identificar al iniciador (Ley 527, arts. 10 y 11, criterios de valoración), con el reconocimiento jurídico y la fuerza probatoria del mensaje de datos (art. 5 y art. 10: no se niega eficacia por el solo hecho de ser electrónico). El art. 247 del CGP completa el régimen: el mensaje se valora como tal si se aporta en el formato en que se generó, envió o recibió, o en uno que lo reproduzca con exactitud; la simple impresión en papel se valora según las reglas generales de los documentos. Por eso la práctica correcta es aportar el archivo nativo (con metadatos), pedir la exhibición del dispositivo o un dictamen cuando se controvierta la autenticidad, y documentar la cadena de custodia; la presunción de autenticidad de los documentos (CGP, art. 244) y la sana crítica (art. 176) siguen operando.</w:t>
      </w:r>
    </w:p>
    <w:p>
      <w:pPr>
        <w:spacing w:after="120"/>
        <w:jc w:val="both"/>
      </w:pPr>
      <w:r>
        <w:rPr>
          <w:b/>
          <w:bCs/>
        </w:rPr>
        <w:t xml:space="preserve">3. ¿Por qué el habeas data es un derecho fundamental autónomo y no una simple manifestación de la intimidad?</w:t>
      </w:r>
      <w:r>
        <w:t xml:space="preserve"> Porque tiene objeto, contenido y ámbito propios. Objeto: el poder de disposición de la persona sobre la información que la concierne (autodeterminación informativa), reconocido en el art. 15 de la Constitución con las facultades de conocer, actualizar y rectificar, que la Ley 1581 de 2012 desarrolla (art. 8: conocer, actualizar, rectificar, pedir prueba de la autorización, ser informado del uso, quejarse ante la SIC, revocar la autorización y pedir la supresión, acceder gratuitamente). Ámbito: protege datos que no son íntimos, como los financieros, públicos o semiprivados, que la intimidad no cubriría. La Corte lo construyó desde la T-414 de 1992 (dato financiero caduco), lo desarrolló en la SU-082 de 1995 y consolidó su autonomía en la T-729 de 2002; la Ley 1266 de 2008 y la Ley 1581 de 2012 son estatutarias precisamente porque regulan ese derecho fundamental. Relación con la intimidad y el buen nombre: se tocan, pero el habeas data procede aun cuando el dato sea veraz y no íntimo, si se trata sin autorización, finalidad o seguridad.</w:t>
      </w:r>
    </w:p>
    <w:p>
      <w:pPr>
        <w:spacing w:after="120"/>
        <w:jc w:val="both"/>
      </w:pPr>
      <w:r>
        <w:rPr>
          <w:b/>
          <w:bCs/>
        </w:rPr>
        <w:t xml:space="preserve">4. Si la Corte dijo en la T-323 de 2024 que el juez no delegó su decisión, ¿por qué fijó criterios y dio órdenes? ¿Qué tipo de precedente es ese?</w:t>
      </w:r>
      <w:r>
        <w:t xml:space="preserve"> Porque, en sede de revisión de tutela, la Corte no solo resuelve el caso: unifica la interpretación de los derechos y puede dictar remedios para prevenir la repetición de riesgos estructurales. Aquí distinguió entre la ratio (no hubo invalidez porque el juez decidió antes de consultar la IA) y las reglas prospectivas (los doce criterios) y las órdenes al Consejo Superior de la Judicatura. El tipo de precedente: la ratio es precedente constitucional sobre la validez de decisiones con apoyo de IA; los criterios son doctrina constitucional vinculante para los jueces y una regulación de transición hasta que haya ley (los efectos de la tutela son inter partes, Decreto 2591 de 1991, art. 36, pero la doctrina de la Corte vincula a los jueces conforme a la jurisprudencia sobre precedente, por ejemplo la C-836 de 2001); las órdenes son remedios de cumplimiento, que ya se ejecutaron (ABC de 2024 y lineamientos de diciembre de 2024). Se puede discutir si eso es activismo judicial o cumplimiento del deber de garantía.</w:t>
      </w:r>
    </w:p>
    <w:p>
      <w:pPr>
        <w:spacing w:after="120"/>
        <w:jc w:val="both"/>
      </w:pPr>
      <w:r>
        <w:rPr>
          <w:b/>
          <w:bCs/>
        </w:rPr>
        <w:t xml:space="preserve">5. ¿Debe prohibirse la IA generativa en los despachos judiciales, regularse o dejarse a la autorregulación? Use la lectura y el video.</w:t>
      </w:r>
      <w:r>
        <w:t xml:space="preserve"> La posición mejor sustentada es regular, con tres argumentos. Desde la lectura: la neutralidad tecnológica y la mínima intervención aconsejan regular usos y riesgos, no prohibir una tecnología que mañana será otra. Desde la sentencia y el video: la Corte eligió esa vía (uso permitido con cargas, prohibición solo de la sustitución) y la Rama Judicial la desarrolló con lineamientos (diciembre de 2024); la justicia digital permanente (Ley 2213 de 2022) y la política nacional (CONPES 4144 de 2025) van en la misma dirección. Desde el derecho comparado: el Reglamento europeo de IA de 2024 califica de alto riesgo los sistemas de apoyo a la administración de justicia, lo que equivale a regular con exigencias reforzadas. La autorregulación sola falla donde no hay incentivos para verificar (STC17832-2025); la prohibición total es inaplicable y renuncia a los usos legítimos de gestión y documentación. Se admite una posición distinta si está argumentada.</w:t>
      </w:r>
    </w:p>
    <w:p>
      <w:pPr>
        <w:spacing w:after="120"/>
        <w:jc w:val="both"/>
      </w:pPr>
      <w:r>
        <w:rPr>
          <w:b/>
          <w:bCs/>
        </w:rPr>
        <w:t xml:space="preserve">6. ¿Quién responde cuando un sistema automatizado niega un servicio de salud: el programador, la EPS o el funcionario que lo adoptó?</w:t>
      </w:r>
      <w:r>
        <w:t xml:space="preserve"> Responde, frente al paciente, la EPS: es la responsable de la prestación (Ley 100 de 1993 y Ley Estatutaria 1751 de 2015, que prohíbe las barreras administrativas al acceso) y la responsable del tratamiento de los datos (Ley 1581 de 2012, art. 17; responsabilidad demostrada, Decreto 1377 de 2013, arts. 26 y 27, hoy en el Decreto 1074 de 2015). El funcionario que adoptó el sistema responde ante la entidad y, si es servidor público, disciplinaria y fiscalmente, por omitir el control humano y la verificación. El programador o proveedor responde contractualmente ante la EPS y, eventualmente, por producto defectuoso, pero no es la vía principal del paciente. El principio que ordena la respuesta es el de la T-323: la máquina no decide; quien la usa responde (control humano y responsabilidad), y la salud no admite negativas sin revisión humana. Una buena respuesta añade que en Colombia no hay una norma como el art. 22 del RGPD europeo sobre decisiones automatizadas, por lo que el derecho a la revisión humana se construye con el debido proceso, el habeas data y la Circular Externa 002 de 2024 de la SIC.</w:t>
      </w:r>
    </w:p>
    <w:p>
      <w:pPr>
        <w:pStyle w:val="Heading1"/>
        <w:spacing w:after="120" w:before="240"/>
      </w:pPr>
      <w:r>
        <w:t xml:space="preserve">9. Minicasos de aplicación (guía, sección 7; diapositiva 21)</w:t>
      </w:r>
    </w:p>
    <w:p>
      <w:pPr>
        <w:pStyle w:val="Heading2"/>
        <w:spacing w:after="120" w:before="240"/>
      </w:pPr>
      <w:r>
        <w:t xml:space="preserve">Caso 1. El auto redactado por la máquina</w:t>
      </w:r>
    </w:p>
    <w:p>
      <w:pPr>
        <w:spacing w:after="120"/>
        <w:jc w:val="both"/>
      </w:pPr>
      <w:r>
        <w:rPr>
          <w:b/>
          <w:bCs/>
        </w:rPr>
        <w:t xml:space="preserve">Criterios afectados.</w:t>
      </w:r>
      <w:r>
        <w:t xml:space="preserve"> No sustitución de la racionalidad humana y control humano, si el juez no valoró el contenido ni lo hizo suyo; transparencia, porque no mencionó la herramienta; seriedad y verificación y responsabilidad, porque firmó sin revisar normas, hechos ni pruebas decretadas; prevención de riesgos, si introdujo datos del expediente en la herramienta (privacidad).</w:t>
      </w:r>
    </w:p>
    <w:p>
      <w:pPr>
        <w:spacing w:after="120"/>
        <w:jc w:val="both"/>
      </w:pPr>
      <w:r>
        <w:rPr>
          <w:b/>
          <w:bCs/>
        </w:rPr>
        <w:t xml:space="preserve">Qué debió hacer.</w:t>
      </w:r>
      <w:r>
        <w:t xml:space="preserve"> Usar la IA, si acaso, como borrador; leer y ajustar el texto para que refleje su propia valoración de la pertinencia, conducencia y utilidad de las pruebas (CGP, art. 168); verificar cada norma y cada hecho citado; dejar constancia del uso y de su alcance en el auto; no cargar datos personales ni información reservada del proceso.</w:t>
      </w:r>
    </w:p>
    <w:p>
      <w:pPr>
        <w:spacing w:after="120"/>
        <w:jc w:val="both"/>
      </w:pPr>
      <w:r>
        <w:rPr>
          <w:b/>
          <w:bCs/>
        </w:rPr>
        <w:t xml:space="preserve">¿Es nulo el auto?</w:t>
      </w:r>
      <w:r>
        <w:t xml:space="preserve"> No por el solo uso de la IA: la T-323 declara válida la decisión que el juez examinó y adoptó como propia. Sería inválido si se demuestra que la decisión fue de la máquina sin valoración del juez (regla de invalidez de la T-323). Procesalmente la parte afectada puede pedir la revocatoria o la adición del auto por los recursos ordinarios (reposición, CGP art. 318) y, en caso extremo, plantear la nulidad por violación del debido proceso; disciplinariamente el juez puede responder ante la Comisión Nacional de Disciplina Judicial por incumplir los deberes de la Ley 270 de 1996 y de los lineamientos del Consejo Superior.</w:t>
      </w:r>
    </w:p>
    <w:p>
      <w:pPr>
        <w:pStyle w:val="Heading2"/>
        <w:spacing w:after="120" w:before="240"/>
      </w:pPr>
      <w:r>
        <w:t xml:space="preserve">Caso 2. La tutela con la cita inexistente</w:t>
      </w:r>
    </w:p>
    <w:p>
      <w:pPr>
        <w:spacing w:after="120"/>
        <w:jc w:val="both"/>
      </w:pPr>
      <w:r>
        <w:rPr>
          <w:b/>
          <w:bCs/>
        </w:rPr>
        <w:t xml:space="preserve">Consecuencias éticas y disciplinarias.</w:t>
      </w:r>
      <w:r>
        <w:t xml:space="preserve"> El estudiante de consultorio no es todavía abogado, de modo que la Ley 1123 de 2007 no lo cobija directamente, pero sí al abogado asesor que supervisa (deberes de lealtad, honradez y diligencia, art. 28; faltas contra la recta y leal realización de la justicia, art. 33), y el estudiante responde ante el reglamento del consultorio y de la universidad (Ley 2113 de 2021 sobre consultorios jurídicos). Lo que se enseña: el estándar de la Ley 1123 es el que lo juzgará en dos años, y la STC17832-2025 muestra que la judicatura ya lo exige.</w:t>
      </w:r>
    </w:p>
    <w:p>
      <w:pPr>
        <w:spacing w:after="120"/>
        <w:jc w:val="both"/>
      </w:pPr>
      <w:r>
        <w:rPr>
          <w:b/>
          <w:bCs/>
        </w:rPr>
        <w:t xml:space="preserve">Consecuencias procesales.</w:t>
      </w:r>
      <w:r>
        <w:t xml:space="preserve"> La cita inexistente destruye la credibilidad del escrito y puede ser calificada de temeridad o mala fe (CGP, arts. 78 y 79), con las consecuencias patrimoniales de los arts. 80 y 81 y la posible compulsa de copias a la autoridad disciplinaria; el juez decide sin considerar el argumento viciado y puede dejarlo consignado en la providencia, como ocurrió en el caso. En tutela, además, el error puede costarle al usuario el amparo si el fundamento real quedó mal planteado.</w:t>
      </w:r>
    </w:p>
    <w:p>
      <w:pPr>
        <w:spacing w:after="120"/>
        <w:jc w:val="both"/>
      </w:pPr>
      <w:r>
        <w:rPr>
          <w:b/>
          <w:bCs/>
        </w:rPr>
        <w:t xml:space="preserve">Consecuencias para el usuario del consultorio.</w:t>
      </w:r>
      <w:r>
        <w:t xml:space="preserve"> Riesgo de perder la protección de un derecho fundamental por una tutela mal fundada y de tener que acudir a una segunda acción (con el límite de la temeridad, Decreto 2591 de 1991, art. 38); daño a la confianza en el servicio.</w:t>
      </w:r>
    </w:p>
    <w:p>
      <w:pPr>
        <w:spacing w:after="120"/>
        <w:jc w:val="both"/>
      </w:pPr>
      <w:r>
        <w:rPr>
          <w:b/>
          <w:bCs/>
        </w:rPr>
        <w:t xml:space="preserve">Protocolo de verificación en tres pasos.</w:t>
      </w:r>
      <w:r>
        <w:t xml:space="preserve"> (1) Toda cita jurisprudencial o normativa se abre en la fuente oficial (relatoría de la Corte, SUIN-Juriscol, Secretaría del Senado) y se copia el enlace en la ficha del caso. (2) El pasaje citado se contrasta con el texto de la providencia o la norma, y la cita se reproduce desde el original, nunca desde la salida de la IA. (3) Se deja constancia interna de la herramienta usada, de las preguntas hechas y de la verificación realizada, y el escrito se firma solo después de la revisión del abogado asesor. Puede añadirse un cuarto paso: no introducir datos personales del usuario en herramientas que no garanticen confidencialidad (Ley 1581 de 2012).</w:t>
      </w:r>
    </w:p>
    <w:p>
      <w:pPr>
        <w:pStyle w:val="Heading2"/>
        <w:spacing w:after="120" w:before="240"/>
      </w:pPr>
      <w:r>
        <w:t xml:space="preserve">Caso 3. La EPS que decide sola</w:t>
      </w:r>
    </w:p>
    <w:p>
      <w:pPr>
        <w:spacing w:after="120"/>
        <w:jc w:val="both"/>
      </w:pPr>
      <w:r>
        <w:rPr>
          <w:b/>
          <w:bCs/>
        </w:rPr>
        <w:t xml:space="preserve">Derechos en juego.</w:t>
      </w:r>
      <w:r>
        <w:t xml:space="preserve"> Salud: acceso oportuno y sin barreras administrativas (Ley Estatutaria 1751 de 2015, en especial los principios de accesibilidad y continuidad y la prohibición de negar servicios por trámites); vida digna si el servicio es urgente. Habeas data: la EPS trata datos sensibles de salud (Ley 1581 de 2012, arts. 5 y 6) y toma decisiones automatizadas con ellos; el titular tiene derecho a conocer el tratamiento, a que se le informe el uso que se da a sus datos y a presentar quejas (art. 8), y la EPS debe cumplir los deberes del responsable (art. 17) y demostrarlo (accountability). Debido proceso: la negativa es una decisión que afecta derechos sin motivación ni posibilidad de contradicción, lo que vulnera el debido proceso también exigible a los particulares que prestan un servicio público; derecho a una explicación y a la revisión humana, que en Colombia se construye con el debido proceso, el habeas data, la Circular Externa 002 de 2024 de la SIC y, por analogía, los criterios de control humano y transparencia de la T-323 de 2024.</w:t>
      </w:r>
    </w:p>
    <w:p>
      <w:pPr>
        <w:spacing w:after="120"/>
        <w:jc w:val="both"/>
      </w:pPr>
      <w:r>
        <w:rPr>
          <w:b/>
          <w:bCs/>
        </w:rPr>
        <w:t xml:space="preserve">Qué exigiría como apoderado y con qué fundamento.</w:t>
      </w:r>
      <w:r>
        <w:t xml:space="preserve"> (1) Revisión humana inmediata de la negativa y motivación escrita de la decisión, con fundamento en el debido proceso (art. 29 C.P.) y en la Ley 1751 de 2015. (2) Información sobre el tratamiento de los datos del paciente y sobre el sistema que decidió (qué datos usó, con qué criterios), con fundamento en el art. 8 de la Ley 1581 de 2012; queja ante la Delegatura para la Protección de Datos Personales de la SIC si no se responde. (3) Queja ante la Superintendencia Nacional de Salud por la barrera de acceso. (4) Acción de tutela si el servicio es urgente o la negativa persiste (Decreto 2591 de 1991), invocando la salud, la vida digna, el habeas data y el debido proceso, y pidiendo como medida que ninguna negativa se produzca sin revisión humana. Fundamento jurisprudencial de refuerzo: la T-323 de 2024 (la máquina apoya, el humano decide y responde) y la jurisprudencia sobre barreras administrativas en salud.</w:t>
      </w:r>
    </w:p>
    <w:p>
      <w:pPr>
        <w:pStyle w:val="Heading1"/>
        <w:spacing w:after="120" w:before="240"/>
      </w:pPr>
      <w:r>
        <w:t xml:space="preserve">10. Quiz (guía, sección 8.1; diapositiva 23)</w:t>
      </w:r>
    </w:p>
    <w:p>
      <w:pPr>
        <w:spacing w:after="120"/>
        <w:jc w:val="both"/>
      </w:pPr>
      <w:r>
        <w:t xml:space="preserve">Un punto por pregunta; se califica sobre cinco. Se acepta la idea esencial aunque falte un número de artículo.</w:t>
      </w:r>
    </w:p>
    <w:p>
      <w:pPr>
        <w:spacing w:after="120"/>
        <w:jc w:val="both"/>
      </w:pPr>
      <w:r>
        <w:rPr>
          <w:b/>
          <w:bCs/>
        </w:rPr>
        <w:t xml:space="preserve">1. Explique en una frase la diferencia entre Derecho Informático e informática jurídica.</w:t>
      </w:r>
      <w:r>
        <w:t xml:space="preserve"> El Derecho Informático regula la informática (la información digital y sus sistemas son objeto de la norma); la informática jurídica usa la informática al servicio del derecho (es herramienta del jurista: documental, de gestión y decisional). Puntaje completo si aparece la dirección de la relación (regula frente a usa).</w:t>
      </w:r>
    </w:p>
    <w:p>
      <w:pPr>
        <w:spacing w:after="120"/>
        <w:jc w:val="both"/>
      </w:pPr>
      <w:r>
        <w:rPr>
          <w:b/>
          <w:bCs/>
        </w:rPr>
        <w:t xml:space="preserve">2. ¿Qué principio permite que un correo electrónico valga como escrito y en qué artículos de la Ley 527 de 1999 se apoya?</w:t>
      </w:r>
      <w:r>
        <w:t xml:space="preserve"> El principio de equivalencia funcional: el mensaje de datos cumple la función del escrito cuando la información es accesible para su posterior consulta (art. 6), con el reconocimiento jurídico de los mensajes de datos (art. 5) y los equivalentes de firma y original (arts. 7 y 8). Puntaje completo con el principio y al menos el art. 6; medio punto si solo nombra el principio.</w:t>
      </w:r>
    </w:p>
    <w:p>
      <w:pPr>
        <w:spacing w:after="120"/>
        <w:jc w:val="both"/>
      </w:pPr>
      <w:r>
        <w:rPr>
          <w:b/>
          <w:bCs/>
        </w:rPr>
        <w:t xml:space="preserve">3. ¿Por qué la Ley 1581 de 2012 es estatutaria y qué sentencia la revisó?</w:t>
      </w:r>
      <w:r>
        <w:t xml:space="preserve"> Porque regula un derecho fundamental, el habeas data del art. 15 de la Constitución, y las leyes que regulan derechos fundamentales deben ser estatutarias (art. 152, literal a). Fue revisada previamente por la Corte Constitucional en la Sentencia C-748 de 2011. Puntaje completo con la razón y la sentencia; medio punto con una sola.</w:t>
      </w:r>
    </w:p>
    <w:p>
      <w:pPr>
        <w:spacing w:after="120"/>
        <w:jc w:val="both"/>
      </w:pPr>
      <w:r>
        <w:rPr>
          <w:b/>
          <w:bCs/>
        </w:rPr>
        <w:t xml:space="preserve">4. Nombre dos de los criterios fijados por la T-323 de 2024 para el uso de IA en la justicia y explique uno.</w:t>
      </w:r>
      <w:r>
        <w:t xml:space="preserve"> Cualquiera dos de: transparencia, responsabilidad, privacidad, no sustitución de la racionalidad humana, seriedad y verificación, prevención de riesgos, igualdad y equidad, control humano, regulación ética, adecuación a buenas prácticas y estándares colectivos, seguimiento continuo y adaptación, idoneidad. Explicación esperada, por ejemplo: transparencia es declarar con claridad y precisión que se usó la herramienta, cuál, con qué alcance y en qué parte de la providencia; no sustitución es que la máquina no interprete los hechos, valore las pruebas, motive ni decida. Puntaje completo con dos criterios correctos y una explicación fiel.</w:t>
      </w:r>
    </w:p>
    <w:p>
      <w:pPr>
        <w:spacing w:after="120"/>
        <w:jc w:val="both"/>
      </w:pPr>
      <w:r>
        <w:rPr>
          <w:b/>
          <w:bCs/>
        </w:rPr>
        <w:t xml:space="preserve">5. ¿Qué decidió la Corte Suprema de Justicia en la STC17832-2025 y por qué?</w:t>
      </w:r>
      <w:r>
        <w:t xml:space="preserve"> La Sala de Casación Civil dejó sin efectos una decisión del Tribunal Superior de Sincelejo (que había terminado un proceso ejecutivo por desistimiento tácito) porque la providencia citaba dos sentencias de la Corte Suprema con pasajes inexistentes, generados o no verificados con IA, lo que configura una motivación aparente y vulnera el debido proceso; la Corte advirtió a la judicatura sobre el uso no verificado de IA. Puntaje completo con la decisión (dejar sin efectos) y la razón (citas inexistentes, falta de verificación). </w:t>
      </w:r>
      <w:r>
        <w:rPr>
          <w:i/>
          <w:iCs/>
        </w:rPr>
        <w:t xml:space="preserve">Confirmar los datos del caso en el texto de la providencia antes de calificar.</w:t>
      </w:r>
    </w:p>
    <w:p>
      <w:pPr>
        <w:pStyle w:val="Heading1"/>
        <w:spacing w:after="120" w:before="240"/>
      </w:pPr>
      <w:r>
        <w:t xml:space="preserve">11. Ticket de salida y rúbrica</w:t>
      </w:r>
    </w:p>
    <w:p>
      <w:pPr>
        <w:spacing w:after="120"/>
        <w:jc w:val="both"/>
      </w:pPr>
      <w:r>
        <w:rPr>
          <w:b/>
          <w:bCs/>
        </w:rPr>
        <w:t xml:space="preserve">Ticket de salida.</w:t>
      </w:r>
      <w:r>
        <w:t xml:space="preserve"> No tiene respuesta correcta; sirve para abrir la siguiente clase. Reglas que los estudiantes suelen llevarse y que conviene recoger en el tablero: «la IA no decide, yo respondo»; «toda cita se abre en la fuente antes de usarla»; «un mensaje de datos vale como escrito si cumple su función»; «los datos personales se tratan solo con autorización y finalidad». Las dudas más frecuentes (qué pasa con las obras creadas por IA, si la empresa puede leer el correo del trabajador, cómo se prueba un chat borrado) son la entrada natural a los campos de propiedad intelectual, datos y prueba electrónica de las clases siguientes.</w:t>
      </w:r>
    </w:p>
    <w:p>
      <w:pPr>
        <w:spacing w:after="120"/>
        <w:jc w:val="both"/>
      </w:pPr>
      <w:r>
        <w:rPr>
          <w:b/>
          <w:bCs/>
        </w:rPr>
        <w:t xml:space="preserve">Rúbrica (programa, sección 9; guía, sección 8.3).</w:t>
      </w:r>
      <w:r>
        <w:t xml:space="preserve"> Ficha de lectura 30 % (criterios en la sección 4.2 de este solucionario); matriz de la sentencia 40 %, con énfasis en que el grupo distinga ratio, regla y obiter y en la calidad del contraste (secciones 6 y 7); aplicación y quiz 30 %, con el caso resuelto según las claves de la sección 9 y el quiz sobre cinco puntos (sección 10).</w:t>
      </w:r>
    </w:p>
    <w:sectPr>
      <w:head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A6670"/>
        <w:sz w:val="16"/>
        <w:szCs w:val="16"/>
      </w:rPr>
      <w:t xml:space="preserve">Clase integral: Derecho Informático · Solucionario del docente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mbria" w:cs="Cambria" w:eastAsia="Cambria" w:hAnsi="Cambria"/>
      <w:b/>
      <w:bCs/>
      <w:color w:val="1F3A5F"/>
      <w:sz w:val="40"/>
      <w:szCs w:val="40"/>
    </w:rPr>
  </w:style>
  <w:style w:type="paragraph" w:styleId="Heading1">
    <w:name w:val="Heading 1"/>
    <w:basedOn w:val="Normal"/>
    <w:next w:val="Normal"/>
    <w:qFormat/>
    <w:pPr>
      <w:spacing w:after="120" w:before="360"/>
      <w:outlineLvl w:val="0"/>
    </w:pPr>
    <w:rPr>
      <w:rFonts w:ascii="Cambria" w:cs="Cambria" w:eastAsia="Cambria" w:hAnsi="Cambria"/>
      <w:b/>
      <w:bCs/>
      <w:color w:val="1F3A5F"/>
      <w:sz w:val="30"/>
      <w:szCs w:val="30"/>
    </w:rPr>
  </w:style>
  <w:style w:type="paragraph" w:styleId="Heading2">
    <w:name w:val="Heading 2"/>
    <w:basedOn w:val="Normal"/>
    <w:next w:val="Normal"/>
    <w:qFormat/>
    <w:pPr>
      <w:spacing w:after="100" w:before="240"/>
      <w:outlineLvl w:val="1"/>
    </w:pPr>
    <w:rPr>
      <w:rFonts w:ascii="Cambria" w:cs="Cambria" w:eastAsia="Cambria" w:hAnsi="Cambria"/>
      <w:b/>
      <w:bCs/>
      <w:color w:val="0E7C86"/>
      <w:sz w:val="26"/>
      <w:szCs w:val="26"/>
    </w:rPr>
  </w:style>
  <w:style w:type="paragraph" w:styleId="Heading3">
    <w:name w:val="Heading 3"/>
    <w:basedOn w:val="Normal"/>
    <w:next w:val="Normal"/>
    <w:qFormat/>
    <w:pPr>
      <w:spacing w:after="80" w:before="200"/>
      <w:outlineLvl w:val="2"/>
    </w:pPr>
    <w:rPr>
      <w:rFonts w:ascii="Cambria" w:cs="Cambria" w:eastAsia="Cambria" w:hAnsi="Cambria"/>
      <w:b/>
      <w:bCs/>
      <w:color w:val="1B1F2E"/>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../SOLUCIONARIO.docx</dc:title>
  <dc:creator>Carlos Arturo Ramos Mejía</dc:creator>
  <cp:lastModifiedBy>Un-named</cp:lastModifiedBy>
  <cp:revision>1</cp:revision>
  <dcterms:created xsi:type="dcterms:W3CDTF">2026-10-05T03:49:30.856Z</dcterms:created>
  <dcterms:modified xsi:type="dcterms:W3CDTF">2026-10-05T03:49:30.863Z</dcterms:modified>
</cp:coreProperties>
</file>

<file path=docProps/custom.xml><?xml version="1.0" encoding="utf-8"?>
<Properties xmlns="http://schemas.openxmlformats.org/officeDocument/2006/custom-properties" xmlns:vt="http://schemas.openxmlformats.org/officeDocument/2006/docPropsVTypes"/>
</file>