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Conferencia «Derecho y tecnología para el lunes»</w:t>
      </w:r>
    </w:p>
    <w:p>
      <w:pPr>
        <w:pStyle w:val="Heading1"/>
      </w:pPr>
      <w:r>
        <w:t xml:space="preserve">Contratos, datos personales, prueba electrónica e inteligencia artificial en la práctica del abogado colombiano</w:t>
      </w:r>
    </w:p>
    <w:p>
      <w:pPr>
        <w:spacing w:after="120"/>
      </w:pPr>
      <w:r>
        <w:rPr>
          <w:b/>
          <w:bCs/>
        </w:rPr>
        <w:t xml:space="preserve">Duración:</w:t>
      </w:r>
      <w:r>
        <w:t xml:space="preserve"> 120 minutos exactos (agenda minuto a minuto más abajo).</w:t>
      </w:r>
    </w:p>
    <w:p>
      <w:pPr>
        <w:spacing w:after="120"/>
      </w:pPr>
      <w:r>
        <w:rPr>
          <w:b/>
          <w:bCs/>
        </w:rPr>
        <w:t xml:space="preserve">Fuentes:</w:t>
      </w:r>
      <w:r>
        <w:t xml:space="preserve"> exclusivamente Universidad Externado de Colombia, Harvard (Harvard Law School, Berkman Klein Center, Harvard Journal of Law &amp; Technology, HarvardX) y Universidad de los Andes (Facultad de Derecho, GECTI, Observatorio Ciro Angarita Barón). El catálogo completo, con URL y estado de verificación de cada fuente, está en </w:t>
      </w:r>
      <w:r>
        <w:rPr>
          <w:rFonts w:ascii="Consolas" w:cs="Consolas" w:eastAsia="Consolas" w:hAnsi="Consolas"/>
          <w:sz w:val="18"/>
          <w:szCs w:val="18"/>
        </w:rPr>
        <w:t xml:space="preserve">FUENTES.md</w:t>
      </w:r>
      <w:r>
        <w:t xml:space="preserve">.</w:t>
      </w:r>
    </w:p>
    <w:p>
      <w:pPr>
        <w:spacing w:after="120"/>
      </w:pPr>
      <w:r>
        <w:rPr>
          <w:b/>
          <w:bCs/>
        </w:rPr>
        <w:t xml:space="preserve">Audiencia:</w:t>
      </w:r>
      <w:r>
        <w:t xml:space="preserve"> abogados litigantes y asesores (20 a 40 personas), sin formación técnica previa, que necesitan herramientas aplicables de inmediato.</w:t>
      </w:r>
    </w:p>
    <w:p>
      <w:pPr>
        <w:spacing w:after="120"/>
      </w:pPr>
      <w:r>
        <w:rPr>
          <w:b/>
          <w:bCs/>
        </w:rPr>
        <w:t xml:space="preserve">Formato:</w:t>
      </w:r>
      <w:r>
        <w:t xml:space="preserve"> presencial o híbrido; 4 fragmentos de video (todos de 2025 y 2026), 4 lecturas previas y 1 lectura guiada en sala, 1 ejercicio individual, 2 talleres grupales, 3 bloques de preguntas y un banco de 20 preguntas con respuesta modelo.</w:t>
      </w:r>
    </w:p>
    <w:p>
      <w:pPr>
        <w:spacing w:after="120"/>
      </w:pPr>
      <w:r>
        <w:rPr>
          <w:b/>
          <w:bCs/>
        </w:rPr>
        <w:t xml:space="preserve">Criterio de actualidad:</w:t>
      </w:r>
      <w:r>
        <w:t xml:space="preserve"> los videos que se proyectan son solo de 2025 y 2026; las lecturas centrales son de 2024 a 2026. Los textos anteriores (Lessig 2000, Gasser y Almeida 2017, Guía GECTI 2018, Padilla Sánchez 2020) se conservan únicamente como marco conceptual, herramienta operativa o doctrina de referencia, siempre con el año a la vista.</w:t>
      </w:r>
    </w:p>
    <w:p>
      <w:pPr>
        <w:spacing w:after="120"/>
      </w:pPr>
      <w:r>
        <w:rPr>
          <w:b/>
          <w:bCs/>
        </w:rPr>
        <w:t xml:space="preserve">Idioma:</w:t>
      </w:r>
      <w:r>
        <w:t xml:space="preserve"> español. Los materiales de Harvard se entregan con extracto traducido de media página y los videos en inglés se proyectan con subtítulos en español.</w:t>
      </w:r>
    </w:p>
    <w:p>
      <w:pPr>
        <w:pBdr>
          <w:bottom w:val="single" w:color="999999" w:sz="6" w:space="1"/>
        </w:pBdr>
      </w:pPr>
    </w:p>
    <w:p>
      <w:pPr>
        <w:pStyle w:val="Heading1"/>
      </w:pPr>
      <w:r>
        <w:t xml:space="preserve">1. Tesis e hilo conductor</w:t>
      </w:r>
    </w:p>
    <w:p>
      <w:pPr>
        <w:spacing w:after="120"/>
      </w:pPr>
      <w:r>
        <w:t xml:space="preserve">La tecnología no cambió los deberes del abogado (diligencia, verificación, lealtad, confidencialidad); cambió la forma en que se cumplen y se prueban. En dos horas los asistentes convierten cuatro marcos colombianos —Ley 527 de 1999, Ley 1581 de 2012, Sentencia T-323 de 2024 de la Corte Constitucional (junto con la STC17832-2025 y el AC739-2026 de la Corte Suprema) y la Circular Externa 002 de 2024 de la SIC— en tres herramientas de uso inmediato.</w:t>
      </w:r>
    </w:p>
    <w:p>
      <w:pPr>
        <w:spacing w:after="120"/>
      </w:pPr>
      <w:r>
        <w:t xml:space="preserve">Cada bloque lleva la etiqueta de uno de </w:t>
      </w:r>
      <w:r>
        <w:rPr>
          <w:b/>
          <w:bCs/>
        </w:rPr>
        <w:t xml:space="preserve">cuatro deberes</w:t>
      </w:r>
      <w:r>
        <w:t xml:space="preserve"> que sirven de hilo narrativo y de recurso de memoria: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6"/>
        <w:gridCol w:w="2484"/>
        <w:gridCol w:w="6038"/>
      </w:tblGrid>
      <w:tr>
        <w:trPr>
          <w:tblHeader/>
        </w:trPr>
        <w:tc>
          <w:tcPr>
            <w:tcW w:type="dxa" w:w="1116"/>
            <w:shd w:fill="E8EEF7" w:color="auto" w:val="clear"/>
            <w:tcMar>
              <w:top w:type="dxa" w:w="60"/>
              <w:left w:type="dxa" w:w="80"/>
              <w:bottom w:type="dxa" w:w="60"/>
              <w:right w:type="dxa" w:w="80"/>
            </w:tcMar>
          </w:tcPr>
          <w:p>
            <w:r>
              <w:rPr>
                <w:b/>
                <w:bCs/>
                <w:sz w:val="18"/>
                <w:szCs w:val="18"/>
              </w:rPr>
              <w:t xml:space="preserve">Deber</w:t>
            </w:r>
          </w:p>
        </w:tc>
        <w:tc>
          <w:tcPr>
            <w:tcW w:type="dxa" w:w="2484"/>
            <w:shd w:fill="E8EEF7" w:color="auto" w:val="clear"/>
            <w:tcMar>
              <w:top w:type="dxa" w:w="60"/>
              <w:left w:type="dxa" w:w="80"/>
              <w:bottom w:type="dxa" w:w="60"/>
              <w:right w:type="dxa" w:w="80"/>
            </w:tcMar>
          </w:tcPr>
          <w:p>
            <w:r>
              <w:rPr>
                <w:b/>
                <w:bCs/>
                <w:sz w:val="18"/>
                <w:szCs w:val="18"/>
              </w:rPr>
              <w:t xml:space="preserve">Bloques</w:t>
            </w:r>
          </w:p>
        </w:tc>
        <w:tc>
          <w:tcPr>
            <w:tcW w:type="dxa" w:w="6038"/>
            <w:shd w:fill="E8EEF7" w:color="auto" w:val="clear"/>
            <w:tcMar>
              <w:top w:type="dxa" w:w="60"/>
              <w:left w:type="dxa" w:w="80"/>
              <w:bottom w:type="dxa" w:w="60"/>
              <w:right w:type="dxa" w:w="80"/>
            </w:tcMar>
          </w:tcPr>
          <w:p>
            <w:r>
              <w:rPr>
                <w:b/>
                <w:bCs/>
                <w:sz w:val="18"/>
                <w:szCs w:val="18"/>
              </w:rPr>
              <w:t xml:space="preserve">Pregunta que responde</w:t>
            </w:r>
          </w:p>
        </w:tc>
      </w:tr>
      <w:tr>
        <w:trPr>
          <w:tblHeader w:val="off"/>
        </w:trPr>
        <w:tc>
          <w:tcPr>
            <w:tcW w:type="dxa" w:w="1116"/>
            <w:tcMar>
              <w:top w:type="dxa" w:w="60"/>
              <w:left w:type="dxa" w:w="80"/>
              <w:bottom w:type="dxa" w:w="60"/>
              <w:right w:type="dxa" w:w="80"/>
            </w:tcMar>
          </w:tcPr>
          <w:p>
            <w:r>
              <w:rPr>
                <w:b/>
                <w:bCs/>
                <w:sz w:val="18"/>
                <w:szCs w:val="18"/>
              </w:rPr>
              <w:t xml:space="preserve">Verificar</w:t>
            </w:r>
          </w:p>
        </w:tc>
        <w:tc>
          <w:tcPr>
            <w:tcW w:type="dxa" w:w="2484"/>
            <w:tcMar>
              <w:top w:type="dxa" w:w="60"/>
              <w:left w:type="dxa" w:w="80"/>
              <w:bottom w:type="dxa" w:w="60"/>
              <w:right w:type="dxa" w:w="80"/>
            </w:tcMar>
          </w:tcPr>
          <w:p>
            <w:r>
              <w:rPr>
                <w:sz w:val="18"/>
                <w:szCs w:val="18"/>
              </w:rPr>
              <w:t xml:space="preserve">Video 1, ejercicio individual, primera ronda de preguntas</w:t>
            </w:r>
          </w:p>
        </w:tc>
        <w:tc>
          <w:tcPr>
            <w:tcW w:type="dxa" w:w="6038"/>
            <w:tcMar>
              <w:top w:type="dxa" w:w="60"/>
              <w:left w:type="dxa" w:w="80"/>
              <w:bottom w:type="dxa" w:w="60"/>
              <w:right w:type="dxa" w:w="80"/>
            </w:tcMar>
          </w:tcPr>
          <w:p>
            <w:r>
              <w:rPr>
                <w:sz w:val="18"/>
                <w:szCs w:val="18"/>
              </w:rPr>
              <w:t xml:space="preserve">¿Qué hago antes de firmar un escrito hecho con IA?</w:t>
            </w:r>
          </w:p>
        </w:tc>
      </w:tr>
      <w:tr>
        <w:trPr>
          <w:tblHeader w:val="off"/>
        </w:trPr>
        <w:tc>
          <w:tcPr>
            <w:tcW w:type="dxa" w:w="1116"/>
            <w:tcMar>
              <w:top w:type="dxa" w:w="60"/>
              <w:left w:type="dxa" w:w="80"/>
              <w:bottom w:type="dxa" w:w="60"/>
              <w:right w:type="dxa" w:w="80"/>
            </w:tcMar>
          </w:tcPr>
          <w:p>
            <w:r>
              <w:rPr>
                <w:b/>
                <w:bCs/>
                <w:sz w:val="18"/>
                <w:szCs w:val="18"/>
              </w:rPr>
              <w:t xml:space="preserve">Demostrar</w:t>
            </w:r>
          </w:p>
        </w:tc>
        <w:tc>
          <w:tcPr>
            <w:tcW w:type="dxa" w:w="2484"/>
            <w:tcMar>
              <w:top w:type="dxa" w:w="60"/>
              <w:left w:type="dxa" w:w="80"/>
              <w:bottom w:type="dxa" w:w="60"/>
              <w:right w:type="dxa" w:w="80"/>
            </w:tcMar>
          </w:tcPr>
          <w:p>
            <w:r>
              <w:rPr>
                <w:sz w:val="18"/>
                <w:szCs w:val="18"/>
              </w:rPr>
              <w:t xml:space="preserve">Video 2, lectura guiada, Taller 1</w:t>
            </w:r>
          </w:p>
        </w:tc>
        <w:tc>
          <w:tcPr>
            <w:tcW w:type="dxa" w:w="6038"/>
            <w:tcMar>
              <w:top w:type="dxa" w:w="60"/>
              <w:left w:type="dxa" w:w="80"/>
              <w:bottom w:type="dxa" w:w="60"/>
              <w:right w:type="dxa" w:w="80"/>
            </w:tcMar>
          </w:tcPr>
          <w:p>
            <w:r>
              <w:rPr>
                <w:sz w:val="18"/>
                <w:szCs w:val="18"/>
              </w:rPr>
              <w:t xml:space="preserve">¿Cómo pruebo un contrato celebrado por WhatsApp y qué hago con un smart contract que falló?</w:t>
            </w:r>
          </w:p>
        </w:tc>
      </w:tr>
      <w:tr>
        <w:trPr>
          <w:tblHeader w:val="off"/>
        </w:trPr>
        <w:tc>
          <w:tcPr>
            <w:tcW w:type="dxa" w:w="1116"/>
            <w:tcMar>
              <w:top w:type="dxa" w:w="60"/>
              <w:left w:type="dxa" w:w="80"/>
              <w:bottom w:type="dxa" w:w="60"/>
              <w:right w:type="dxa" w:w="80"/>
            </w:tcMar>
          </w:tcPr>
          <w:p>
            <w:r>
              <w:rPr>
                <w:b/>
                <w:bCs/>
                <w:sz w:val="18"/>
                <w:szCs w:val="18"/>
              </w:rPr>
              <w:t xml:space="preserve">Consentir</w:t>
            </w:r>
          </w:p>
        </w:tc>
        <w:tc>
          <w:tcPr>
            <w:tcW w:type="dxa" w:w="2484"/>
            <w:tcMar>
              <w:top w:type="dxa" w:w="60"/>
              <w:left w:type="dxa" w:w="80"/>
              <w:bottom w:type="dxa" w:w="60"/>
              <w:right w:type="dxa" w:w="80"/>
            </w:tcMar>
          </w:tcPr>
          <w:p>
            <w:r>
              <w:rPr>
                <w:sz w:val="18"/>
                <w:szCs w:val="18"/>
              </w:rPr>
              <w:t xml:space="preserve">Video 3, Taller 2</w:t>
            </w:r>
          </w:p>
        </w:tc>
        <w:tc>
          <w:tcPr>
            <w:tcW w:type="dxa" w:w="6038"/>
            <w:tcMar>
              <w:top w:type="dxa" w:w="60"/>
              <w:left w:type="dxa" w:w="80"/>
              <w:bottom w:type="dxa" w:w="60"/>
              <w:right w:type="dxa" w:w="80"/>
            </w:tcMar>
          </w:tcPr>
          <w:p>
            <w:r>
              <w:rPr>
                <w:sz w:val="18"/>
                <w:szCs w:val="18"/>
              </w:rPr>
              <w:t xml:space="preserve">¿Qué exijo antes de que un cliente entregue datos sensibles a un proveedor de nube o de IA?</w:t>
            </w:r>
          </w:p>
        </w:tc>
      </w:tr>
      <w:tr>
        <w:trPr>
          <w:tblHeader w:val="off"/>
        </w:trPr>
        <w:tc>
          <w:tcPr>
            <w:tcW w:type="dxa" w:w="1116"/>
            <w:tcMar>
              <w:top w:type="dxa" w:w="60"/>
              <w:left w:type="dxa" w:w="80"/>
              <w:bottom w:type="dxa" w:w="60"/>
              <w:right w:type="dxa" w:w="80"/>
            </w:tcMar>
          </w:tcPr>
          <w:p>
            <w:r>
              <w:rPr>
                <w:b/>
                <w:bCs/>
                <w:sz w:val="18"/>
                <w:szCs w:val="18"/>
              </w:rPr>
              <w:t xml:space="preserve">Explicar</w:t>
            </w:r>
          </w:p>
        </w:tc>
        <w:tc>
          <w:tcPr>
            <w:tcW w:type="dxa" w:w="2484"/>
            <w:tcMar>
              <w:top w:type="dxa" w:w="60"/>
              <w:left w:type="dxa" w:w="80"/>
              <w:bottom w:type="dxa" w:w="60"/>
              <w:right w:type="dxa" w:w="80"/>
            </w:tcMar>
          </w:tcPr>
          <w:p>
            <w:r>
              <w:rPr>
                <w:sz w:val="18"/>
                <w:szCs w:val="18"/>
              </w:rPr>
              <w:t xml:space="preserve">Video 4, debate, cierre</w:t>
            </w:r>
          </w:p>
        </w:tc>
        <w:tc>
          <w:tcPr>
            <w:tcW w:type="dxa" w:w="6038"/>
            <w:tcMar>
              <w:top w:type="dxa" w:w="60"/>
              <w:left w:type="dxa" w:w="80"/>
              <w:bottom w:type="dxa" w:w="60"/>
              <w:right w:type="dxa" w:w="80"/>
            </w:tcMar>
          </w:tcPr>
          <w:p>
            <w:r>
              <w:rPr>
                <w:sz w:val="18"/>
                <w:szCs w:val="18"/>
              </w:rPr>
              <w:t xml:space="preserve">¿Qué puede exigirse a una decisión automatizada y a una voz clonada?</w:t>
            </w:r>
          </w:p>
        </w:tc>
      </w:tr>
    </w:tbl>
    <w:p/>
    <w:p>
      <w:pPr>
        <w:spacing w:after="120"/>
      </w:pPr>
      <w:r>
        <w:t xml:space="preserve">El mapa conceptual de fondo viene de Harvard y se presenta en una sola diapositiva en la apertura: las cuatro modalidades de regulación de Lawrence Lessig (ley, normas sociales, mercado y arquitectura o código: «el código es ley») y las tres capas del modelo de gobernanza de la IA de Urs Gasser y Virgílio Almeida (capa técnica, capa ética y capa social y legal). En el cierre los cuatro deberes se ubican sobre esas capas.</w:t>
      </w:r>
    </w:p>
    <w:p>
      <w:pPr>
        <w:pStyle w:val="Heading1"/>
      </w:pPr>
      <w:r>
        <w:t xml:space="preserve">2. Objetivos de aprendizaje</w:t>
      </w:r>
    </w:p>
    <w:p>
      <w:pPr>
        <w:spacing w:after="120"/>
      </w:pPr>
      <w:r>
        <w:t xml:space="preserve">Al terminar, cada asistente podrá:</w:t>
      </w:r>
    </w:p>
    <w:p>
      <w:pPr>
        <w:pStyle w:val="ListParagraph"/>
        <w:numPr>
          <w:ilvl w:val="0"/>
          <w:numId w:val="2"/>
        </w:numPr>
      </w:pPr>
      <w:r>
        <w:t xml:space="preserve">Aplicar un protocolo de verificación de cinco puntos a un escrito judicial elaborado con IA generativa, a partir de las condiciones fijadas en la Sentencia T-323 de 2024 y de la consecuencia de la STC17832-2025 (decisión apoyada en jurisprudencia inexistente).</w:t>
      </w:r>
    </w:p>
    <w:p>
      <w:pPr>
        <w:pStyle w:val="ListParagraph"/>
        <w:numPr>
          <w:ilvl w:val="0"/>
          <w:numId w:val="2"/>
        </w:numPr>
      </w:pPr>
      <w:r>
        <w:t xml:space="preserve">Determinar cuándo un intercambio por mensajes de datos (WhatsApp, correo, nota de voz) forma contrato bajo la Ley 527 de 1999 y ejecutar un protocolo de conservación y aportación de esa evidencia conforme al artículo 247 del Código General del Proceso.</w:t>
      </w:r>
    </w:p>
    <w:p>
      <w:pPr>
        <w:pStyle w:val="ListParagraph"/>
        <w:numPr>
          <w:ilvl w:val="0"/>
          <w:numId w:val="2"/>
        </w:numPr>
      </w:pPr>
      <w:r>
        <w:t xml:space="preserve">Identificar los riesgos jurídicos propios de un smart contract (inmutabilidad, errores de código, oráculos) y redactar dos cláusulas de mitigación reutilizables.</w:t>
      </w:r>
    </w:p>
    <w:p>
      <w:pPr>
        <w:pStyle w:val="ListParagraph"/>
        <w:numPr>
          <w:ilvl w:val="0"/>
          <w:numId w:val="2"/>
        </w:numPr>
      </w:pPr>
      <w:r>
        <w:t xml:space="preserve">Distinguir transferencia y transmisión internacional de datos personales y aplicar el principio de responsabilidad demostrada a la contratación de un proveedor de nube o de IA con servidores en el exterior.</w:t>
      </w:r>
    </w:p>
    <w:p>
      <w:pPr>
        <w:pStyle w:val="ListParagraph"/>
        <w:numPr>
          <w:ilvl w:val="0"/>
          <w:numId w:val="2"/>
        </w:numPr>
      </w:pPr>
      <w:r>
        <w:t xml:space="preserve">Evaluar el tratamiento de datos sensibles (salud, biometría) en sistemas de IA bajo la Ley 1581 de 2012 y los lineamientos de la Circular Externa 002 de 2024 de la SIC, con una prueba de necesidad y proporcionalidad.</w:t>
      </w:r>
    </w:p>
    <w:p>
      <w:pPr>
        <w:pStyle w:val="ListParagraph"/>
        <w:numPr>
          <w:ilvl w:val="0"/>
          <w:numId w:val="2"/>
        </w:numPr>
      </w:pPr>
      <w:r>
        <w:t xml:space="preserve">Traducir los ocho temas de consenso del informe </w:t>
      </w:r>
      <w:r>
        <w:rPr>
          <w:i/>
          <w:iCs/>
        </w:rPr>
        <w:t xml:space="preserve">Principled Artificial Intelligence</w:t>
      </w:r>
      <w:r>
        <w:t xml:space="preserve"> (Berkman Klein Center) en cláusulas contractuales verificables y anticipar los riesgos probatorios de los deepfakes y la clonación de voz.</w:t>
      </w:r>
    </w:p>
    <w:p>
      <w:pPr>
        <w:pStyle w:val="Heading1"/>
      </w:pPr>
      <w:r>
        <w:t xml:space="preserve">3. Entregables que cada asistente se lleva</w:t>
      </w:r>
    </w:p>
    <w:p>
      <w:pPr>
        <w:pStyle w:val="ListParagraph"/>
        <w:numPr>
          <w:ilvl w:val="0"/>
          <w:numId w:val="3"/>
        </w:numPr>
      </w:pPr>
      <w:r>
        <w:rPr>
          <w:b/>
          <w:bCs/>
        </w:rPr>
        <w:t xml:space="preserve">Protocolo de uso y verificación de IA generativa de la firma</w:t>
      </w:r>
      <w:r>
        <w:t xml:space="preserve"> (una página): se construye con las reglas que los asistentes escriben en el ejercicio individual y se consolida en el cierre.</w:t>
      </w:r>
    </w:p>
    <w:p>
      <w:pPr>
        <w:pStyle w:val="ListParagraph"/>
        <w:numPr>
          <w:ilvl w:val="0"/>
          <w:numId w:val="3"/>
        </w:numPr>
      </w:pPr>
      <w:r>
        <w:rPr>
          <w:b/>
          <w:bCs/>
        </w:rPr>
        <w:t xml:space="preserve">Protocolo de conservación y aportación de mensajes de datos</w:t>
      </w:r>
      <w:r>
        <w:t xml:space="preserve"> (una página, seis casillas) y </w:t>
      </w:r>
      <w:r>
        <w:rPr>
          <w:b/>
          <w:bCs/>
        </w:rPr>
        <w:t xml:space="preserve">dos cláusulas modelo</w:t>
      </w:r>
      <w:r>
        <w:t xml:space="preserve"> para contratos con ejecución automatizada (Taller 1).</w:t>
      </w:r>
    </w:p>
    <w:p>
      <w:pPr>
        <w:pStyle w:val="ListParagraph"/>
        <w:numPr>
          <w:ilvl w:val="0"/>
          <w:numId w:val="3"/>
        </w:numPr>
      </w:pPr>
      <w:r>
        <w:rPr>
          <w:b/>
          <w:bCs/>
        </w:rPr>
        <w:t xml:space="preserve">Matriz de due diligence de datos e IA para proveedores</w:t>
      </w:r>
      <w:r>
        <w:t xml:space="preserve"> con semáforo y lista de cláusulas exigibles (Taller 2).</w:t>
      </w:r>
    </w:p>
    <w:p>
      <w:pPr>
        <w:spacing w:after="120"/>
      </w:pPr>
      <w:r>
        <w:t xml:space="preserve">El mismo día se envía el paquete digital: las tres plantillas, la clave del ejercicio, los extractos usados, el protocolo consolidado y la lista de fuentes con URL (</w:t>
      </w:r>
      <w:r>
        <w:rPr>
          <w:rFonts w:ascii="Consolas" w:cs="Consolas" w:eastAsia="Consolas" w:hAnsi="Consolas"/>
          <w:sz w:val="18"/>
          <w:szCs w:val="18"/>
        </w:rPr>
        <w:t xml:space="preserve">FUENTES.md</w:t>
      </w:r>
      <w:r>
        <w:t xml:space="preserve">).</w:t>
      </w:r>
    </w:p>
    <w:p>
      <w:pPr>
        <w:pStyle w:val="Heading1"/>
      </w:pPr>
      <w:r>
        <w:t xml:space="preserve">4. Lecturas previas</w:t>
      </w:r>
    </w:p>
    <w:p>
      <w:pPr>
        <w:spacing w:after="120"/>
      </w:pPr>
      <w:r>
        <w:t xml:space="preserve">Se envían una semana antes. Las cuatro obligatorias suman unos 40 minutos de lectura. Todas las obligatorias son de 2024 a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6103"/>
        <w:gridCol w:w="674"/>
        <w:gridCol w:w="674"/>
        <w:gridCol w:w="674"/>
        <w:gridCol w:w="839"/>
      </w:tblGrid>
      <w:tr>
        <w:trPr>
          <w:tblHeader/>
        </w:trPr>
        <w:tc>
          <w:tcPr>
            <w:tcW w:type="dxa" w:w="674"/>
            <w:shd w:fill="E8EEF7" w:color="auto" w:val="clear"/>
            <w:tcMar>
              <w:top w:type="dxa" w:w="60"/>
              <w:left w:type="dxa" w:w="80"/>
              <w:bottom w:type="dxa" w:w="60"/>
              <w:right w:type="dxa" w:w="80"/>
            </w:tcMar>
          </w:tcPr>
          <w:p>
            <w:r>
              <w:rPr>
                <w:b/>
                <w:bCs/>
                <w:sz w:val="16"/>
                <w:szCs w:val="16"/>
              </w:rPr>
              <w:t xml:space="preserve">#</w:t>
            </w:r>
          </w:p>
        </w:tc>
        <w:tc>
          <w:tcPr>
            <w:tcW w:type="dxa" w:w="6103"/>
            <w:shd w:fill="E8EEF7" w:color="auto" w:val="clear"/>
            <w:tcMar>
              <w:top w:type="dxa" w:w="60"/>
              <w:left w:type="dxa" w:w="80"/>
              <w:bottom w:type="dxa" w:w="60"/>
              <w:right w:type="dxa" w:w="80"/>
            </w:tcMar>
          </w:tcPr>
          <w:p>
            <w:r>
              <w:rPr>
                <w:b/>
                <w:bCs/>
                <w:sz w:val="16"/>
                <w:szCs w:val="16"/>
              </w:rPr>
              <w:t xml:space="preserve">Lectura</w:t>
            </w:r>
          </w:p>
        </w:tc>
        <w:tc>
          <w:tcPr>
            <w:tcW w:type="dxa" w:w="674"/>
            <w:shd w:fill="E8EEF7" w:color="auto" w:val="clear"/>
            <w:tcMar>
              <w:top w:type="dxa" w:w="60"/>
              <w:left w:type="dxa" w:w="80"/>
              <w:bottom w:type="dxa" w:w="60"/>
              <w:right w:type="dxa" w:w="80"/>
            </w:tcMar>
          </w:tcPr>
          <w:p>
            <w:r>
              <w:rPr>
                <w:b/>
                <w:bCs/>
                <w:sz w:val="16"/>
                <w:szCs w:val="16"/>
              </w:rPr>
              <w:t xml:space="preserve">Institución</w:t>
            </w:r>
          </w:p>
        </w:tc>
        <w:tc>
          <w:tcPr>
            <w:tcW w:type="dxa" w:w="674"/>
            <w:shd w:fill="E8EEF7" w:color="auto" w:val="clear"/>
            <w:tcMar>
              <w:top w:type="dxa" w:w="60"/>
              <w:left w:type="dxa" w:w="80"/>
              <w:bottom w:type="dxa" w:w="60"/>
              <w:right w:type="dxa" w:w="80"/>
            </w:tcMar>
          </w:tcPr>
          <w:p>
            <w:r>
              <w:rPr>
                <w:b/>
                <w:bCs/>
                <w:sz w:val="16"/>
                <w:szCs w:val="16"/>
              </w:rPr>
              <w:t xml:space="preserve">Año</w:t>
            </w:r>
          </w:p>
        </w:tc>
        <w:tc>
          <w:tcPr>
            <w:tcW w:type="dxa" w:w="674"/>
            <w:shd w:fill="E8EEF7" w:color="auto" w:val="clear"/>
            <w:tcMar>
              <w:top w:type="dxa" w:w="60"/>
              <w:left w:type="dxa" w:w="80"/>
              <w:bottom w:type="dxa" w:w="60"/>
              <w:right w:type="dxa" w:w="80"/>
            </w:tcMar>
          </w:tcPr>
          <w:p>
            <w:r>
              <w:rPr>
                <w:b/>
                <w:bCs/>
                <w:sz w:val="16"/>
                <w:szCs w:val="16"/>
              </w:rPr>
              <w:t xml:space="preserve">Tiempo</w:t>
            </w:r>
          </w:p>
        </w:tc>
        <w:tc>
          <w:tcPr>
            <w:tcW w:type="dxa" w:w="839"/>
            <w:shd w:fill="E8EEF7" w:color="auto" w:val="clear"/>
            <w:tcMar>
              <w:top w:type="dxa" w:w="60"/>
              <w:left w:type="dxa" w:w="80"/>
              <w:bottom w:type="dxa" w:w="60"/>
              <w:right w:type="dxa" w:w="80"/>
            </w:tcMar>
          </w:tcPr>
          <w:p>
            <w:r>
              <w:rPr>
                <w:b/>
                <w:bCs/>
                <w:sz w:val="16"/>
                <w:szCs w:val="16"/>
              </w:rPr>
              <w:t xml:space="preserve">Para qué sirve</w:t>
            </w:r>
          </w:p>
        </w:tc>
      </w:tr>
      <w:tr>
        <w:trPr>
          <w:tblHeader w:val="off"/>
        </w:trPr>
        <w:tc>
          <w:tcPr>
            <w:tcW w:type="dxa" w:w="674"/>
            <w:tcMar>
              <w:top w:type="dxa" w:w="60"/>
              <w:left w:type="dxa" w:w="80"/>
              <w:bottom w:type="dxa" w:w="60"/>
              <w:right w:type="dxa" w:w="80"/>
            </w:tcMar>
          </w:tcPr>
          <w:p>
            <w:r>
              <w:rPr>
                <w:sz w:val="16"/>
                <w:szCs w:val="16"/>
              </w:rPr>
              <w:t xml:space="preserve">1 (obligatoria)</w:t>
            </w:r>
          </w:p>
        </w:tc>
        <w:tc>
          <w:tcPr>
            <w:tcW w:type="dxa" w:w="6103"/>
            <w:tcMar>
              <w:top w:type="dxa" w:w="60"/>
              <w:left w:type="dxa" w:w="80"/>
              <w:bottom w:type="dxa" w:w="60"/>
              <w:right w:type="dxa" w:w="80"/>
            </w:tcMar>
          </w:tcPr>
          <w:p>
            <w:r>
              <w:rPr>
                <w:b/>
                <w:bCs/>
                <w:sz w:val="16"/>
                <w:szCs w:val="16"/>
              </w:rPr>
              <w:t xml:space="preserve">Resumen de la Sentencia T-323 de 2024 de la Corte Constitucional sobre el uso de IA por jueces</w:t>
            </w:r>
            <w:r>
              <w:rPr>
                <w:sz w:val="16"/>
                <w:szCs w:val="16"/>
              </w:rPr>
              <w:t xml:space="preserve"> — Blog del Departamento de Propiedad Intelectual. </w:t>
            </w:r>
            <w:hyperlink w:history="1" r:id="rIdkvudprl8ybb00g6tb3vwd">
              <w:r>
                <w:rPr>
                  <w:rStyle w:val="Hyperlink"/>
                  <w:sz w:val="16"/>
                  <w:szCs w:val="16"/>
                </w:rPr>
                <w:t xml:space="preserve">https://propintel.uexternado.edu.co/resumen-de-la-sentencia-t-323-de-2024-de-la-corte-constitucional-de-colombia-sobre-el-uso-de-ia-por-jueces-de-la-republica/</w:t>
              </w:r>
            </w:hyperlink>
          </w:p>
        </w:tc>
        <w:tc>
          <w:tcPr>
            <w:tcW w:type="dxa" w:w="674"/>
            <w:tcMar>
              <w:top w:type="dxa" w:w="60"/>
              <w:left w:type="dxa" w:w="80"/>
              <w:bottom w:type="dxa" w:w="60"/>
              <w:right w:type="dxa" w:w="80"/>
            </w:tcMar>
          </w:tcPr>
          <w:p>
            <w:r>
              <w:rPr>
                <w:sz w:val="16"/>
                <w:szCs w:val="16"/>
              </w:rPr>
              <w:t xml:space="preserve">Externado</w:t>
            </w:r>
          </w:p>
        </w:tc>
        <w:tc>
          <w:tcPr>
            <w:tcW w:type="dxa" w:w="674"/>
            <w:tcMar>
              <w:top w:type="dxa" w:w="60"/>
              <w:left w:type="dxa" w:w="80"/>
              <w:bottom w:type="dxa" w:w="60"/>
              <w:right w:type="dxa" w:w="80"/>
            </w:tcMar>
          </w:tcPr>
          <w:p>
            <w:r>
              <w:rPr>
                <w:sz w:val="16"/>
                <w:szCs w:val="16"/>
              </w:rPr>
              <w:t xml:space="preserve">2024</w:t>
            </w:r>
          </w:p>
        </w:tc>
        <w:tc>
          <w:tcPr>
            <w:tcW w:type="dxa" w:w="674"/>
            <w:tcMar>
              <w:top w:type="dxa" w:w="60"/>
              <w:left w:type="dxa" w:w="80"/>
              <w:bottom w:type="dxa" w:w="60"/>
              <w:right w:type="dxa" w:w="80"/>
            </w:tcMar>
          </w:tcPr>
          <w:p>
            <w:r>
              <w:rPr>
                <w:sz w:val="16"/>
                <w:szCs w:val="16"/>
              </w:rPr>
              <w:t xml:space="preserve">10 min</w:t>
            </w:r>
          </w:p>
        </w:tc>
        <w:tc>
          <w:tcPr>
            <w:tcW w:type="dxa" w:w="839"/>
            <w:tcMar>
              <w:top w:type="dxa" w:w="60"/>
              <w:left w:type="dxa" w:w="80"/>
              <w:bottom w:type="dxa" w:w="60"/>
              <w:right w:type="dxa" w:w="80"/>
            </w:tcMar>
          </w:tcPr>
          <w:p>
            <w:r>
              <w:rPr>
                <w:sz w:val="16"/>
                <w:szCs w:val="16"/>
              </w:rPr>
              <w:t xml:space="preserve">Base del ejercicio individual: la Corte no encontró sustitución de la función judicial porque el juez ya había decidido, pero advirtió que no se cumplieron plenamente transparencia y responsabilidad, y que la IA no reemplaza el razonamiento humano.</w:t>
            </w:r>
          </w:p>
        </w:tc>
      </w:tr>
      <w:tr>
        <w:trPr>
          <w:tblHeader w:val="off"/>
        </w:trPr>
        <w:tc>
          <w:tcPr>
            <w:tcW w:type="dxa" w:w="674"/>
            <w:tcMar>
              <w:top w:type="dxa" w:w="60"/>
              <w:left w:type="dxa" w:w="80"/>
              <w:bottom w:type="dxa" w:w="60"/>
              <w:right w:type="dxa" w:w="80"/>
            </w:tcMar>
          </w:tcPr>
          <w:p>
            <w:r>
              <w:rPr>
                <w:sz w:val="16"/>
                <w:szCs w:val="16"/>
              </w:rPr>
              <w:t xml:space="preserve">2 (obligatoria)</w:t>
            </w:r>
          </w:p>
        </w:tc>
        <w:tc>
          <w:tcPr>
            <w:tcW w:type="dxa" w:w="6103"/>
            <w:tcMar>
              <w:top w:type="dxa" w:w="60"/>
              <w:left w:type="dxa" w:w="80"/>
              <w:bottom w:type="dxa" w:w="60"/>
              <w:right w:type="dxa" w:w="80"/>
            </w:tcMar>
          </w:tcPr>
          <w:p>
            <w:r>
              <w:rPr>
                <w:b/>
                <w:bCs/>
                <w:sz w:val="16"/>
                <w:szCs w:val="16"/>
              </w:rPr>
              <w:t xml:space="preserve">Cuando la inteligencia artificial inventa el derecho: riesgos para la profesión jurídica</w:t>
            </w:r>
            <w:r>
              <w:rPr>
                <w:sz w:val="16"/>
                <w:szCs w:val="16"/>
              </w:rPr>
              <w:t xml:space="preserve"> — Blog Jurídico TECH del Departamento de Derecho, Comunicaciones y Tecnologías de la Información. </w:t>
            </w:r>
            <w:hyperlink w:history="1" r:id="rIdfgvnnjxjuvpd4ix3h0vac">
              <w:r>
                <w:rPr>
                  <w:rStyle w:val="Hyperlink"/>
                  <w:sz w:val="16"/>
                  <w:szCs w:val="16"/>
                </w:rPr>
                <w:t xml:space="preserve">https://telecomunicaciones.uexternado.edu.co/cuando-la-inteligencia-artificial-inventa-el-derecho-riesgos-para-la-profesion-juridica/</w:t>
              </w:r>
            </w:hyperlink>
            <w:r>
              <w:rPr>
                <w:sz w:val="16"/>
                <w:szCs w:val="16"/>
              </w:rPr>
              <w:t xml:space="preserve"> Complemento: </w:t>
            </w:r>
            <w:r>
              <w:rPr>
                <w:b/>
                <w:bCs/>
                <w:sz w:val="16"/>
                <w:szCs w:val="16"/>
              </w:rPr>
              <w:t xml:space="preserve">El Externado analiza el uso de la IA en la justicia colombiana</w:t>
            </w:r>
            <w:r>
              <w:rPr>
                <w:sz w:val="16"/>
                <w:szCs w:val="16"/>
              </w:rPr>
              <w:t xml:space="preserve"> (STC17832-2025 y AC739-2026, febrero de 2026). </w:t>
            </w:r>
            <w:hyperlink w:history="1" r:id="rIdmbgau_-yjyhvpxf2w8h6u">
              <w:r>
                <w:rPr>
                  <w:rStyle w:val="Hyperlink"/>
                  <w:sz w:val="16"/>
                  <w:szCs w:val="16"/>
                </w:rPr>
                <w:t xml:space="preserve">https://www.uexternado.edu.co/derecho/el-externado-analiza-el-uso-de-la-inteligencia-artificial-en-la-justicia-colombiana/</w:t>
              </w:r>
            </w:hyperlink>
          </w:p>
        </w:tc>
        <w:tc>
          <w:tcPr>
            <w:tcW w:type="dxa" w:w="674"/>
            <w:tcMar>
              <w:top w:type="dxa" w:w="60"/>
              <w:left w:type="dxa" w:w="80"/>
              <w:bottom w:type="dxa" w:w="60"/>
              <w:right w:type="dxa" w:w="80"/>
            </w:tcMar>
          </w:tcPr>
          <w:p>
            <w:r>
              <w:rPr>
                <w:sz w:val="16"/>
                <w:szCs w:val="16"/>
              </w:rPr>
              <w:t xml:space="preserve">Externado</w:t>
            </w:r>
          </w:p>
        </w:tc>
        <w:tc>
          <w:tcPr>
            <w:tcW w:type="dxa" w:w="674"/>
            <w:tcMar>
              <w:top w:type="dxa" w:w="60"/>
              <w:left w:type="dxa" w:w="80"/>
              <w:bottom w:type="dxa" w:w="60"/>
              <w:right w:type="dxa" w:w="80"/>
            </w:tcMar>
          </w:tcPr>
          <w:p>
            <w:r>
              <w:rPr>
                <w:sz w:val="16"/>
                <w:szCs w:val="16"/>
              </w:rPr>
              <w:t xml:space="preserve">2025 y 2026</w:t>
            </w:r>
          </w:p>
        </w:tc>
        <w:tc>
          <w:tcPr>
            <w:tcW w:type="dxa" w:w="674"/>
            <w:tcMar>
              <w:top w:type="dxa" w:w="60"/>
              <w:left w:type="dxa" w:w="80"/>
              <w:bottom w:type="dxa" w:w="60"/>
              <w:right w:type="dxa" w:w="80"/>
            </w:tcMar>
          </w:tcPr>
          <w:p>
            <w:r>
              <w:rPr>
                <w:sz w:val="16"/>
                <w:szCs w:val="16"/>
              </w:rPr>
              <w:t xml:space="preserve">10 min</w:t>
            </w:r>
          </w:p>
        </w:tc>
        <w:tc>
          <w:tcPr>
            <w:tcW w:type="dxa" w:w="839"/>
            <w:tcMar>
              <w:top w:type="dxa" w:w="60"/>
              <w:left w:type="dxa" w:w="80"/>
              <w:bottom w:type="dxa" w:w="60"/>
              <w:right w:type="dxa" w:w="80"/>
            </w:tcMar>
          </w:tcPr>
          <w:p>
            <w:r>
              <w:rPr>
                <w:sz w:val="16"/>
                <w:szCs w:val="16"/>
              </w:rPr>
              <w:t xml:space="preserve">Las consecuencias reales de las citas inexistentes producidas por IA en Colombia; alimenta el ejercicio individual y la primera ronda de preguntas.</w:t>
            </w:r>
          </w:p>
        </w:tc>
      </w:tr>
      <w:tr>
        <w:trPr>
          <w:tblHeader w:val="off"/>
        </w:trPr>
        <w:tc>
          <w:tcPr>
            <w:tcW w:type="dxa" w:w="674"/>
            <w:tcMar>
              <w:top w:type="dxa" w:w="60"/>
              <w:left w:type="dxa" w:w="80"/>
              <w:bottom w:type="dxa" w:w="60"/>
              <w:right w:type="dxa" w:w="80"/>
            </w:tcMar>
          </w:tcPr>
          <w:p>
            <w:r>
              <w:rPr>
                <w:sz w:val="16"/>
                <w:szCs w:val="16"/>
              </w:rPr>
              <w:t xml:space="preserve">3 (obligatoria)</w:t>
            </w:r>
          </w:p>
        </w:tc>
        <w:tc>
          <w:tcPr>
            <w:tcW w:type="dxa" w:w="6103"/>
            <w:tcMar>
              <w:top w:type="dxa" w:w="60"/>
              <w:left w:type="dxa" w:w="80"/>
              <w:bottom w:type="dxa" w:w="60"/>
              <w:right w:type="dxa" w:w="80"/>
            </w:tcMar>
          </w:tcPr>
          <w:p>
            <w:r>
              <w:rPr>
                <w:b/>
                <w:bCs/>
                <w:sz w:val="16"/>
                <w:szCs w:val="16"/>
              </w:rPr>
              <w:t xml:space="preserve">How Lawyers Can Add Value in the Age of AI</w:t>
            </w:r>
            <w:r>
              <w:rPr>
                <w:sz w:val="16"/>
                <w:szCs w:val="16"/>
              </w:rPr>
              <w:t xml:space="preserve"> — Michele DeStefano, </w:t>
            </w:r>
            <w:r>
              <w:rPr>
                <w:i/>
                <w:iCs/>
                <w:sz w:val="16"/>
                <w:szCs w:val="16"/>
              </w:rPr>
              <w:t xml:space="preserve">The Practice</w:t>
            </w:r>
            <w:r>
              <w:rPr>
                <w:sz w:val="16"/>
                <w:szCs w:val="16"/>
              </w:rPr>
              <w:t xml:space="preserve">, Center on the Legal Profession, Harvard Law School, número «Adding Value in the Age of AI» (julio-agosto de 2026); se envía resumen en español de media página. </w:t>
            </w:r>
            <w:hyperlink w:history="1" r:id="rIdczcx-hegz1e__e0rnxgbv">
              <w:r>
                <w:rPr>
                  <w:rStyle w:val="Hyperlink"/>
                  <w:sz w:val="16"/>
                  <w:szCs w:val="16"/>
                </w:rPr>
                <w:t xml:space="preserve">https://clp.law.harvard.edu/knowledge-hub/magazine/issues/adding-value-in-the-age-of-ai/how-lawyers-can-add-value-in-the-age-of-ai/</w:t>
              </w:r>
            </w:hyperlink>
          </w:p>
        </w:tc>
        <w:tc>
          <w:tcPr>
            <w:tcW w:type="dxa" w:w="674"/>
            <w:tcMar>
              <w:top w:type="dxa" w:w="60"/>
              <w:left w:type="dxa" w:w="80"/>
              <w:bottom w:type="dxa" w:w="60"/>
              <w:right w:type="dxa" w:w="80"/>
            </w:tcMar>
          </w:tcPr>
          <w:p>
            <w:r>
              <w:rPr>
                <w:sz w:val="16"/>
                <w:szCs w:val="16"/>
              </w:rPr>
              <w:t xml:space="preserve">Harvard</w:t>
            </w:r>
          </w:p>
        </w:tc>
        <w:tc>
          <w:tcPr>
            <w:tcW w:type="dxa" w:w="674"/>
            <w:tcMar>
              <w:top w:type="dxa" w:w="60"/>
              <w:left w:type="dxa" w:w="80"/>
              <w:bottom w:type="dxa" w:w="60"/>
              <w:right w:type="dxa" w:w="80"/>
            </w:tcMar>
          </w:tcPr>
          <w:p>
            <w:r>
              <w:rPr>
                <w:sz w:val="16"/>
                <w:szCs w:val="16"/>
              </w:rPr>
              <w:t xml:space="preserve">2026</w:t>
            </w:r>
          </w:p>
        </w:tc>
        <w:tc>
          <w:tcPr>
            <w:tcW w:type="dxa" w:w="674"/>
            <w:tcMar>
              <w:top w:type="dxa" w:w="60"/>
              <w:left w:type="dxa" w:w="80"/>
              <w:bottom w:type="dxa" w:w="60"/>
              <w:right w:type="dxa" w:w="80"/>
            </w:tcMar>
          </w:tcPr>
          <w:p>
            <w:r>
              <w:rPr>
                <w:sz w:val="16"/>
                <w:szCs w:val="16"/>
              </w:rPr>
              <w:t xml:space="preserve">15 min</w:t>
            </w:r>
          </w:p>
        </w:tc>
        <w:tc>
          <w:tcPr>
            <w:tcW w:type="dxa" w:w="839"/>
            <w:tcMar>
              <w:top w:type="dxa" w:w="60"/>
              <w:left w:type="dxa" w:w="80"/>
              <w:bottom w:type="dxa" w:w="60"/>
              <w:right w:type="dxa" w:w="80"/>
            </w:tcMar>
          </w:tcPr>
          <w:p>
            <w:r>
              <w:rPr>
                <w:sz w:val="16"/>
                <w:szCs w:val="16"/>
              </w:rPr>
              <w:t xml:space="preserve">Cincuenta entrevistas a directores jurídicos y socios sobre dónde agrega valor el abogado cuando la IA ya da respuestas; prepara la pregunta de apertura y el compromiso del lunes.</w:t>
            </w:r>
          </w:p>
        </w:tc>
      </w:tr>
      <w:tr>
        <w:trPr>
          <w:tblHeader w:val="off"/>
        </w:trPr>
        <w:tc>
          <w:tcPr>
            <w:tcW w:type="dxa" w:w="674"/>
            <w:tcMar>
              <w:top w:type="dxa" w:w="60"/>
              <w:left w:type="dxa" w:w="80"/>
              <w:bottom w:type="dxa" w:w="60"/>
              <w:right w:type="dxa" w:w="80"/>
            </w:tcMar>
          </w:tcPr>
          <w:p>
            <w:r>
              <w:rPr>
                <w:sz w:val="16"/>
                <w:szCs w:val="16"/>
              </w:rPr>
              <w:t xml:space="preserve">4 (obligatoria)</w:t>
            </w:r>
          </w:p>
        </w:tc>
        <w:tc>
          <w:tcPr>
            <w:tcW w:type="dxa" w:w="6103"/>
            <w:tcMar>
              <w:top w:type="dxa" w:w="60"/>
              <w:left w:type="dxa" w:w="80"/>
              <w:bottom w:type="dxa" w:w="60"/>
              <w:right w:type="dxa" w:w="80"/>
            </w:tcMar>
          </w:tcPr>
          <w:p>
            <w:r>
              <w:rPr>
                <w:b/>
                <w:bCs/>
                <w:sz w:val="16"/>
                <w:szCs w:val="16"/>
              </w:rPr>
              <w:t xml:space="preserve">Directrices para el uso de sistemas de IA en cortes y tribunales (UNESCO), versión en español lanzada por la Escuela de Gobierno de Uniandes</w:t>
            </w:r>
            <w:r>
              <w:rPr>
                <w:sz w:val="16"/>
                <w:szCs w:val="16"/>
              </w:rPr>
              <w:t xml:space="preserve"> (30 de abril de 2025; proyecto dirigido por Juan David Gutiérrez). Leer los 15 principios. </w:t>
            </w:r>
            <w:hyperlink w:history="1" r:id="rIdhrzh3hnnajgxfwsmc_ne-">
              <w:r>
                <w:rPr>
                  <w:rStyle w:val="Hyperlink"/>
                  <w:sz w:val="16"/>
                  <w:szCs w:val="16"/>
                </w:rPr>
                <w:t xml:space="preserve">https://gobierno.uniandes.edu.co/la-universidad-de-los-andes-y-la-unesco-lanzan-la-version-en-espanol-de-las-directrices-para-el-uso-de-inteligencia-artificial-en-cortes-y-tribunales/</w:t>
              </w:r>
            </w:hyperlink>
          </w:p>
        </w:tc>
        <w:tc>
          <w:tcPr>
            <w:tcW w:type="dxa" w:w="674"/>
            <w:tcMar>
              <w:top w:type="dxa" w:w="60"/>
              <w:left w:type="dxa" w:w="80"/>
              <w:bottom w:type="dxa" w:w="60"/>
              <w:right w:type="dxa" w:w="80"/>
            </w:tcMar>
          </w:tcPr>
          <w:p>
            <w:r>
              <w:rPr>
                <w:sz w:val="16"/>
                <w:szCs w:val="16"/>
              </w:rPr>
              <w:t xml:space="preserve">Uniandes</w:t>
            </w:r>
          </w:p>
        </w:tc>
        <w:tc>
          <w:tcPr>
            <w:tcW w:type="dxa" w:w="674"/>
            <w:tcMar>
              <w:top w:type="dxa" w:w="60"/>
              <w:left w:type="dxa" w:w="80"/>
              <w:bottom w:type="dxa" w:w="60"/>
              <w:right w:type="dxa" w:w="80"/>
            </w:tcMar>
          </w:tcPr>
          <w:p>
            <w:r>
              <w:rPr>
                <w:sz w:val="16"/>
                <w:szCs w:val="16"/>
              </w:rPr>
              <w:t xml:space="preserve">2025</w:t>
            </w:r>
          </w:p>
        </w:tc>
        <w:tc>
          <w:tcPr>
            <w:tcW w:type="dxa" w:w="674"/>
            <w:tcMar>
              <w:top w:type="dxa" w:w="60"/>
              <w:left w:type="dxa" w:w="80"/>
              <w:bottom w:type="dxa" w:w="60"/>
              <w:right w:type="dxa" w:w="80"/>
            </w:tcMar>
          </w:tcPr>
          <w:p>
            <w:r>
              <w:rPr>
                <w:sz w:val="16"/>
                <w:szCs w:val="16"/>
              </w:rPr>
              <w:t xml:space="preserve">10 min</w:t>
            </w:r>
          </w:p>
        </w:tc>
        <w:tc>
          <w:tcPr>
            <w:tcW w:type="dxa" w:w="839"/>
            <w:tcMar>
              <w:top w:type="dxa" w:w="60"/>
              <w:left w:type="dxa" w:w="80"/>
              <w:bottom w:type="dxa" w:w="60"/>
              <w:right w:type="dxa" w:w="80"/>
            </w:tcMar>
          </w:tcPr>
          <w:p>
            <w:r>
              <w:rPr>
                <w:sz w:val="16"/>
                <w:szCs w:val="16"/>
              </w:rPr>
              <w:t xml:space="preserve">El estándar internacional más reciente sobre IA en la justicia, en español; se contrasta con la T-323 en la primera ronda de preguntas.</w:t>
            </w:r>
          </w:p>
        </w:tc>
      </w:tr>
      <w:tr>
        <w:trPr>
          <w:tblHeader w:val="off"/>
        </w:trPr>
        <w:tc>
          <w:tcPr>
            <w:tcW w:type="dxa" w:w="674"/>
            <w:tcMar>
              <w:top w:type="dxa" w:w="60"/>
              <w:left w:type="dxa" w:w="80"/>
              <w:bottom w:type="dxa" w:w="60"/>
              <w:right w:type="dxa" w:w="80"/>
            </w:tcMar>
          </w:tcPr>
          <w:p>
            <w:r>
              <w:rPr>
                <w:sz w:val="16"/>
                <w:szCs w:val="16"/>
              </w:rPr>
              <w:t xml:space="preserve">5 (opcional)</w:t>
            </w:r>
          </w:p>
        </w:tc>
        <w:tc>
          <w:tcPr>
            <w:tcW w:type="dxa" w:w="6103"/>
            <w:tcMar>
              <w:top w:type="dxa" w:w="60"/>
              <w:left w:type="dxa" w:w="80"/>
              <w:bottom w:type="dxa" w:w="60"/>
              <w:right w:type="dxa" w:w="80"/>
            </w:tcMar>
          </w:tcPr>
          <w:p>
            <w:r>
              <w:rPr>
                <w:b/>
                <w:bCs/>
                <w:sz w:val="16"/>
                <w:szCs w:val="16"/>
              </w:rPr>
              <w:t xml:space="preserve">Relatoría de la 9.ª Mesa de Trabajo Multiactor sobre Regulación de IA en Colombia: retos regulatorios para la gobernanza de la IA y CONPES 4144</w:t>
            </w:r>
            <w:r>
              <w:rPr>
                <w:sz w:val="16"/>
                <w:szCs w:val="16"/>
              </w:rPr>
              <w:t xml:space="preserve"> (2025). </w:t>
            </w:r>
            <w:hyperlink w:history="1" r:id="rIdb3lorgaapngpmfb0lzgdi">
              <w:r>
                <w:rPr>
                  <w:rStyle w:val="Hyperlink"/>
                  <w:sz w:val="16"/>
                  <w:szCs w:val="16"/>
                </w:rPr>
                <w:t xml:space="preserve">https://www.uexternado.edu.co/wp-content/uploads/2025/09/Sesion-9-Mesa-Multi-actor-ComunBuenasPracticasRegulatorias-1.pdf</w:t>
              </w:r>
            </w:hyperlink>
          </w:p>
        </w:tc>
        <w:tc>
          <w:tcPr>
            <w:tcW w:type="dxa" w:w="674"/>
            <w:tcMar>
              <w:top w:type="dxa" w:w="60"/>
              <w:left w:type="dxa" w:w="80"/>
              <w:bottom w:type="dxa" w:w="60"/>
              <w:right w:type="dxa" w:w="80"/>
            </w:tcMar>
          </w:tcPr>
          <w:p>
            <w:r>
              <w:rPr>
                <w:sz w:val="16"/>
                <w:szCs w:val="16"/>
              </w:rPr>
              <w:t xml:space="preserve">Externado y Uniandes</w:t>
            </w:r>
          </w:p>
        </w:tc>
        <w:tc>
          <w:tcPr>
            <w:tcW w:type="dxa" w:w="674"/>
            <w:tcMar>
              <w:top w:type="dxa" w:w="60"/>
              <w:left w:type="dxa" w:w="80"/>
              <w:bottom w:type="dxa" w:w="60"/>
              <w:right w:type="dxa" w:w="80"/>
            </w:tcMar>
          </w:tcPr>
          <w:p>
            <w:r>
              <w:rPr>
                <w:sz w:val="16"/>
                <w:szCs w:val="16"/>
              </w:rPr>
              <w:t xml:space="preserve">2025</w:t>
            </w:r>
          </w:p>
        </w:tc>
        <w:tc>
          <w:tcPr>
            <w:tcW w:type="dxa" w:w="674"/>
            <w:tcMar>
              <w:top w:type="dxa" w:w="60"/>
              <w:left w:type="dxa" w:w="80"/>
              <w:bottom w:type="dxa" w:w="60"/>
              <w:right w:type="dxa" w:w="80"/>
            </w:tcMar>
          </w:tcPr>
          <w:p>
            <w:r>
              <w:rPr>
                <w:sz w:val="16"/>
                <w:szCs w:val="16"/>
              </w:rPr>
              <w:t xml:space="preserve">20 min</w:t>
            </w:r>
          </w:p>
        </w:tc>
        <w:tc>
          <w:tcPr>
            <w:tcW w:type="dxa" w:w="839"/>
            <w:tcMar>
              <w:top w:type="dxa" w:w="60"/>
              <w:left w:type="dxa" w:w="80"/>
              <w:bottom w:type="dxa" w:w="60"/>
              <w:right w:type="dxa" w:w="80"/>
            </w:tcMar>
          </w:tcPr>
          <w:p>
            <w:r>
              <w:rPr>
                <w:sz w:val="16"/>
                <w:szCs w:val="16"/>
              </w:rPr>
              <w:t xml:space="preserve">El estado del debate regulatorio colombiano; se retoma en el cierre.</w:t>
            </w:r>
          </w:p>
        </w:tc>
      </w:tr>
      <w:tr>
        <w:trPr>
          <w:tblHeader w:val="off"/>
        </w:trPr>
        <w:tc>
          <w:tcPr>
            <w:tcW w:type="dxa" w:w="674"/>
            <w:tcMar>
              <w:top w:type="dxa" w:w="60"/>
              <w:left w:type="dxa" w:w="80"/>
              <w:bottom w:type="dxa" w:w="60"/>
              <w:right w:type="dxa" w:w="80"/>
            </w:tcMar>
          </w:tcPr>
          <w:p>
            <w:r>
              <w:rPr>
                <w:sz w:val="16"/>
                <w:szCs w:val="16"/>
              </w:rPr>
              <w:t xml:space="preserve">6 (opcional)</w:t>
            </w:r>
          </w:p>
        </w:tc>
        <w:tc>
          <w:tcPr>
            <w:tcW w:type="dxa" w:w="6103"/>
            <w:tcMar>
              <w:top w:type="dxa" w:w="60"/>
              <w:left w:type="dxa" w:w="80"/>
              <w:bottom w:type="dxa" w:w="60"/>
              <w:right w:type="dxa" w:w="80"/>
            </w:tcMar>
          </w:tcPr>
          <w:p>
            <w:r>
              <w:rPr>
                <w:b/>
                <w:bCs/>
                <w:sz w:val="16"/>
                <w:szCs w:val="16"/>
              </w:rPr>
              <w:t xml:space="preserve">Relatoría «Privacidad y protección de datos: a propósito del caso Studio Ghibli»</w:t>
            </w:r>
            <w:r>
              <w:rPr>
                <w:sz w:val="16"/>
                <w:szCs w:val="16"/>
              </w:rPr>
              <w:t xml:space="preserve"> (30 de abril de 2025). </w:t>
            </w:r>
            <w:hyperlink w:history="1" r:id="rId8924y_h5vackwiicrqx3r">
              <w:r>
                <w:rPr>
                  <w:rStyle w:val="Hyperlink"/>
                  <w:sz w:val="16"/>
                  <w:szCs w:val="16"/>
                </w:rPr>
                <w:t xml:space="preserve">https://www.uexternado.edu.co/wp-content/uploads/2025/08/RELATORIA_%E2%80%98Privacidad-Proteccion-De-Datos-A-Proposito-Del-Caso-Studio-Ghibli_-30-ABR-2025.pdf</w:t>
              </w:r>
            </w:hyperlink>
          </w:p>
        </w:tc>
        <w:tc>
          <w:tcPr>
            <w:tcW w:type="dxa" w:w="674"/>
            <w:tcMar>
              <w:top w:type="dxa" w:w="60"/>
              <w:left w:type="dxa" w:w="80"/>
              <w:bottom w:type="dxa" w:w="60"/>
              <w:right w:type="dxa" w:w="80"/>
            </w:tcMar>
          </w:tcPr>
          <w:p>
            <w:r>
              <w:rPr>
                <w:sz w:val="16"/>
                <w:szCs w:val="16"/>
              </w:rPr>
              <w:t xml:space="preserve">Externado</w:t>
            </w:r>
          </w:p>
        </w:tc>
        <w:tc>
          <w:tcPr>
            <w:tcW w:type="dxa" w:w="674"/>
            <w:tcMar>
              <w:top w:type="dxa" w:w="60"/>
              <w:left w:type="dxa" w:w="80"/>
              <w:bottom w:type="dxa" w:w="60"/>
              <w:right w:type="dxa" w:w="80"/>
            </w:tcMar>
          </w:tcPr>
          <w:p>
            <w:r>
              <w:rPr>
                <w:sz w:val="16"/>
                <w:szCs w:val="16"/>
              </w:rPr>
              <w:t xml:space="preserve">2025</w:t>
            </w:r>
          </w:p>
        </w:tc>
        <w:tc>
          <w:tcPr>
            <w:tcW w:type="dxa" w:w="674"/>
            <w:tcMar>
              <w:top w:type="dxa" w:w="60"/>
              <w:left w:type="dxa" w:w="80"/>
              <w:bottom w:type="dxa" w:w="60"/>
              <w:right w:type="dxa" w:w="80"/>
            </w:tcMar>
          </w:tcPr>
          <w:p>
            <w:r>
              <w:rPr>
                <w:sz w:val="16"/>
                <w:szCs w:val="16"/>
              </w:rPr>
              <w:t xml:space="preserve">15 min</w:t>
            </w:r>
          </w:p>
        </w:tc>
        <w:tc>
          <w:tcPr>
            <w:tcW w:type="dxa" w:w="839"/>
            <w:tcMar>
              <w:top w:type="dxa" w:w="60"/>
              <w:left w:type="dxa" w:w="80"/>
              <w:bottom w:type="dxa" w:w="60"/>
              <w:right w:type="dxa" w:w="80"/>
            </w:tcMar>
          </w:tcPr>
          <w:p>
            <w:r>
              <w:rPr>
                <w:sz w:val="16"/>
                <w:szCs w:val="16"/>
              </w:rPr>
              <w:t xml:space="preserve">IA generativa y datos personales con un caso de 2025; calienta el Taller 2.</w:t>
            </w:r>
          </w:p>
        </w:tc>
      </w:tr>
      <w:tr>
        <w:trPr>
          <w:tblHeader w:val="off"/>
        </w:trPr>
        <w:tc>
          <w:tcPr>
            <w:tcW w:type="dxa" w:w="674"/>
            <w:tcMar>
              <w:top w:type="dxa" w:w="60"/>
              <w:left w:type="dxa" w:w="80"/>
              <w:bottom w:type="dxa" w:w="60"/>
              <w:right w:type="dxa" w:w="80"/>
            </w:tcMar>
          </w:tcPr>
          <w:p>
            <w:r>
              <w:rPr>
                <w:sz w:val="16"/>
                <w:szCs w:val="16"/>
              </w:rPr>
              <w:t xml:space="preserve">7 (opcional)</w:t>
            </w:r>
          </w:p>
        </w:tc>
        <w:tc>
          <w:tcPr>
            <w:tcW w:type="dxa" w:w="6103"/>
            <w:tcMar>
              <w:top w:type="dxa" w:w="60"/>
              <w:left w:type="dxa" w:w="80"/>
              <w:bottom w:type="dxa" w:w="60"/>
              <w:right w:type="dxa" w:w="80"/>
            </w:tcMar>
          </w:tcPr>
          <w:p>
            <w:r>
              <w:rPr>
                <w:b/>
                <w:bCs/>
                <w:sz w:val="16"/>
                <w:szCs w:val="16"/>
              </w:rPr>
              <w:t xml:space="preserve">Developments in the Law — Artificial Intelligence</w:t>
            </w:r>
            <w:r>
              <w:rPr>
                <w:sz w:val="16"/>
                <w:szCs w:val="16"/>
              </w:rPr>
              <w:t xml:space="preserve"> — Harvard Law Review, vol. 138 (abril de 2025); capítulo sobre antidiscriminación en la era de la IA. </w:t>
            </w:r>
            <w:hyperlink w:history="1" r:id="rId6t0groso5pqcmruk0lnfv">
              <w:r>
                <w:rPr>
                  <w:rStyle w:val="Hyperlink"/>
                  <w:sz w:val="16"/>
                  <w:szCs w:val="16"/>
                </w:rPr>
                <w:t xml:space="preserve">https://harvardlawreview.org/print/vol-138/developments-in-the-law-artificial-intelligence/</w:t>
              </w:r>
            </w:hyperlink>
          </w:p>
        </w:tc>
        <w:tc>
          <w:tcPr>
            <w:tcW w:type="dxa" w:w="674"/>
            <w:tcMar>
              <w:top w:type="dxa" w:w="60"/>
              <w:left w:type="dxa" w:w="80"/>
              <w:bottom w:type="dxa" w:w="60"/>
              <w:right w:type="dxa" w:w="80"/>
            </w:tcMar>
          </w:tcPr>
          <w:p>
            <w:r>
              <w:rPr>
                <w:sz w:val="16"/>
                <w:szCs w:val="16"/>
              </w:rPr>
              <w:t xml:space="preserve">Harvard</w:t>
            </w:r>
          </w:p>
        </w:tc>
        <w:tc>
          <w:tcPr>
            <w:tcW w:type="dxa" w:w="674"/>
            <w:tcMar>
              <w:top w:type="dxa" w:w="60"/>
              <w:left w:type="dxa" w:w="80"/>
              <w:bottom w:type="dxa" w:w="60"/>
              <w:right w:type="dxa" w:w="80"/>
            </w:tcMar>
          </w:tcPr>
          <w:p>
            <w:r>
              <w:rPr>
                <w:sz w:val="16"/>
                <w:szCs w:val="16"/>
              </w:rPr>
              <w:t xml:space="preserve">2025</w:t>
            </w:r>
          </w:p>
        </w:tc>
        <w:tc>
          <w:tcPr>
            <w:tcW w:type="dxa" w:w="674"/>
            <w:tcMar>
              <w:top w:type="dxa" w:w="60"/>
              <w:left w:type="dxa" w:w="80"/>
              <w:bottom w:type="dxa" w:w="60"/>
              <w:right w:type="dxa" w:w="80"/>
            </w:tcMar>
          </w:tcPr>
          <w:p>
            <w:r>
              <w:rPr>
                <w:sz w:val="16"/>
                <w:szCs w:val="16"/>
              </w:rPr>
              <w:t xml:space="preserve">30 min</w:t>
            </w:r>
          </w:p>
        </w:tc>
        <w:tc>
          <w:tcPr>
            <w:tcW w:type="dxa" w:w="839"/>
            <w:tcMar>
              <w:top w:type="dxa" w:w="60"/>
              <w:left w:type="dxa" w:w="80"/>
              <w:bottom w:type="dxa" w:w="60"/>
              <w:right w:type="dxa" w:w="80"/>
            </w:tcMar>
          </w:tcPr>
          <w:p>
            <w:r>
              <w:rPr>
                <w:sz w:val="16"/>
                <w:szCs w:val="16"/>
              </w:rPr>
              <w:t xml:space="preserve">Panorama doctrinal reciente para el bloque de decisiones automatizadas.</w:t>
            </w:r>
          </w:p>
        </w:tc>
      </w:tr>
      <w:tr>
        <w:trPr>
          <w:tblHeader w:val="off"/>
        </w:trPr>
        <w:tc>
          <w:tcPr>
            <w:tcW w:type="dxa" w:w="674"/>
            <w:tcMar>
              <w:top w:type="dxa" w:w="60"/>
              <w:left w:type="dxa" w:w="80"/>
              <w:bottom w:type="dxa" w:w="60"/>
              <w:right w:type="dxa" w:w="80"/>
            </w:tcMar>
          </w:tcPr>
          <w:p>
            <w:r>
              <w:rPr>
                <w:sz w:val="16"/>
                <w:szCs w:val="16"/>
              </w:rPr>
              <w:t xml:space="preserve">8 (herramientas)</w:t>
            </w:r>
          </w:p>
        </w:tc>
        <w:tc>
          <w:tcPr>
            <w:tcW w:type="dxa" w:w="6103"/>
            <w:tcMar>
              <w:top w:type="dxa" w:w="60"/>
              <w:left w:type="dxa" w:w="80"/>
              <w:bottom w:type="dxa" w:w="60"/>
              <w:right w:type="dxa" w:w="80"/>
            </w:tcMar>
          </w:tcPr>
          <w:p>
            <w:r>
              <w:rPr>
                <w:b/>
                <w:bCs/>
                <w:sz w:val="16"/>
                <w:szCs w:val="16"/>
              </w:rPr>
              <w:t xml:space="preserve">Toolkit ético legal de inteligencia artificial</w:t>
            </w:r>
            <w:r>
              <w:rPr>
                <w:sz w:val="16"/>
                <w:szCs w:val="16"/>
              </w:rPr>
              <w:t xml:space="preserve"> (Facultad de Derecho y GECTI). </w:t>
            </w:r>
            <w:hyperlink w:history="1" r:id="rIdiww3tivhhnjtcx07tu-py">
              <w:r>
                <w:rPr>
                  <w:rStyle w:val="Hyperlink"/>
                  <w:sz w:val="16"/>
                  <w:szCs w:val="16"/>
                </w:rPr>
                <w:t xml:space="preserve">https://derecho.uniandes.edu.co/es/toolkit-etico-legal-de-inteligencia-artificial</w:t>
              </w:r>
            </w:hyperlink>
            <w:r>
              <w:rPr>
                <w:sz w:val="16"/>
                <w:szCs w:val="16"/>
              </w:rPr>
              <w:t xml:space="preserve"> — y </w:t>
            </w:r>
            <w:r>
              <w:rPr>
                <w:b/>
                <w:bCs/>
                <w:sz w:val="16"/>
                <w:szCs w:val="16"/>
              </w:rPr>
              <w:t xml:space="preserve">Guía GECTI de responsabilidad demostrada en transferencias internacionales</w:t>
            </w:r>
            <w:r>
              <w:rPr>
                <w:sz w:val="16"/>
                <w:szCs w:val="16"/>
              </w:rPr>
              <w:t xml:space="preserve"> (Remolina y Álvarez, 2018; sigue siendo la lista de verificación operativa). </w:t>
            </w:r>
            <w:hyperlink w:history="1" r:id="rIdczt4uapwhlux-epgxepro">
              <w:r>
                <w:rPr>
                  <w:rStyle w:val="Hyperlink"/>
                  <w:sz w:val="16"/>
                  <w:szCs w:val="16"/>
                </w:rPr>
                <w:t xml:space="preserve">https://habeasdatacolombia.uniandes.edu.co/?p=2817</w:t>
              </w:r>
            </w:hyperlink>
          </w:p>
        </w:tc>
        <w:tc>
          <w:tcPr>
            <w:tcW w:type="dxa" w:w="674"/>
            <w:tcMar>
              <w:top w:type="dxa" w:w="60"/>
              <w:left w:type="dxa" w:w="80"/>
              <w:bottom w:type="dxa" w:w="60"/>
              <w:right w:type="dxa" w:w="80"/>
            </w:tcMar>
          </w:tcPr>
          <w:p>
            <w:r>
              <w:rPr>
                <w:sz w:val="16"/>
                <w:szCs w:val="16"/>
              </w:rPr>
              <w:t xml:space="preserve">Uniandes</w:t>
            </w:r>
          </w:p>
        </w:tc>
        <w:tc>
          <w:tcPr>
            <w:tcW w:type="dxa" w:w="674"/>
            <w:tcMar>
              <w:top w:type="dxa" w:w="60"/>
              <w:left w:type="dxa" w:w="80"/>
              <w:bottom w:type="dxa" w:w="60"/>
              <w:right w:type="dxa" w:w="80"/>
            </w:tcMar>
          </w:tcPr>
          <w:p>
            <w:r>
              <w:rPr>
                <w:sz w:val="16"/>
                <w:szCs w:val="16"/>
              </w:rPr>
              <w:t xml:space="preserve">reciente / 2018</w:t>
            </w:r>
          </w:p>
        </w:tc>
        <w:tc>
          <w:tcPr>
            <w:tcW w:type="dxa" w:w="674"/>
            <w:tcMar>
              <w:top w:type="dxa" w:w="60"/>
              <w:left w:type="dxa" w:w="80"/>
              <w:bottom w:type="dxa" w:w="60"/>
              <w:right w:type="dxa" w:w="80"/>
            </w:tcMar>
          </w:tcPr>
          <w:p>
            <w:r>
              <w:rPr>
                <w:sz w:val="16"/>
                <w:szCs w:val="16"/>
              </w:rPr>
              <w:t xml:space="preserve">15 min</w:t>
            </w:r>
          </w:p>
        </w:tc>
        <w:tc>
          <w:tcPr>
            <w:tcW w:type="dxa" w:w="839"/>
            <w:tcMar>
              <w:top w:type="dxa" w:w="60"/>
              <w:left w:type="dxa" w:w="80"/>
              <w:bottom w:type="dxa" w:w="60"/>
              <w:right w:type="dxa" w:w="80"/>
            </w:tcMar>
          </w:tcPr>
          <w:p>
            <w:r>
              <w:rPr>
                <w:sz w:val="16"/>
                <w:szCs w:val="16"/>
              </w:rPr>
              <w:t xml:space="preserve">Instrumentos del Taller 2.</w:t>
            </w:r>
          </w:p>
        </w:tc>
      </w:tr>
      <w:tr>
        <w:trPr>
          <w:tblHeader w:val="off"/>
        </w:trPr>
        <w:tc>
          <w:tcPr>
            <w:tcW w:type="dxa" w:w="674"/>
            <w:tcMar>
              <w:top w:type="dxa" w:w="60"/>
              <w:left w:type="dxa" w:w="80"/>
              <w:bottom w:type="dxa" w:w="60"/>
              <w:right w:type="dxa" w:w="80"/>
            </w:tcMar>
          </w:tcPr>
          <w:p>
            <w:r>
              <w:rPr>
                <w:sz w:val="16"/>
                <w:szCs w:val="16"/>
              </w:rPr>
              <w:t xml:space="preserve">9 (doctrina de referencia)</w:t>
            </w:r>
          </w:p>
        </w:tc>
        <w:tc>
          <w:tcPr>
            <w:tcW w:type="dxa" w:w="6103"/>
            <w:tcMar>
              <w:top w:type="dxa" w:w="60"/>
              <w:left w:type="dxa" w:w="80"/>
              <w:bottom w:type="dxa" w:w="60"/>
              <w:right w:type="dxa" w:w="80"/>
            </w:tcMar>
          </w:tcPr>
          <w:p>
            <w:r>
              <w:rPr>
                <w:b/>
                <w:bCs/>
                <w:sz w:val="16"/>
                <w:szCs w:val="16"/>
              </w:rPr>
              <w:t xml:space="preserve">Blockchain y contratos inteligentes: aproximación a sus problemáticas y retos jurídicos</w:t>
            </w:r>
            <w:r>
              <w:rPr>
                <w:sz w:val="16"/>
                <w:szCs w:val="16"/>
              </w:rPr>
              <w:t xml:space="preserve"> — Jorge Padilla Sánchez, Revista de Derecho Privado n.º 39 (2020). </w:t>
            </w:r>
            <w:hyperlink w:history="1" r:id="rIdpvuks6lvzrjcbwyxw-jzm">
              <w:r>
                <w:rPr>
                  <w:rStyle w:val="Hyperlink"/>
                  <w:sz w:val="16"/>
                  <w:szCs w:val="16"/>
                </w:rPr>
                <w:t xml:space="preserve">https://revistas.uexternado.edu.co/index.php/derpri/article/view/6681</w:t>
              </w:r>
            </w:hyperlink>
          </w:p>
        </w:tc>
        <w:tc>
          <w:tcPr>
            <w:tcW w:type="dxa" w:w="674"/>
            <w:tcMar>
              <w:top w:type="dxa" w:w="60"/>
              <w:left w:type="dxa" w:w="80"/>
              <w:bottom w:type="dxa" w:w="60"/>
              <w:right w:type="dxa" w:w="80"/>
            </w:tcMar>
          </w:tcPr>
          <w:p>
            <w:r>
              <w:rPr>
                <w:sz w:val="16"/>
                <w:szCs w:val="16"/>
              </w:rPr>
              <w:t xml:space="preserve">Externado</w:t>
            </w:r>
          </w:p>
        </w:tc>
        <w:tc>
          <w:tcPr>
            <w:tcW w:type="dxa" w:w="674"/>
            <w:tcMar>
              <w:top w:type="dxa" w:w="60"/>
              <w:left w:type="dxa" w:w="80"/>
              <w:bottom w:type="dxa" w:w="60"/>
              <w:right w:type="dxa" w:w="80"/>
            </w:tcMar>
          </w:tcPr>
          <w:p>
            <w:r>
              <w:rPr>
                <w:sz w:val="16"/>
                <w:szCs w:val="16"/>
              </w:rPr>
              <w:t xml:space="preserve">2020</w:t>
            </w:r>
          </w:p>
        </w:tc>
        <w:tc>
          <w:tcPr>
            <w:tcW w:type="dxa" w:w="674"/>
            <w:tcMar>
              <w:top w:type="dxa" w:w="60"/>
              <w:left w:type="dxa" w:w="80"/>
              <w:bottom w:type="dxa" w:w="60"/>
              <w:right w:type="dxa" w:w="80"/>
            </w:tcMar>
          </w:tcPr>
          <w:p>
            <w:r>
              <w:rPr>
                <w:sz w:val="16"/>
                <w:szCs w:val="16"/>
              </w:rPr>
              <w:t xml:space="preserve">20 min</w:t>
            </w:r>
          </w:p>
        </w:tc>
        <w:tc>
          <w:tcPr>
            <w:tcW w:type="dxa" w:w="839"/>
            <w:tcMar>
              <w:top w:type="dxa" w:w="60"/>
              <w:left w:type="dxa" w:w="80"/>
              <w:bottom w:type="dxa" w:w="60"/>
              <w:right w:type="dxa" w:w="80"/>
            </w:tcMar>
          </w:tcPr>
          <w:p>
            <w:r>
              <w:rPr>
                <w:sz w:val="16"/>
                <w:szCs w:val="16"/>
              </w:rPr>
              <w:t xml:space="preserve">Único texto anterior a 2024 en la lista: no se localizó un análisis de 2024-2026 de las tres universidades sobre inmutabilidad y remedios en smart contracts; se usa solo el extracto de una página en la lectura guiada.</w:t>
            </w:r>
          </w:p>
        </w:tc>
      </w:tr>
    </w:tbl>
    <w:p/>
    <w:p>
      <w:pPr>
        <w:pStyle w:val="Heading1"/>
      </w:pPr>
      <w:r>
        <w:t xml:space="preserve">5. Agenda minuto a minuto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2676"/>
        <w:gridCol w:w="970"/>
        <w:gridCol w:w="674"/>
        <w:gridCol w:w="4644"/>
      </w:tblGrid>
      <w:tr>
        <w:trPr>
          <w:tblHeader/>
        </w:trPr>
        <w:tc>
          <w:tcPr>
            <w:tcW w:type="dxa" w:w="674"/>
            <w:shd w:fill="E8EEF7" w:color="auto" w:val="clear"/>
            <w:tcMar>
              <w:top w:type="dxa" w:w="60"/>
              <w:left w:type="dxa" w:w="80"/>
              <w:bottom w:type="dxa" w:w="60"/>
              <w:right w:type="dxa" w:w="80"/>
            </w:tcMar>
          </w:tcPr>
          <w:p>
            <w:r>
              <w:rPr>
                <w:b/>
                <w:bCs/>
                <w:sz w:val="16"/>
                <w:szCs w:val="16"/>
              </w:rPr>
              <w:t xml:space="preserve">Minuto</w:t>
            </w:r>
          </w:p>
        </w:tc>
        <w:tc>
          <w:tcPr>
            <w:tcW w:type="dxa" w:w="2676"/>
            <w:shd w:fill="E8EEF7" w:color="auto" w:val="clear"/>
            <w:tcMar>
              <w:top w:type="dxa" w:w="60"/>
              <w:left w:type="dxa" w:w="80"/>
              <w:bottom w:type="dxa" w:w="60"/>
              <w:right w:type="dxa" w:w="80"/>
            </w:tcMar>
          </w:tcPr>
          <w:p>
            <w:r>
              <w:rPr>
                <w:b/>
                <w:bCs/>
                <w:sz w:val="16"/>
                <w:szCs w:val="16"/>
              </w:rPr>
              <w:t xml:space="preserve">Bloque</w:t>
            </w:r>
          </w:p>
        </w:tc>
        <w:tc>
          <w:tcPr>
            <w:tcW w:type="dxa" w:w="970"/>
            <w:shd w:fill="E8EEF7" w:color="auto" w:val="clear"/>
            <w:tcMar>
              <w:top w:type="dxa" w:w="60"/>
              <w:left w:type="dxa" w:w="80"/>
              <w:bottom w:type="dxa" w:w="60"/>
              <w:right w:type="dxa" w:w="80"/>
            </w:tcMar>
          </w:tcPr>
          <w:p>
            <w:r>
              <w:rPr>
                <w:b/>
                <w:bCs/>
                <w:sz w:val="16"/>
                <w:szCs w:val="16"/>
              </w:rPr>
              <w:t xml:space="preserve">Modalidad</w:t>
            </w:r>
          </w:p>
        </w:tc>
        <w:tc>
          <w:tcPr>
            <w:tcW w:type="dxa" w:w="674"/>
            <w:shd w:fill="E8EEF7" w:color="auto" w:val="clear"/>
            <w:tcMar>
              <w:top w:type="dxa" w:w="60"/>
              <w:left w:type="dxa" w:w="80"/>
              <w:bottom w:type="dxa" w:w="60"/>
              <w:right w:type="dxa" w:w="80"/>
            </w:tcMar>
          </w:tcPr>
          <w:p>
            <w:r>
              <w:rPr>
                <w:b/>
                <w:bCs/>
                <w:sz w:val="16"/>
                <w:szCs w:val="16"/>
              </w:rPr>
              <w:t xml:space="preserve">Deber</w:t>
            </w:r>
          </w:p>
        </w:tc>
        <w:tc>
          <w:tcPr>
            <w:tcW w:type="dxa" w:w="4644"/>
            <w:shd w:fill="E8EEF7" w:color="auto" w:val="clear"/>
            <w:tcMar>
              <w:top w:type="dxa" w:w="60"/>
              <w:left w:type="dxa" w:w="80"/>
              <w:bottom w:type="dxa" w:w="60"/>
              <w:right w:type="dxa" w:w="80"/>
            </w:tcMar>
          </w:tcPr>
          <w:p>
            <w:r>
              <w:rPr>
                <w:b/>
                <w:bCs/>
                <w:sz w:val="16"/>
                <w:szCs w:val="16"/>
              </w:rPr>
              <w:t xml:space="preserve">Fuentes (institución)</w:t>
            </w:r>
          </w:p>
        </w:tc>
      </w:tr>
      <w:tr>
        <w:trPr>
          <w:tblHeader w:val="off"/>
        </w:trPr>
        <w:tc>
          <w:tcPr>
            <w:tcW w:type="dxa" w:w="674"/>
            <w:tcMar>
              <w:top w:type="dxa" w:w="60"/>
              <w:left w:type="dxa" w:w="80"/>
              <w:bottom w:type="dxa" w:w="60"/>
              <w:right w:type="dxa" w:w="80"/>
            </w:tcMar>
          </w:tcPr>
          <w:p>
            <w:r>
              <w:rPr>
                <w:sz w:val="16"/>
                <w:szCs w:val="16"/>
              </w:rPr>
              <w:t xml:space="preserve">0-8</w:t>
            </w:r>
          </w:p>
        </w:tc>
        <w:tc>
          <w:tcPr>
            <w:tcW w:type="dxa" w:w="2676"/>
            <w:tcMar>
              <w:top w:type="dxa" w:w="60"/>
              <w:left w:type="dxa" w:w="80"/>
              <w:bottom w:type="dxa" w:w="60"/>
              <w:right w:type="dxa" w:w="80"/>
            </w:tcMar>
          </w:tcPr>
          <w:p>
            <w:r>
              <w:rPr>
                <w:sz w:val="16"/>
                <w:szCs w:val="16"/>
              </w:rPr>
              <w:t xml:space="preserve">Apertura: qué cambia y qué no cambia para el abogado; mapa Lessig / Gasser-Almeida; sondeo de tres preguntas</w:t>
            </w:r>
          </w:p>
        </w:tc>
        <w:tc>
          <w:tcPr>
            <w:tcW w:type="dxa" w:w="970"/>
            <w:tcMar>
              <w:top w:type="dxa" w:w="60"/>
              <w:left w:type="dxa" w:w="80"/>
              <w:bottom w:type="dxa" w:w="60"/>
              <w:right w:type="dxa" w:w="80"/>
            </w:tcMar>
          </w:tcPr>
          <w:p>
            <w:r>
              <w:rPr>
                <w:sz w:val="16"/>
                <w:szCs w:val="16"/>
              </w:rPr>
              <w:t xml:space="preserve">Exposición + sondeo</w:t>
            </w:r>
          </w:p>
        </w:tc>
        <w:tc>
          <w:tcPr>
            <w:tcW w:type="dxa" w:w="674"/>
            <w:tcMar>
              <w:top w:type="dxa" w:w="60"/>
              <w:left w:type="dxa" w:w="80"/>
              <w:bottom w:type="dxa" w:w="60"/>
              <w:right w:type="dxa" w:w="80"/>
            </w:tcMar>
          </w:tcPr>
          <w:p>
            <w:r>
              <w:rPr>
                <w:sz w:val="16"/>
                <w:szCs w:val="16"/>
              </w:rPr>
              <w:t xml:space="preserve">Marco</w:t>
            </w:r>
          </w:p>
        </w:tc>
        <w:tc>
          <w:tcPr>
            <w:tcW w:type="dxa" w:w="4644"/>
            <w:tcMar>
              <w:top w:type="dxa" w:w="60"/>
              <w:left w:type="dxa" w:w="80"/>
              <w:bottom w:type="dxa" w:w="60"/>
              <w:right w:type="dxa" w:w="80"/>
            </w:tcMar>
          </w:tcPr>
          <w:p>
            <w:r>
              <w:rPr>
                <w:sz w:val="16"/>
                <w:szCs w:val="16"/>
              </w:rPr>
              <w:t xml:space="preserve">Marco clásico de Lessig y Gasser-Almeida (Harvard); DeStefano, </w:t>
            </w:r>
            <w:r>
              <w:rPr>
                <w:i/>
                <w:iCs/>
                <w:sz w:val="16"/>
                <w:szCs w:val="16"/>
              </w:rPr>
              <w:t xml:space="preserve">The Practice</w:t>
            </w:r>
            <w:r>
              <w:rPr>
                <w:sz w:val="16"/>
                <w:szCs w:val="16"/>
              </w:rPr>
              <w:t xml:space="preserve"> 2026 (Harvard); </w:t>
            </w:r>
            <w:r>
              <w:rPr>
                <w:i/>
                <w:iCs/>
                <w:sz w:val="16"/>
                <w:szCs w:val="16"/>
              </w:rPr>
              <w:t xml:space="preserve">Derecho de las tecnologías y las tecnologías para el derecho</w:t>
            </w:r>
            <w:r>
              <w:rPr>
                <w:sz w:val="16"/>
                <w:szCs w:val="16"/>
              </w:rPr>
              <w:t xml:space="preserve"> (Uniandes, 2022)</w:t>
            </w:r>
          </w:p>
        </w:tc>
      </w:tr>
      <w:tr>
        <w:trPr>
          <w:tblHeader w:val="off"/>
        </w:trPr>
        <w:tc>
          <w:tcPr>
            <w:tcW w:type="dxa" w:w="674"/>
            <w:tcMar>
              <w:top w:type="dxa" w:w="60"/>
              <w:left w:type="dxa" w:w="80"/>
              <w:bottom w:type="dxa" w:w="60"/>
              <w:right w:type="dxa" w:w="80"/>
            </w:tcMar>
          </w:tcPr>
          <w:p>
            <w:r>
              <w:rPr>
                <w:sz w:val="16"/>
                <w:szCs w:val="16"/>
              </w:rPr>
              <w:t xml:space="preserve">8-14</w:t>
            </w:r>
          </w:p>
        </w:tc>
        <w:tc>
          <w:tcPr>
            <w:tcW w:type="dxa" w:w="2676"/>
            <w:tcMar>
              <w:top w:type="dxa" w:w="60"/>
              <w:left w:type="dxa" w:w="80"/>
              <w:bottom w:type="dxa" w:w="60"/>
              <w:right w:type="dxa" w:w="80"/>
            </w:tcMar>
          </w:tcPr>
          <w:p>
            <w:r>
              <w:rPr>
                <w:sz w:val="16"/>
                <w:szCs w:val="16"/>
              </w:rPr>
              <w:t xml:space="preserve">Video 1: los desafíos del derecho en la era de la IA</w:t>
            </w:r>
          </w:p>
        </w:tc>
        <w:tc>
          <w:tcPr>
            <w:tcW w:type="dxa" w:w="970"/>
            <w:tcMar>
              <w:top w:type="dxa" w:w="60"/>
              <w:left w:type="dxa" w:w="80"/>
              <w:bottom w:type="dxa" w:w="60"/>
              <w:right w:type="dxa" w:w="80"/>
            </w:tcMar>
          </w:tcPr>
          <w:p>
            <w:r>
              <w:rPr>
                <w:sz w:val="16"/>
                <w:szCs w:val="16"/>
              </w:rPr>
              <w:t xml:space="preserve">Video (4-5 min) + reacción</w:t>
            </w:r>
          </w:p>
        </w:tc>
        <w:tc>
          <w:tcPr>
            <w:tcW w:type="dxa" w:w="674"/>
            <w:tcMar>
              <w:top w:type="dxa" w:w="60"/>
              <w:left w:type="dxa" w:w="80"/>
              <w:bottom w:type="dxa" w:w="60"/>
              <w:right w:type="dxa" w:w="80"/>
            </w:tcMar>
          </w:tcPr>
          <w:p>
            <w:r>
              <w:rPr>
                <w:sz w:val="16"/>
                <w:szCs w:val="16"/>
              </w:rPr>
              <w:t xml:space="preserve">Verificar</w:t>
            </w:r>
          </w:p>
        </w:tc>
        <w:tc>
          <w:tcPr>
            <w:tcW w:type="dxa" w:w="4644"/>
            <w:tcMar>
              <w:top w:type="dxa" w:w="60"/>
              <w:left w:type="dxa" w:w="80"/>
              <w:bottom w:type="dxa" w:w="60"/>
              <w:right w:type="dxa" w:w="80"/>
            </w:tcMar>
          </w:tcPr>
          <w:p>
            <w:r>
              <w:rPr>
                <w:i/>
                <w:iCs/>
                <w:sz w:val="16"/>
                <w:szCs w:val="16"/>
              </w:rPr>
              <w:t xml:space="preserve">Desafíos del derecho en la era de la Inteligencia Artificial</w:t>
            </w:r>
            <w:r>
              <w:rPr>
                <w:sz w:val="16"/>
                <w:szCs w:val="16"/>
              </w:rPr>
              <w:t xml:space="preserve"> (Facultad de Derecho Uniandes, febrero de 2026)</w:t>
            </w:r>
          </w:p>
        </w:tc>
      </w:tr>
      <w:tr>
        <w:trPr>
          <w:tblHeader w:val="off"/>
        </w:trPr>
        <w:tc>
          <w:tcPr>
            <w:tcW w:type="dxa" w:w="674"/>
            <w:tcMar>
              <w:top w:type="dxa" w:w="60"/>
              <w:left w:type="dxa" w:w="80"/>
              <w:bottom w:type="dxa" w:w="60"/>
              <w:right w:type="dxa" w:w="80"/>
            </w:tcMar>
          </w:tcPr>
          <w:p>
            <w:r>
              <w:rPr>
                <w:sz w:val="16"/>
                <w:szCs w:val="16"/>
              </w:rPr>
              <w:t xml:space="preserve">14-29</w:t>
            </w:r>
          </w:p>
        </w:tc>
        <w:tc>
          <w:tcPr>
            <w:tcW w:type="dxa" w:w="2676"/>
            <w:tcMar>
              <w:top w:type="dxa" w:w="60"/>
              <w:left w:type="dxa" w:w="80"/>
              <w:bottom w:type="dxa" w:w="60"/>
              <w:right w:type="dxa" w:w="80"/>
            </w:tcMar>
          </w:tcPr>
          <w:p>
            <w:r>
              <w:rPr>
                <w:sz w:val="16"/>
                <w:szCs w:val="16"/>
              </w:rPr>
              <w:t xml:space="preserve">Ejercicio individual: auditoría de un escrito elaborado con IA</w:t>
            </w:r>
          </w:p>
        </w:tc>
        <w:tc>
          <w:tcPr>
            <w:tcW w:type="dxa" w:w="970"/>
            <w:tcMar>
              <w:top w:type="dxa" w:w="60"/>
              <w:left w:type="dxa" w:w="80"/>
              <w:bottom w:type="dxa" w:w="60"/>
              <w:right w:type="dxa" w:w="80"/>
            </w:tcMar>
          </w:tcPr>
          <w:p>
            <w:r>
              <w:rPr>
                <w:sz w:val="16"/>
                <w:szCs w:val="16"/>
              </w:rPr>
              <w:t xml:space="preserve">Ejercicio</w:t>
            </w:r>
          </w:p>
        </w:tc>
        <w:tc>
          <w:tcPr>
            <w:tcW w:type="dxa" w:w="674"/>
            <w:tcMar>
              <w:top w:type="dxa" w:w="60"/>
              <w:left w:type="dxa" w:w="80"/>
              <w:bottom w:type="dxa" w:w="60"/>
              <w:right w:type="dxa" w:w="80"/>
            </w:tcMar>
          </w:tcPr>
          <w:p>
            <w:r>
              <w:rPr>
                <w:sz w:val="16"/>
                <w:szCs w:val="16"/>
              </w:rPr>
              <w:t xml:space="preserve">Verificar</w:t>
            </w:r>
          </w:p>
        </w:tc>
        <w:tc>
          <w:tcPr>
            <w:tcW w:type="dxa" w:w="4644"/>
            <w:tcMar>
              <w:top w:type="dxa" w:w="60"/>
              <w:left w:type="dxa" w:w="80"/>
              <w:bottom w:type="dxa" w:w="60"/>
              <w:right w:type="dxa" w:w="80"/>
            </w:tcMar>
          </w:tcPr>
          <w:p>
            <w:r>
              <w:rPr>
                <w:sz w:val="16"/>
                <w:szCs w:val="16"/>
              </w:rPr>
              <w:t xml:space="preserve">Resumen y relatoría T-323, nota sobre STC17832-2025 y AC739-2026 (Externado)</w:t>
            </w:r>
          </w:p>
        </w:tc>
      </w:tr>
      <w:tr>
        <w:trPr>
          <w:tblHeader w:val="off"/>
        </w:trPr>
        <w:tc>
          <w:tcPr>
            <w:tcW w:type="dxa" w:w="674"/>
            <w:tcMar>
              <w:top w:type="dxa" w:w="60"/>
              <w:left w:type="dxa" w:w="80"/>
              <w:bottom w:type="dxa" w:w="60"/>
              <w:right w:type="dxa" w:w="80"/>
            </w:tcMar>
          </w:tcPr>
          <w:p>
            <w:r>
              <w:rPr>
                <w:sz w:val="16"/>
                <w:szCs w:val="16"/>
              </w:rPr>
              <w:t xml:space="preserve">29-35</w:t>
            </w:r>
          </w:p>
        </w:tc>
        <w:tc>
          <w:tcPr>
            <w:tcW w:type="dxa" w:w="2676"/>
            <w:tcMar>
              <w:top w:type="dxa" w:w="60"/>
              <w:left w:type="dxa" w:w="80"/>
              <w:bottom w:type="dxa" w:w="60"/>
              <w:right w:type="dxa" w:w="80"/>
            </w:tcMar>
          </w:tcPr>
          <w:p>
            <w:r>
              <w:rPr>
                <w:sz w:val="16"/>
                <w:szCs w:val="16"/>
              </w:rPr>
              <w:t xml:space="preserve">Puesta en común y preguntas: deberes del abogado que usa IA</w:t>
            </w:r>
          </w:p>
        </w:tc>
        <w:tc>
          <w:tcPr>
            <w:tcW w:type="dxa" w:w="970"/>
            <w:tcMar>
              <w:top w:type="dxa" w:w="60"/>
              <w:left w:type="dxa" w:w="80"/>
              <w:bottom w:type="dxa" w:w="60"/>
              <w:right w:type="dxa" w:w="80"/>
            </w:tcMar>
          </w:tcPr>
          <w:p>
            <w:r>
              <w:rPr>
                <w:sz w:val="16"/>
                <w:szCs w:val="16"/>
              </w:rPr>
              <w:t xml:space="preserve">Preguntas (bloque elástico)</w:t>
            </w:r>
          </w:p>
        </w:tc>
        <w:tc>
          <w:tcPr>
            <w:tcW w:type="dxa" w:w="674"/>
            <w:tcMar>
              <w:top w:type="dxa" w:w="60"/>
              <w:left w:type="dxa" w:w="80"/>
              <w:bottom w:type="dxa" w:w="60"/>
              <w:right w:type="dxa" w:w="80"/>
            </w:tcMar>
          </w:tcPr>
          <w:p>
            <w:r>
              <w:rPr>
                <w:sz w:val="16"/>
                <w:szCs w:val="16"/>
              </w:rPr>
              <w:t xml:space="preserve">Verificar</w:t>
            </w:r>
          </w:p>
        </w:tc>
        <w:tc>
          <w:tcPr>
            <w:tcW w:type="dxa" w:w="4644"/>
            <w:tcMar>
              <w:top w:type="dxa" w:w="60"/>
              <w:left w:type="dxa" w:w="80"/>
              <w:bottom w:type="dxa" w:w="60"/>
              <w:right w:type="dxa" w:w="80"/>
            </w:tcMar>
          </w:tcPr>
          <w:p>
            <w:r>
              <w:rPr>
                <w:sz w:val="16"/>
                <w:szCs w:val="16"/>
              </w:rPr>
              <w:t xml:space="preserve">Relatoría T-323 (Externado); Directrices UNESCO-Uniandes 2025; </w:t>
            </w:r>
            <w:r>
              <w:rPr>
                <w:i/>
                <w:iCs/>
                <w:sz w:val="16"/>
                <w:szCs w:val="16"/>
              </w:rPr>
              <w:t xml:space="preserve">Retos de la IA en la protección de los derechos humanos</w:t>
            </w:r>
            <w:r>
              <w:rPr>
                <w:sz w:val="16"/>
                <w:szCs w:val="16"/>
              </w:rPr>
              <w:t xml:space="preserve"> (Uniandes, 2025)</w:t>
            </w:r>
          </w:p>
        </w:tc>
      </w:tr>
      <w:tr>
        <w:trPr>
          <w:tblHeader w:val="off"/>
        </w:trPr>
        <w:tc>
          <w:tcPr>
            <w:tcW w:type="dxa" w:w="674"/>
            <w:tcMar>
              <w:top w:type="dxa" w:w="60"/>
              <w:left w:type="dxa" w:w="80"/>
              <w:bottom w:type="dxa" w:w="60"/>
              <w:right w:type="dxa" w:w="80"/>
            </w:tcMar>
          </w:tcPr>
          <w:p>
            <w:r>
              <w:rPr>
                <w:sz w:val="16"/>
                <w:szCs w:val="16"/>
              </w:rPr>
              <w:t xml:space="preserve">35-41</w:t>
            </w:r>
          </w:p>
        </w:tc>
        <w:tc>
          <w:tcPr>
            <w:tcW w:type="dxa" w:w="2676"/>
            <w:tcMar>
              <w:top w:type="dxa" w:w="60"/>
              <w:left w:type="dxa" w:w="80"/>
              <w:bottom w:type="dxa" w:w="60"/>
              <w:right w:type="dxa" w:w="80"/>
            </w:tcMar>
          </w:tcPr>
          <w:p>
            <w:r>
              <w:rPr>
                <w:sz w:val="16"/>
                <w:szCs w:val="16"/>
              </w:rPr>
              <w:t xml:space="preserve">Video 2: fraude cibernético por canales móviles y prueba electrónica</w:t>
            </w:r>
          </w:p>
        </w:tc>
        <w:tc>
          <w:tcPr>
            <w:tcW w:type="dxa" w:w="970"/>
            <w:tcMar>
              <w:top w:type="dxa" w:w="60"/>
              <w:left w:type="dxa" w:w="80"/>
              <w:bottom w:type="dxa" w:w="60"/>
              <w:right w:type="dxa" w:w="80"/>
            </w:tcMar>
          </w:tcPr>
          <w:p>
            <w:r>
              <w:rPr>
                <w:sz w:val="16"/>
                <w:szCs w:val="16"/>
              </w:rPr>
              <w:t xml:space="preserve">Video (6 min)</w:t>
            </w:r>
          </w:p>
        </w:tc>
        <w:tc>
          <w:tcPr>
            <w:tcW w:type="dxa" w:w="674"/>
            <w:tcMar>
              <w:top w:type="dxa" w:w="60"/>
              <w:left w:type="dxa" w:w="80"/>
              <w:bottom w:type="dxa" w:w="60"/>
              <w:right w:type="dxa" w:w="80"/>
            </w:tcMar>
          </w:tcPr>
          <w:p>
            <w:r>
              <w:rPr>
                <w:sz w:val="16"/>
                <w:szCs w:val="16"/>
              </w:rPr>
              <w:t xml:space="preserve">Demostrar</w:t>
            </w:r>
          </w:p>
        </w:tc>
        <w:tc>
          <w:tcPr>
            <w:tcW w:type="dxa" w:w="4644"/>
            <w:tcMar>
              <w:top w:type="dxa" w:w="60"/>
              <w:left w:type="dxa" w:w="80"/>
              <w:bottom w:type="dxa" w:w="60"/>
              <w:right w:type="dxa" w:w="80"/>
            </w:tcMar>
          </w:tcPr>
          <w:p>
            <w:r>
              <w:rPr>
                <w:sz w:val="16"/>
                <w:szCs w:val="16"/>
              </w:rPr>
              <w:t xml:space="preserve">Webinar </w:t>
            </w:r>
            <w:r>
              <w:rPr>
                <w:i/>
                <w:iCs/>
                <w:sz w:val="16"/>
                <w:szCs w:val="16"/>
              </w:rPr>
              <w:t xml:space="preserve">Identificación de medidas para mitigar el fraude cibernético por medio de servicios móviles</w:t>
            </w:r>
            <w:r>
              <w:rPr>
                <w:sz w:val="16"/>
                <w:szCs w:val="16"/>
              </w:rPr>
              <w:t xml:space="preserve"> (Externado, julio de 2025)</w:t>
            </w:r>
          </w:p>
        </w:tc>
      </w:tr>
      <w:tr>
        <w:trPr>
          <w:tblHeader w:val="off"/>
        </w:trPr>
        <w:tc>
          <w:tcPr>
            <w:tcW w:type="dxa" w:w="674"/>
            <w:tcMar>
              <w:top w:type="dxa" w:w="60"/>
              <w:left w:type="dxa" w:w="80"/>
              <w:bottom w:type="dxa" w:w="60"/>
              <w:right w:type="dxa" w:w="80"/>
            </w:tcMar>
          </w:tcPr>
          <w:p>
            <w:r>
              <w:rPr>
                <w:sz w:val="16"/>
                <w:szCs w:val="16"/>
              </w:rPr>
              <w:t xml:space="preserve">41-49</w:t>
            </w:r>
          </w:p>
        </w:tc>
        <w:tc>
          <w:tcPr>
            <w:tcW w:type="dxa" w:w="2676"/>
            <w:tcMar>
              <w:top w:type="dxa" w:w="60"/>
              <w:left w:type="dxa" w:w="80"/>
              <w:bottom w:type="dxa" w:w="60"/>
              <w:right w:type="dxa" w:w="80"/>
            </w:tcMar>
          </w:tcPr>
          <w:p>
            <w:r>
              <w:rPr>
                <w:sz w:val="16"/>
                <w:szCs w:val="16"/>
              </w:rPr>
              <w:t xml:space="preserve">Lectura guiada: Ley 527 dos décadas después y el problema de la inmutabilidad</w:t>
            </w:r>
          </w:p>
        </w:tc>
        <w:tc>
          <w:tcPr>
            <w:tcW w:type="dxa" w:w="970"/>
            <w:tcMar>
              <w:top w:type="dxa" w:w="60"/>
              <w:left w:type="dxa" w:w="80"/>
              <w:bottom w:type="dxa" w:w="60"/>
              <w:right w:type="dxa" w:w="80"/>
            </w:tcMar>
          </w:tcPr>
          <w:p>
            <w:r>
              <w:rPr>
                <w:sz w:val="16"/>
                <w:szCs w:val="16"/>
              </w:rPr>
              <w:t xml:space="preserve">Lectura guiada</w:t>
            </w:r>
          </w:p>
        </w:tc>
        <w:tc>
          <w:tcPr>
            <w:tcW w:type="dxa" w:w="674"/>
            <w:tcMar>
              <w:top w:type="dxa" w:w="60"/>
              <w:left w:type="dxa" w:w="80"/>
              <w:bottom w:type="dxa" w:w="60"/>
              <w:right w:type="dxa" w:w="80"/>
            </w:tcMar>
          </w:tcPr>
          <w:p>
            <w:r>
              <w:rPr>
                <w:sz w:val="16"/>
                <w:szCs w:val="16"/>
              </w:rPr>
              <w:t xml:space="preserve">Demostrar</w:t>
            </w:r>
          </w:p>
        </w:tc>
        <w:tc>
          <w:tcPr>
            <w:tcW w:type="dxa" w:w="4644"/>
            <w:tcMar>
              <w:top w:type="dxa" w:w="60"/>
              <w:left w:type="dxa" w:w="80"/>
              <w:bottom w:type="dxa" w:w="60"/>
              <w:right w:type="dxa" w:w="80"/>
            </w:tcMar>
          </w:tcPr>
          <w:p>
            <w:r>
              <w:rPr>
                <w:sz w:val="16"/>
                <w:szCs w:val="16"/>
              </w:rPr>
              <w:t xml:space="preserve">Memorias I Foro Ley 527 (Externado, coorganizado con Uniandes); Padilla Sánchez (Externado)</w:t>
            </w:r>
          </w:p>
        </w:tc>
      </w:tr>
      <w:tr>
        <w:trPr>
          <w:tblHeader w:val="off"/>
        </w:trPr>
        <w:tc>
          <w:tcPr>
            <w:tcW w:type="dxa" w:w="674"/>
            <w:tcMar>
              <w:top w:type="dxa" w:w="60"/>
              <w:left w:type="dxa" w:w="80"/>
              <w:bottom w:type="dxa" w:w="60"/>
              <w:right w:type="dxa" w:w="80"/>
            </w:tcMar>
          </w:tcPr>
          <w:p>
            <w:r>
              <w:rPr>
                <w:sz w:val="16"/>
                <w:szCs w:val="16"/>
              </w:rPr>
              <w:t xml:space="preserve">49-65</w:t>
            </w:r>
          </w:p>
        </w:tc>
        <w:tc>
          <w:tcPr>
            <w:tcW w:type="dxa" w:w="2676"/>
            <w:tcMar>
              <w:top w:type="dxa" w:w="60"/>
              <w:left w:type="dxa" w:w="80"/>
              <w:bottom w:type="dxa" w:w="60"/>
              <w:right w:type="dxa" w:w="80"/>
            </w:tcMar>
          </w:tcPr>
          <w:p>
            <w:r>
              <w:rPr>
                <w:sz w:val="16"/>
                <w:szCs w:val="16"/>
              </w:rPr>
              <w:t xml:space="preserve">Taller 1: clínica de contratación y prueba electrónica</w:t>
            </w:r>
          </w:p>
        </w:tc>
        <w:tc>
          <w:tcPr>
            <w:tcW w:type="dxa" w:w="970"/>
            <w:tcMar>
              <w:top w:type="dxa" w:w="60"/>
              <w:left w:type="dxa" w:w="80"/>
              <w:bottom w:type="dxa" w:w="60"/>
              <w:right w:type="dxa" w:w="80"/>
            </w:tcMar>
          </w:tcPr>
          <w:p>
            <w:r>
              <w:rPr>
                <w:sz w:val="16"/>
                <w:szCs w:val="16"/>
              </w:rPr>
              <w:t xml:space="preserve">Taller grupal</w:t>
            </w:r>
          </w:p>
        </w:tc>
        <w:tc>
          <w:tcPr>
            <w:tcW w:type="dxa" w:w="674"/>
            <w:tcMar>
              <w:top w:type="dxa" w:w="60"/>
              <w:left w:type="dxa" w:w="80"/>
              <w:bottom w:type="dxa" w:w="60"/>
              <w:right w:type="dxa" w:w="80"/>
            </w:tcMar>
          </w:tcPr>
          <w:p>
            <w:r>
              <w:rPr>
                <w:sz w:val="16"/>
                <w:szCs w:val="16"/>
              </w:rPr>
              <w:t xml:space="preserve">Demostrar</w:t>
            </w:r>
          </w:p>
        </w:tc>
        <w:tc>
          <w:tcPr>
            <w:tcW w:type="dxa" w:w="4644"/>
            <w:tcMar>
              <w:top w:type="dxa" w:w="60"/>
              <w:left w:type="dxa" w:w="80"/>
              <w:bottom w:type="dxa" w:w="60"/>
              <w:right w:type="dxa" w:w="80"/>
            </w:tcMar>
          </w:tcPr>
          <w:p>
            <w:r>
              <w:rPr>
                <w:sz w:val="16"/>
                <w:szCs w:val="16"/>
              </w:rPr>
              <w:t xml:space="preserve">Memorias Ley 527, Padilla Sánchez, Almonacid y Coronel (Externado)</w:t>
            </w:r>
          </w:p>
        </w:tc>
      </w:tr>
      <w:tr>
        <w:trPr>
          <w:tblHeader w:val="off"/>
        </w:trPr>
        <w:tc>
          <w:tcPr>
            <w:tcW w:type="dxa" w:w="674"/>
            <w:tcMar>
              <w:top w:type="dxa" w:w="60"/>
              <w:left w:type="dxa" w:w="80"/>
              <w:bottom w:type="dxa" w:w="60"/>
              <w:right w:type="dxa" w:w="80"/>
            </w:tcMar>
          </w:tcPr>
          <w:p>
            <w:r>
              <w:rPr>
                <w:sz w:val="16"/>
                <w:szCs w:val="16"/>
              </w:rPr>
              <w:t xml:space="preserve">65-72</w:t>
            </w:r>
          </w:p>
        </w:tc>
        <w:tc>
          <w:tcPr>
            <w:tcW w:type="dxa" w:w="2676"/>
            <w:tcMar>
              <w:top w:type="dxa" w:w="60"/>
              <w:left w:type="dxa" w:w="80"/>
              <w:bottom w:type="dxa" w:w="60"/>
              <w:right w:type="dxa" w:w="80"/>
            </w:tcMar>
          </w:tcPr>
          <w:p>
            <w:r>
              <w:rPr>
                <w:sz w:val="16"/>
                <w:szCs w:val="16"/>
              </w:rPr>
              <w:t xml:space="preserve">Pausa</w:t>
            </w:r>
          </w:p>
        </w:tc>
        <w:tc>
          <w:tcPr>
            <w:tcW w:type="dxa" w:w="970"/>
            <w:tcMar>
              <w:top w:type="dxa" w:w="60"/>
              <w:left w:type="dxa" w:w="80"/>
              <w:bottom w:type="dxa" w:w="60"/>
              <w:right w:type="dxa" w:w="80"/>
            </w:tcMar>
          </w:tcPr>
          <w:p>
            <w:r>
              <w:rPr>
                <w:sz w:val="16"/>
                <w:szCs w:val="16"/>
              </w:rPr>
              <w:t xml:space="preserve">Pausa</w:t>
            </w:r>
          </w:p>
        </w:tc>
        <w:tc>
          <w:tcPr>
            <w:tcW w:type="dxa" w:w="674"/>
            <w:tcMar>
              <w:top w:type="dxa" w:w="60"/>
              <w:left w:type="dxa" w:w="80"/>
              <w:bottom w:type="dxa" w:w="60"/>
              <w:right w:type="dxa" w:w="80"/>
            </w:tcMar>
          </w:tcPr>
          <w:p>
            <w:r>
              <w:rPr>
                <w:sz w:val="16"/>
                <w:szCs w:val="16"/>
              </w:rPr>
              <w:t xml:space="preserve">—</w:t>
            </w:r>
          </w:p>
        </w:tc>
        <w:tc>
          <w:tcPr>
            <w:tcW w:type="dxa" w:w="4644"/>
            <w:tcMar>
              <w:top w:type="dxa" w:w="60"/>
              <w:left w:type="dxa" w:w="80"/>
              <w:bottom w:type="dxa" w:w="60"/>
              <w:right w:type="dxa" w:w="80"/>
            </w:tcMar>
          </w:tcPr>
          <w:p>
            <w:r>
              <w:rPr>
                <w:sz w:val="16"/>
                <w:szCs w:val="16"/>
              </w:rPr>
              <w:t xml:space="preserve">—</w:t>
            </w:r>
          </w:p>
        </w:tc>
      </w:tr>
      <w:tr>
        <w:trPr>
          <w:tblHeader w:val="off"/>
        </w:trPr>
        <w:tc>
          <w:tcPr>
            <w:tcW w:type="dxa" w:w="674"/>
            <w:tcMar>
              <w:top w:type="dxa" w:w="60"/>
              <w:left w:type="dxa" w:w="80"/>
              <w:bottom w:type="dxa" w:w="60"/>
              <w:right w:type="dxa" w:w="80"/>
            </w:tcMar>
          </w:tcPr>
          <w:p>
            <w:r>
              <w:rPr>
                <w:sz w:val="16"/>
                <w:szCs w:val="16"/>
              </w:rPr>
              <w:t xml:space="preserve">72-80</w:t>
            </w:r>
          </w:p>
        </w:tc>
        <w:tc>
          <w:tcPr>
            <w:tcW w:type="dxa" w:w="2676"/>
            <w:tcMar>
              <w:top w:type="dxa" w:w="60"/>
              <w:left w:type="dxa" w:w="80"/>
              <w:bottom w:type="dxa" w:w="60"/>
              <w:right w:type="dxa" w:w="80"/>
            </w:tcMar>
          </w:tcPr>
          <w:p>
            <w:r>
              <w:rPr>
                <w:sz w:val="16"/>
                <w:szCs w:val="16"/>
              </w:rPr>
              <w:t xml:space="preserve">Video 3 y marco: biometría, datos sensibles y sistemas de IA</w:t>
            </w:r>
          </w:p>
        </w:tc>
        <w:tc>
          <w:tcPr>
            <w:tcW w:type="dxa" w:w="970"/>
            <w:tcMar>
              <w:top w:type="dxa" w:w="60"/>
              <w:left w:type="dxa" w:w="80"/>
              <w:bottom w:type="dxa" w:w="60"/>
              <w:right w:type="dxa" w:w="80"/>
            </w:tcMar>
          </w:tcPr>
          <w:p>
            <w:r>
              <w:rPr>
                <w:sz w:val="16"/>
                <w:szCs w:val="16"/>
              </w:rPr>
              <w:t xml:space="preserve">Video (5 min) + exposición (3 min)</w:t>
            </w:r>
          </w:p>
        </w:tc>
        <w:tc>
          <w:tcPr>
            <w:tcW w:type="dxa" w:w="674"/>
            <w:tcMar>
              <w:top w:type="dxa" w:w="60"/>
              <w:left w:type="dxa" w:w="80"/>
              <w:bottom w:type="dxa" w:w="60"/>
              <w:right w:type="dxa" w:w="80"/>
            </w:tcMar>
          </w:tcPr>
          <w:p>
            <w:r>
              <w:rPr>
                <w:sz w:val="16"/>
                <w:szCs w:val="16"/>
              </w:rPr>
              <w:t xml:space="preserve">Consentir</w:t>
            </w:r>
          </w:p>
        </w:tc>
        <w:tc>
          <w:tcPr>
            <w:tcW w:type="dxa" w:w="4644"/>
            <w:tcMar>
              <w:top w:type="dxa" w:w="60"/>
              <w:left w:type="dxa" w:w="80"/>
              <w:bottom w:type="dxa" w:w="60"/>
              <w:right w:type="dxa" w:w="80"/>
            </w:tcMar>
          </w:tcPr>
          <w:p>
            <w:r>
              <w:rPr>
                <w:i/>
                <w:iCs/>
                <w:sz w:val="16"/>
                <w:szCs w:val="16"/>
              </w:rPr>
              <w:t xml:space="preserve">Biometría bajo la lupa: el caso Mercado Libre y las nuevas reglas de juego</w:t>
            </w:r>
            <w:r>
              <w:rPr>
                <w:sz w:val="16"/>
                <w:szCs w:val="16"/>
              </w:rPr>
              <w:t xml:space="preserve">, con la SIC (Externado, julio de 2025); Circular 002 de 2024</w:t>
            </w:r>
          </w:p>
        </w:tc>
      </w:tr>
      <w:tr>
        <w:trPr>
          <w:tblHeader w:val="off"/>
        </w:trPr>
        <w:tc>
          <w:tcPr>
            <w:tcW w:type="dxa" w:w="674"/>
            <w:tcMar>
              <w:top w:type="dxa" w:w="60"/>
              <w:left w:type="dxa" w:w="80"/>
              <w:bottom w:type="dxa" w:w="60"/>
              <w:right w:type="dxa" w:w="80"/>
            </w:tcMar>
          </w:tcPr>
          <w:p>
            <w:r>
              <w:rPr>
                <w:sz w:val="16"/>
                <w:szCs w:val="16"/>
              </w:rPr>
              <w:t xml:space="preserve">80-103</w:t>
            </w:r>
          </w:p>
        </w:tc>
        <w:tc>
          <w:tcPr>
            <w:tcW w:type="dxa" w:w="2676"/>
            <w:tcMar>
              <w:top w:type="dxa" w:w="60"/>
              <w:left w:type="dxa" w:w="80"/>
              <w:bottom w:type="dxa" w:w="60"/>
              <w:right w:type="dxa" w:w="80"/>
            </w:tcMar>
          </w:tcPr>
          <w:p>
            <w:r>
              <w:rPr>
                <w:sz w:val="16"/>
                <w:szCs w:val="16"/>
              </w:rPr>
              <w:t xml:space="preserve">Taller 2: due diligence de datos e IA para contratar un proveedor</w:t>
            </w:r>
          </w:p>
        </w:tc>
        <w:tc>
          <w:tcPr>
            <w:tcW w:type="dxa" w:w="970"/>
            <w:tcMar>
              <w:top w:type="dxa" w:w="60"/>
              <w:left w:type="dxa" w:w="80"/>
              <w:bottom w:type="dxa" w:w="60"/>
              <w:right w:type="dxa" w:w="80"/>
            </w:tcMar>
          </w:tcPr>
          <w:p>
            <w:r>
              <w:rPr>
                <w:sz w:val="16"/>
                <w:szCs w:val="16"/>
              </w:rPr>
              <w:t xml:space="preserve">Taller grupal</w:t>
            </w:r>
          </w:p>
        </w:tc>
        <w:tc>
          <w:tcPr>
            <w:tcW w:type="dxa" w:w="674"/>
            <w:tcMar>
              <w:top w:type="dxa" w:w="60"/>
              <w:left w:type="dxa" w:w="80"/>
              <w:bottom w:type="dxa" w:w="60"/>
              <w:right w:type="dxa" w:w="80"/>
            </w:tcMar>
          </w:tcPr>
          <w:p>
            <w:r>
              <w:rPr>
                <w:sz w:val="16"/>
                <w:szCs w:val="16"/>
              </w:rPr>
              <w:t xml:space="preserve">Consentir</w:t>
            </w:r>
          </w:p>
        </w:tc>
        <w:tc>
          <w:tcPr>
            <w:tcW w:type="dxa" w:w="4644"/>
            <w:tcMar>
              <w:top w:type="dxa" w:w="60"/>
              <w:left w:type="dxa" w:w="80"/>
              <w:bottom w:type="dxa" w:w="60"/>
              <w:right w:type="dxa" w:w="80"/>
            </w:tcMar>
          </w:tcPr>
          <w:p>
            <w:r>
              <w:rPr>
                <w:sz w:val="16"/>
                <w:szCs w:val="16"/>
              </w:rPr>
              <w:t xml:space="preserve">Guía GECTI y Toolkit ético legal de IA (Uniandes); caso CLOUD Act y </w:t>
            </w:r>
            <w:r>
              <w:rPr>
                <w:i/>
                <w:iCs/>
                <w:sz w:val="16"/>
                <w:szCs w:val="16"/>
              </w:rPr>
              <w:t xml:space="preserve">Principled AI</w:t>
            </w:r>
            <w:r>
              <w:rPr>
                <w:sz w:val="16"/>
                <w:szCs w:val="16"/>
              </w:rPr>
              <w:t xml:space="preserve"> (Harvard); caso Mercado Libre (Externado)</w:t>
            </w:r>
          </w:p>
        </w:tc>
      </w:tr>
      <w:tr>
        <w:trPr>
          <w:tblHeader w:val="off"/>
        </w:trPr>
        <w:tc>
          <w:tcPr>
            <w:tcW w:type="dxa" w:w="674"/>
            <w:tcMar>
              <w:top w:type="dxa" w:w="60"/>
              <w:left w:type="dxa" w:w="80"/>
              <w:bottom w:type="dxa" w:w="60"/>
              <w:right w:type="dxa" w:w="80"/>
            </w:tcMar>
          </w:tcPr>
          <w:p>
            <w:r>
              <w:rPr>
                <w:sz w:val="16"/>
                <w:szCs w:val="16"/>
              </w:rPr>
              <w:t xml:space="preserve">103-106</w:t>
            </w:r>
          </w:p>
        </w:tc>
        <w:tc>
          <w:tcPr>
            <w:tcW w:type="dxa" w:w="2676"/>
            <w:tcMar>
              <w:top w:type="dxa" w:w="60"/>
              <w:left w:type="dxa" w:w="80"/>
              <w:bottom w:type="dxa" w:w="60"/>
              <w:right w:type="dxa" w:w="80"/>
            </w:tcMar>
          </w:tcPr>
          <w:p>
            <w:r>
              <w:rPr>
                <w:sz w:val="16"/>
                <w:szCs w:val="16"/>
              </w:rPr>
              <w:t xml:space="preserve">Video 4: algoritmos que deciden sobre personas</w:t>
            </w:r>
          </w:p>
        </w:tc>
        <w:tc>
          <w:tcPr>
            <w:tcW w:type="dxa" w:w="970"/>
            <w:tcMar>
              <w:top w:type="dxa" w:w="60"/>
              <w:left w:type="dxa" w:w="80"/>
              <w:bottom w:type="dxa" w:w="60"/>
              <w:right w:type="dxa" w:w="80"/>
            </w:tcMar>
          </w:tcPr>
          <w:p>
            <w:r>
              <w:rPr>
                <w:sz w:val="16"/>
                <w:szCs w:val="16"/>
              </w:rPr>
              <w:t xml:space="preserve">Video (3 min)</w:t>
            </w:r>
          </w:p>
        </w:tc>
        <w:tc>
          <w:tcPr>
            <w:tcW w:type="dxa" w:w="674"/>
            <w:tcMar>
              <w:top w:type="dxa" w:w="60"/>
              <w:left w:type="dxa" w:w="80"/>
              <w:bottom w:type="dxa" w:w="60"/>
              <w:right w:type="dxa" w:w="80"/>
            </w:tcMar>
          </w:tcPr>
          <w:p>
            <w:r>
              <w:rPr>
                <w:sz w:val="16"/>
                <w:szCs w:val="16"/>
              </w:rPr>
              <w:t xml:space="preserve">Explicar</w:t>
            </w:r>
          </w:p>
        </w:tc>
        <w:tc>
          <w:tcPr>
            <w:tcW w:type="dxa" w:w="4644"/>
            <w:tcMar>
              <w:top w:type="dxa" w:w="60"/>
              <w:left w:type="dxa" w:w="80"/>
              <w:bottom w:type="dxa" w:w="60"/>
              <w:right w:type="dxa" w:w="80"/>
            </w:tcMar>
          </w:tcPr>
          <w:p>
            <w:r>
              <w:rPr>
                <w:sz w:val="16"/>
                <w:szCs w:val="16"/>
              </w:rPr>
              <w:t xml:space="preserve">Petrie-Flom Center 2026 Annual Conference, Panel 4: </w:t>
            </w:r>
            <w:r>
              <w:rPr>
                <w:i/>
                <w:iCs/>
                <w:sz w:val="16"/>
                <w:szCs w:val="16"/>
              </w:rPr>
              <w:t xml:space="preserve">New Technology, New Challenges</w:t>
            </w:r>
            <w:r>
              <w:rPr>
                <w:sz w:val="16"/>
                <w:szCs w:val="16"/>
              </w:rPr>
              <w:t xml:space="preserve"> (Harvard Law School, 2026)</w:t>
            </w:r>
          </w:p>
        </w:tc>
      </w:tr>
      <w:tr>
        <w:trPr>
          <w:tblHeader w:val="off"/>
        </w:trPr>
        <w:tc>
          <w:tcPr>
            <w:tcW w:type="dxa" w:w="674"/>
            <w:tcMar>
              <w:top w:type="dxa" w:w="60"/>
              <w:left w:type="dxa" w:w="80"/>
              <w:bottom w:type="dxa" w:w="60"/>
              <w:right w:type="dxa" w:w="80"/>
            </w:tcMar>
          </w:tcPr>
          <w:p>
            <w:r>
              <w:rPr>
                <w:sz w:val="16"/>
                <w:szCs w:val="16"/>
              </w:rPr>
              <w:t xml:space="preserve">106-112</w:t>
            </w:r>
          </w:p>
        </w:tc>
        <w:tc>
          <w:tcPr>
            <w:tcW w:type="dxa" w:w="2676"/>
            <w:tcMar>
              <w:top w:type="dxa" w:w="60"/>
              <w:left w:type="dxa" w:w="80"/>
              <w:bottom w:type="dxa" w:w="60"/>
              <w:right w:type="dxa" w:w="80"/>
            </w:tcMar>
          </w:tcPr>
          <w:p>
            <w:r>
              <w:rPr>
                <w:sz w:val="16"/>
                <w:szCs w:val="16"/>
              </w:rPr>
              <w:t xml:space="preserve">Preguntas y debate: voz clonada, deepfakes y decisiones automatizadas</w:t>
            </w:r>
          </w:p>
        </w:tc>
        <w:tc>
          <w:tcPr>
            <w:tcW w:type="dxa" w:w="970"/>
            <w:tcMar>
              <w:top w:type="dxa" w:w="60"/>
              <w:left w:type="dxa" w:w="80"/>
              <w:bottom w:type="dxa" w:w="60"/>
              <w:right w:type="dxa" w:w="80"/>
            </w:tcMar>
          </w:tcPr>
          <w:p>
            <w:r>
              <w:rPr>
                <w:sz w:val="16"/>
                <w:szCs w:val="16"/>
              </w:rPr>
              <w:t xml:space="preserve">Preguntas y debate</w:t>
            </w:r>
          </w:p>
        </w:tc>
        <w:tc>
          <w:tcPr>
            <w:tcW w:type="dxa" w:w="674"/>
            <w:tcMar>
              <w:top w:type="dxa" w:w="60"/>
              <w:left w:type="dxa" w:w="80"/>
              <w:bottom w:type="dxa" w:w="60"/>
              <w:right w:type="dxa" w:w="80"/>
            </w:tcMar>
          </w:tcPr>
          <w:p>
            <w:r>
              <w:rPr>
                <w:sz w:val="16"/>
                <w:szCs w:val="16"/>
              </w:rPr>
              <w:t xml:space="preserve">Explicar</w:t>
            </w:r>
          </w:p>
        </w:tc>
        <w:tc>
          <w:tcPr>
            <w:tcW w:type="dxa" w:w="4644"/>
            <w:tcMar>
              <w:top w:type="dxa" w:w="60"/>
              <w:left w:type="dxa" w:w="80"/>
              <w:bottom w:type="dxa" w:w="60"/>
              <w:right w:type="dxa" w:w="80"/>
            </w:tcMar>
          </w:tcPr>
          <w:p>
            <w:r>
              <w:rPr>
                <w:sz w:val="16"/>
                <w:szCs w:val="16"/>
              </w:rPr>
              <w:t xml:space="preserve">Bar-Gill y Sunstein, </w:t>
            </w:r>
            <w:r>
              <w:rPr>
                <w:i/>
                <w:iCs/>
                <w:sz w:val="16"/>
                <w:szCs w:val="16"/>
              </w:rPr>
              <w:t xml:space="preserve">Algorithmic Harm</w:t>
            </w:r>
            <w:r>
              <w:rPr>
                <w:sz w:val="16"/>
                <w:szCs w:val="16"/>
              </w:rPr>
              <w:t xml:space="preserve"> (Harvard, 2025); caso Modulate (Harvard, 2020, caso de estudio); ¿Afecta la IA las decisiones…? (Uniandes)</w:t>
            </w:r>
          </w:p>
        </w:tc>
      </w:tr>
      <w:tr>
        <w:trPr>
          <w:tblHeader w:val="off"/>
        </w:trPr>
        <w:tc>
          <w:tcPr>
            <w:tcW w:type="dxa" w:w="674"/>
            <w:tcMar>
              <w:top w:type="dxa" w:w="60"/>
              <w:left w:type="dxa" w:w="80"/>
              <w:bottom w:type="dxa" w:w="60"/>
              <w:right w:type="dxa" w:w="80"/>
            </w:tcMar>
          </w:tcPr>
          <w:p>
            <w:r>
              <w:rPr>
                <w:sz w:val="16"/>
                <w:szCs w:val="16"/>
              </w:rPr>
              <w:t xml:space="preserve">112-120</w:t>
            </w:r>
          </w:p>
        </w:tc>
        <w:tc>
          <w:tcPr>
            <w:tcW w:type="dxa" w:w="2676"/>
            <w:tcMar>
              <w:top w:type="dxa" w:w="60"/>
              <w:left w:type="dxa" w:w="80"/>
              <w:bottom w:type="dxa" w:w="60"/>
              <w:right w:type="dxa" w:w="80"/>
            </w:tcMar>
          </w:tcPr>
          <w:p>
            <w:r>
              <w:rPr>
                <w:sz w:val="16"/>
                <w:szCs w:val="16"/>
              </w:rPr>
              <w:t xml:space="preserve">Cierre: evaluación relámpago, compromiso del lunes, protocolo consolidado y rutas de profundización</w:t>
            </w:r>
          </w:p>
        </w:tc>
        <w:tc>
          <w:tcPr>
            <w:tcW w:type="dxa" w:w="970"/>
            <w:tcMar>
              <w:top w:type="dxa" w:w="60"/>
              <w:left w:type="dxa" w:w="80"/>
              <w:bottom w:type="dxa" w:w="60"/>
              <w:right w:type="dxa" w:w="80"/>
            </w:tcMar>
          </w:tcPr>
          <w:p>
            <w:r>
              <w:rPr>
                <w:sz w:val="16"/>
                <w:szCs w:val="16"/>
              </w:rPr>
              <w:t xml:space="preserve">Cierre</w:t>
            </w:r>
          </w:p>
        </w:tc>
        <w:tc>
          <w:tcPr>
            <w:tcW w:type="dxa" w:w="674"/>
            <w:tcMar>
              <w:top w:type="dxa" w:w="60"/>
              <w:left w:type="dxa" w:w="80"/>
              <w:bottom w:type="dxa" w:w="60"/>
              <w:right w:type="dxa" w:w="80"/>
            </w:tcMar>
          </w:tcPr>
          <w:p>
            <w:r>
              <w:rPr>
                <w:sz w:val="16"/>
                <w:szCs w:val="16"/>
              </w:rPr>
              <w:t xml:space="preserve">Síntesis</w:t>
            </w:r>
          </w:p>
        </w:tc>
        <w:tc>
          <w:tcPr>
            <w:tcW w:type="dxa" w:w="4644"/>
            <w:tcMar>
              <w:top w:type="dxa" w:w="60"/>
              <w:left w:type="dxa" w:w="80"/>
              <w:bottom w:type="dxa" w:w="60"/>
              <w:right w:type="dxa" w:w="80"/>
            </w:tcMar>
          </w:tcPr>
          <w:p>
            <w:r>
              <w:rPr>
                <w:sz w:val="16"/>
                <w:szCs w:val="16"/>
              </w:rPr>
              <w:t xml:space="preserve">Relatorías 2025 de la Mesa Multiactor (Externado y Uniandes); AI Governance Speaker Series 2026 (Harvard); Uniandes Legal Fest 2026</w:t>
            </w:r>
          </w:p>
        </w:tc>
      </w:tr>
    </w:tbl>
    <w:p/>
    <w:p>
      <w:pPr>
        <w:spacing w:after="120"/>
      </w:pPr>
      <w:r>
        <w:t xml:space="preserve">Reparto del tiempo: 26 minutos de exposición y preguntas, 18 de video, 8 de lectura guiada, 54 de trabajo activo (ejercicio y talleres), 7 de pausa y 8 de cierre. Ningún bloque pasivo supera los 10 minutos.</w:t>
      </w:r>
    </w:p>
    <w:p>
      <w:pPr>
        <w:pStyle w:val="Heading1"/>
      </w:pPr>
      <w:r>
        <w:t xml:space="preserve">6. Guion del facilitador, bloque por bloque</w:t>
      </w:r>
    </w:p>
    <w:p>
      <w:pPr>
        <w:pStyle w:val="Heading2"/>
      </w:pPr>
      <w:r>
        <w:t xml:space="preserve">Bloque 1 · 0-8 · Apertura: qué cambia y qué no cambia para el abogado</w:t>
      </w:r>
    </w:p>
    <w:p>
      <w:pPr>
        <w:spacing w:after="120"/>
      </w:pPr>
      <w:r>
        <w:rPr>
          <w:b/>
          <w:bCs/>
        </w:rPr>
        <w:t xml:space="preserve">Qué se hace.</w:t>
      </w:r>
      <w:r>
        <w:t xml:space="preserve"> Bienvenida y encuadre en tres diapositivas: (1) la tesis (los deberes no cambiaron; cambió cómo se cumplen y se prueban); (2) el mapa conceptual: las cuatro modalidades de Lessig (ley, normas, mercado, código) y las tres capas de Gasser y Almeida (técnica, ética, social y legal), con la consigna «denme un ejemplo colombiano de cada modalidad» a mano alzada; (3) los cuatro deberes y los tres entregables.</w:t>
      </w:r>
    </w:p>
    <w:p>
      <w:pPr>
        <w:spacing w:after="120"/>
      </w:pPr>
      <w:r>
        <w:rPr>
          <w:b/>
          <w:bCs/>
        </w:rPr>
        <w:t xml:space="preserve">Sondeo de apertura</w:t>
      </w:r>
      <w:r>
        <w:t xml:space="preserve"> (a mano alzada o con formulario por código QR; anotar los porcentajes para retomarlos en el cierre):</w:t>
      </w:r>
    </w:p>
    <w:p>
      <w:pPr>
        <w:pStyle w:val="ListParagraph"/>
        <w:numPr>
          <w:ilvl w:val="0"/>
          <w:numId w:val="4"/>
        </w:numPr>
      </w:pPr>
      <w:r>
        <w:t xml:space="preserve">¿Quién ha usado un chatbot de IA generativa para redactar o revisar un escrito en los últimos tres meses?</w:t>
      </w:r>
    </w:p>
    <w:p>
      <w:pPr>
        <w:pStyle w:val="ListParagraph"/>
        <w:numPr>
          <w:ilvl w:val="0"/>
          <w:numId w:val="4"/>
        </w:numPr>
      </w:pPr>
      <w:r>
        <w:t xml:space="preserve">De esos, ¿quién verificó cada cita en la fuente oficial?</w:t>
      </w:r>
    </w:p>
    <w:p>
      <w:pPr>
        <w:pStyle w:val="ListParagraph"/>
        <w:numPr>
          <w:ilvl w:val="0"/>
          <w:numId w:val="4"/>
        </w:numPr>
      </w:pPr>
      <w:r>
        <w:t xml:space="preserve">¿Quién ha recibido una decisión (crédito, empleo, seguro, trámite) tomada por un sistema automatizado sin que le explicaran por qué?</w:t>
      </w:r>
    </w:p>
    <w:p>
      <w:pPr>
        <w:spacing w:after="120"/>
      </w:pPr>
      <w:r>
        <w:t xml:space="preserve">Se cierra con la idea de «cibercompetencias» del libro </w:t>
      </w:r>
      <w:r>
        <w:rPr>
          <w:i/>
          <w:iCs/>
        </w:rPr>
        <w:t xml:space="preserve">Derecho de las tecnologías y las tecnologías para el derecho</w:t>
      </w:r>
      <w:r>
        <w:t xml:space="preserve"> (Uniandes, 2022, ed. María Lorena Flórez Rojas) y con la tesis de DeStefano en </w:t>
      </w:r>
      <w:r>
        <w:rPr>
          <w:i/>
          <w:iCs/>
        </w:rPr>
        <w:t xml:space="preserve">The Practice</w:t>
      </w:r>
      <w:r>
        <w:t xml:space="preserve"> (Harvard, 2026): la IA es una «máquina de respuestas», pero el valor del abogado nunca estuvo solo en la respuesta.</w:t>
      </w:r>
    </w:p>
    <w:p>
      <w:pPr>
        <w:spacing w:after="120"/>
      </w:pPr>
      <w:r>
        <w:rPr>
          <w:b/>
          <w:bCs/>
        </w:rPr>
        <w:t xml:space="preserve">Notas.</w:t>
      </w:r>
      <w:r>
        <w:t xml:space="preserve"> Anunciar la regla de confidencialidad: todos los casos son ficticios y nadie ingresa datos reales de clientes en herramientas de IA durante la sesión. Cronómetro visible desde el minuto 0. Recordatorio de 60 segundos de la lectura previa sobre la T-323 para quien no la hizo.</w:t>
      </w:r>
    </w:p>
    <w:p>
      <w:pPr>
        <w:spacing w:after="120"/>
      </w:pPr>
      <w:r>
        <w:rPr>
          <w:b/>
          <w:bCs/>
        </w:rPr>
        <w:t xml:space="preserve">Fuentes.</w:t>
      </w:r>
      <w:r>
        <w:t xml:space="preserve"> Marco clásico: Lessig, </w:t>
      </w:r>
      <w:r>
        <w:rPr>
          <w:i/>
          <w:iCs/>
        </w:rPr>
        <w:t xml:space="preserve">Code Is Law</w:t>
      </w:r>
      <w:r>
        <w:t xml:space="preserve"> (Harvard Magazine, 2000) y Gasser y Almeida, </w:t>
      </w:r>
      <w:r>
        <w:rPr>
          <w:i/>
          <w:iCs/>
        </w:rPr>
        <w:t xml:space="preserve">A Layered Model for AI Governance</w:t>
      </w:r>
      <w:r>
        <w:t xml:space="preserve"> (2017); se citan como esquemas, no como actualidad. Actualidad: DeStefano, </w:t>
      </w:r>
      <w:r>
        <w:rPr>
          <w:i/>
          <w:iCs/>
        </w:rPr>
        <w:t xml:space="preserve">How Lawyers Can Add Value in the Age of AI</w:t>
      </w:r>
      <w:r>
        <w:t xml:space="preserve"> (</w:t>
      </w:r>
      <w:r>
        <w:rPr>
          <w:i/>
          <w:iCs/>
        </w:rPr>
        <w:t xml:space="preserve">The Practice</w:t>
      </w:r>
      <w:r>
        <w:t xml:space="preserve">, Harvard, 2026); Flórez Rojas (ed.), </w:t>
      </w:r>
      <w:r>
        <w:rPr>
          <w:i/>
          <w:iCs/>
        </w:rPr>
        <w:t xml:space="preserve">Derecho de las tecnologías y las tecnologías para el derecho</w:t>
      </w:r>
      <w:r>
        <w:t xml:space="preserve"> (Ediciones Uniandes, 2022).</w:t>
      </w:r>
    </w:p>
    <w:p>
      <w:pPr>
        <w:pStyle w:val="Heading2"/>
      </w:pPr>
      <w:r>
        <w:t xml:space="preserve">Bloque 2 · 8-14 · Video 1 (Uniandes, 2026): los desafíos del derecho en la era de la IA</w:t>
      </w:r>
    </w:p>
    <w:p>
      <w:pPr>
        <w:spacing w:after="120"/>
      </w:pPr>
      <w:r>
        <w:rPr>
          <w:b/>
          <w:bCs/>
        </w:rPr>
        <w:t xml:space="preserve">Qué se hace.</w:t>
      </w:r>
      <w:r>
        <w:t xml:space="preserve"> Proyección de un fragmento de 4 a 5 minutos de </w:t>
      </w:r>
      <w:r>
        <w:rPr>
          <w:i/>
          <w:iCs/>
        </w:rPr>
        <w:t xml:space="preserve">Desafíos del derecho en la era de la Inteligencia Artificial</w:t>
      </w:r>
      <w:r>
        <w:t xml:space="preserve"> (canal de la Facultad de Derecho de la Universidad de los Andes, 6 de febrero de 2026, </w:t>
      </w:r>
      <w:hyperlink w:history="1" r:id="rIduov3abfp4cx7cc-mh_nxv">
        <w:r>
          <w:rPr>
            <w:rStyle w:val="Hyperlink"/>
          </w:rPr>
          <w:t xml:space="preserve">https://www.youtube.com/watch?v=IvcNLzlJUHA</w:t>
        </w:r>
      </w:hyperlink>
      <w:r>
        <w:t xml:space="preserve">): los nuevos retos del derecho en la toma de decisiones, la regulación y la adaptación de los marcos jurídicos. Consigna de visionado activo: «anote una tarea suya que ya hace o podría hacer con IA, una que nunca delegaría y una afirmación del video con la que no esté de acuerdo». Dos minutos para recoger tres respuestas en voz alta; sin debate todavía.</w:t>
      </w:r>
    </w:p>
    <w:p>
      <w:pPr>
        <w:spacing w:after="120"/>
      </w:pPr>
      <w:r>
        <w:rPr>
          <w:b/>
          <w:bCs/>
        </w:rPr>
        <w:t xml:space="preserve">Notas.</w:t>
      </w:r>
      <w:r>
        <w:t xml:space="preserve"> Descargar el fragmento con anticipación y marcar los tiempos de inicio y fin; no navegar en vivo. </w:t>
      </w:r>
      <w:r>
        <w:rPr>
          <w:b/>
          <w:bCs/>
        </w:rPr>
        <w:t xml:space="preserve">Plan B (Uniandes, 2025):</w:t>
      </w:r>
      <w:r>
        <w:t xml:space="preserve"> </w:t>
      </w:r>
      <w:r>
        <w:rPr>
          <w:i/>
          <w:iCs/>
        </w:rPr>
        <w:t xml:space="preserve">Conferencia: Retos de la inteligencia artificial en la protección de los derechos humanos</w:t>
      </w:r>
      <w:r>
        <w:t xml:space="preserve"> (Facultad de Derecho Uniandes, 12 de mayo de 2025, </w:t>
      </w:r>
      <w:hyperlink w:history="1" r:id="rIdirmnrik3tjelwkqqzexje">
        <w:r>
          <w:rPr>
            <w:rStyle w:val="Hyperlink"/>
          </w:rPr>
          <w:t xml:space="preserve">https://www.youtube.com/watch?v=veu2Gt1BqeE</w:t>
        </w:r>
      </w:hyperlink>
      <w:r>
        <w:t xml:space="preserve">). </w:t>
      </w:r>
      <w:r>
        <w:rPr>
          <w:b/>
          <w:bCs/>
        </w:rPr>
        <w:t xml:space="preserve">Alternativa en inglés (Harvard, 2025):</w:t>
      </w:r>
      <w:r>
        <w:t xml:space="preserve"> Cass Sunstein, </w:t>
      </w:r>
      <w:r>
        <w:rPr>
          <w:i/>
          <w:iCs/>
        </w:rPr>
        <w:t xml:space="preserve">Imperfect Oracle: What AI Can and Cannot Do</w:t>
      </w:r>
      <w:r>
        <w:t xml:space="preserve">, Harvard Law School Library Book Talk (12 de noviembre de 2025, </w:t>
      </w:r>
      <w:hyperlink w:history="1" r:id="rIdxo0hagkwuarayikwv6yqt">
        <w:r>
          <w:rPr>
            <w:rStyle w:val="Hyperlink"/>
          </w:rPr>
          <w:t xml:space="preserve">https://www.youtube.com/watch?v=MvBdRF3zw5k</w:t>
        </w:r>
      </w:hyperlink>
      <w:r>
        <w:t xml:space="preserve">), con subtítulos en español.</w:t>
      </w:r>
    </w:p>
    <w:p>
      <w:pPr>
        <w:pStyle w:val="Heading2"/>
      </w:pPr>
      <w:r>
        <w:t xml:space="preserve">Bloque 3 · 14-29 · Ejercicio individual: auditoría de un escrito elaborado con IA</w:t>
      </w:r>
    </w:p>
    <w:p>
      <w:pPr>
        <w:spacing w:after="120"/>
      </w:pPr>
      <w:r>
        <w:t xml:space="preserve">Detalle completo en la sección 7.1. Resumen: cada asistente recibe un recurso de reposición de una página «redactado con ayuda de IA» que contiene cuatro problemas plantados y una lista de verificación de cinco puntos; marca todo lo que no firmaría y escribe una regla para el protocolo de la firma. Tres minutos de consigna, diez de trabajo en silencio, dos de autoevaluación con la clave proyectada.</w:t>
      </w:r>
    </w:p>
    <w:p>
      <w:pPr>
        <w:spacing w:after="120"/>
      </w:pPr>
      <w:r>
        <w:rPr>
          <w:b/>
          <w:bCs/>
        </w:rPr>
        <w:t xml:space="preserve">Fuentes.</w:t>
      </w:r>
      <w:r>
        <w:t xml:space="preserve"> Resumen de la T-323 de 2024 (Externado, propintel). Relatoría del conversatorio del Externado sobre la T-323 (27 de agosto de 2024). Nota </w:t>
      </w:r>
      <w:r>
        <w:rPr>
          <w:i/>
          <w:iCs/>
        </w:rPr>
        <w:t xml:space="preserve">El Externado analiza el uso de la IA en la justicia colombiana</w:t>
      </w:r>
      <w:r>
        <w:t xml:space="preserve"> sobre las providencias STC17832-2025 y AC739-2026 de la Corte Suprema. Entrada </w:t>
      </w:r>
      <w:r>
        <w:rPr>
          <w:i/>
          <w:iCs/>
        </w:rPr>
        <w:t xml:space="preserve">Cuando la inteligencia artificial inventa el derecho: riesgos para la profesión jurídica</w:t>
      </w:r>
      <w:r>
        <w:t xml:space="preserve"> (Blog Jurídico TECH, Externado).</w:t>
      </w:r>
    </w:p>
    <w:p>
      <w:pPr>
        <w:pStyle w:val="Heading2"/>
      </w:pPr>
      <w:r>
        <w:t xml:space="preserve">Bloque 4 · 29-35 · Puesta en común y preguntas: deberes del abogado que usa IA</w:t>
      </w:r>
    </w:p>
    <w:p>
      <w:pPr>
        <w:spacing w:after="120"/>
      </w:pPr>
      <w:r>
        <w:rPr>
          <w:b/>
          <w:bCs/>
        </w:rPr>
        <w:t xml:space="preserve">Qué se hace.</w:t>
      </w:r>
      <w:r>
        <w:t xml:space="preserve"> Cuántos encontraron los cuatro problemas, cuál fue el más difícil (normalmente la cita distorsionada) y qué regla propusieron. El facilitador conduce dos preguntas de comprensión y una de debate (¿debe revelarse el uso de IA en escritos judiciales?) con los argumentos de la relatoría del Externado: independencia judicial, debido proceso, transparencia y responsabilidad. Cierra con el «mínimo de tres pasos» de verificación antes de radicar cualquier escrito. Las reglas propuestas se anotan en un rotafolio: son el borrador del protocolo que se consolida en el cierre.</w:t>
      </w:r>
    </w:p>
    <w:p>
      <w:pPr>
        <w:spacing w:after="120"/>
      </w:pPr>
      <w:r>
        <w:rPr>
          <w:b/>
          <w:bCs/>
        </w:rPr>
        <w:t xml:space="preserve">Notas.</w:t>
      </w:r>
      <w:r>
        <w:t xml:space="preserve"> Bloque elástico: si el ejercicio se alargó, se recorta aquí. Si hay tiempo, clip de 2 a 3 minutos de la </w:t>
      </w:r>
      <w:r>
        <w:rPr>
          <w:i/>
          <w:iCs/>
        </w:rPr>
        <w:t xml:space="preserve">Conferencia: La regulación de la IA y el Estado de Derecho: retos y oportunidades</w:t>
      </w:r>
      <w:r>
        <w:t xml:space="preserve"> (Facultad de Derecho Uniandes, 2024) o de </w:t>
      </w:r>
      <w:r>
        <w:rPr>
          <w:i/>
          <w:iCs/>
        </w:rPr>
        <w:t xml:space="preserve">Retos de la inteligencia artificial en la protección de los derechos humanos</w:t>
      </w:r>
      <w:r>
        <w:t xml:space="preserve"> (Facultad de Derecho Uniandes, 2025, </w:t>
      </w:r>
      <w:hyperlink w:history="1" r:id="rId5rgkwbufgq-dmw_mnzju6">
        <w:r>
          <w:rPr>
            <w:rStyle w:val="Hyperlink"/>
          </w:rPr>
          <w:t xml:space="preserve">https://www.youtube.com/watch?v=veu2Gt1BqeE</w:t>
        </w:r>
      </w:hyperlink>
      <w:r>
        <w:t xml:space="preserve">). El video </w:t>
      </w:r>
      <w:r>
        <w:rPr>
          <w:i/>
          <w:iCs/>
        </w:rPr>
        <w:t xml:space="preserve">Seminario-Taller sobre IA, el Estado de Derecho y el Sistema Judicial</w:t>
      </w:r>
      <w:r>
        <w:t xml:space="preserve"> que circula en YouTube tiene como ponente a Juan David Gutiérrez (Escuela de Gobierno, Uniandes), pero la verificación indica que el organizador fue el Poder Judicial de Paraguay: no se cita como fuente institucional de Uniandes.</w:t>
      </w:r>
    </w:p>
    <w:p>
      <w:pPr>
        <w:pStyle w:val="Heading2"/>
      </w:pPr>
      <w:r>
        <w:t xml:space="preserve">Bloque 5 · 35-41 · Video 2 (Externado, 2025): fraude cibernético por canales móviles y prueba electrónica</w:t>
      </w:r>
    </w:p>
    <w:p>
      <w:pPr>
        <w:spacing w:after="120"/>
      </w:pPr>
      <w:r>
        <w:rPr>
          <w:b/>
          <w:bCs/>
        </w:rPr>
        <w:t xml:space="preserve">Qué se hace.</w:t>
      </w:r>
      <w:r>
        <w:t xml:space="preserve"> Fragmento de 6 minutos del webinar </w:t>
      </w:r>
      <w:r>
        <w:rPr>
          <w:i/>
          <w:iCs/>
        </w:rPr>
        <w:t xml:space="preserve">Identificación de medidas para mitigar el fraude cibernético por medio de servicios móviles</w:t>
      </w:r>
      <w:r>
        <w:t xml:space="preserve"> (Departamento de Derecho, Comunicaciones y Tecnologías de la Información, 23 de julio de 2025). La grabación se abre desde la página institucional que recopila los seminarios web de 2025 (</w:t>
      </w:r>
      <w:hyperlink w:history="1" r:id="rIdqgl0ue4nytzbhtouwf_ij">
        <w:r>
          <w:rPr>
            <w:rStyle w:val="Hyperlink"/>
          </w:rPr>
          <w:t xml:space="preserve">https://www.uexternado.edu.co/derecho/departamento-derecho-las-telecomunicaciones-2/seminarios-web-2025/</w:t>
        </w:r>
      </w:hyperlink>
      <w:r>
        <w:t xml:space="preserve">) o desde la lista de reproducción del Departamento en YouTube (</w:t>
      </w:r>
      <w:hyperlink w:history="1" r:id="rIdzax5g1hs0hpgeqjjddm0u">
        <w:r>
          <w:rPr>
            <w:rStyle w:val="Hyperlink"/>
          </w:rPr>
          <w:t xml:space="preserve">https://www.youtube.com/playlist?list=PLLdYhVJsMEXJsQw_DL_dNOejiIpp1OERr</w:t>
        </w:r>
      </w:hyperlink>
      <w:r>
        <w:t xml:space="preserve">). Roles de escucha por mitades de la sala: «abogado de la empresa que fue víctima del fraude» y «abogado del usuario». Un minuto de puente del facilitador: todo lo que ocurre por WhatsApp, SMS o una app es un mensaje de datos; la Ley 527 de 1999 ya respondió tres preguntas (validez, equivalentes funcionales, valor probatorio) y el artículo 247 del CGP dice cómo se aporta. Lo nuevo es la velocidad del fraude y la ejecución automática de los contratos.</w:t>
      </w:r>
    </w:p>
    <w:p>
      <w:pPr>
        <w:spacing w:after="120"/>
      </w:pPr>
      <w:r>
        <w:rPr>
          <w:b/>
          <w:bCs/>
        </w:rPr>
        <w:t xml:space="preserve">Notas.</w:t>
      </w:r>
      <w:r>
        <w:t xml:space="preserve"> Elegir el fragmento donde se describen los mecanismos de fraude y las medidas de mitigación; evitar la introducción institucional. Tener lista la diapositiva «chuleta» con los artículos 5, 6, 7, 8, 10, 11, 12 y 14 de la Ley 527 y el artículo 247 del CGP. </w:t>
      </w:r>
      <w:r>
        <w:rPr>
          <w:b/>
          <w:bCs/>
        </w:rPr>
        <w:t xml:space="preserve">Plan B (Externado, 2025):</w:t>
      </w:r>
      <w:r>
        <w:t xml:space="preserve"> masterclass </w:t>
      </w:r>
      <w:r>
        <w:rPr>
          <w:i/>
          <w:iCs/>
        </w:rPr>
        <w:t xml:space="preserve">Compliance en entornos digitales: del cumplimiento normativo a la confianza tecnológica</w:t>
      </w:r>
      <w:r>
        <w:t xml:space="preserve">, en la misma página de seminarios web de 2025. Los identificadores individuales de YouTube de estas grabaciones no se localizaron desde este entorno: abrir la página institucional al preparar la sesión y copiar el enlace exacto en la diapositiva 7.</w:t>
      </w:r>
    </w:p>
    <w:p>
      <w:pPr>
        <w:pStyle w:val="Heading2"/>
      </w:pPr>
      <w:r>
        <w:t xml:space="preserve">Bloque 6 · 41-49 · Lectura guiada: Ley 527 dos décadas después y el problema de la inmutabilidad</w:t>
      </w:r>
    </w:p>
    <w:p>
      <w:pPr>
        <w:spacing w:after="120"/>
      </w:pPr>
      <w:r>
        <w:rPr>
          <w:b/>
          <w:bCs/>
        </w:rPr>
        <w:t xml:space="preserve">Qué se hace.</w:t>
      </w:r>
      <w:r>
        <w:t xml:space="preserve"> Dos extractos de una página preparados por el facilitador, ambos de doctrina de referencia (se indica el año en la diapositiva): (A) de las </w:t>
      </w:r>
      <w:r>
        <w:rPr>
          <w:i/>
          <w:iCs/>
        </w:rPr>
        <w:t xml:space="preserve">Memorias del I Foro Ley 527 de 1999: dos décadas después</w:t>
      </w:r>
      <w:r>
        <w:t xml:space="preserve"> (Observatics, Externado, foro coorganizado con la Universidad de los Andes, 2019), sobre equivalencia funcional, firma electrónica y valor probatorio del mensaje de datos; (B) del artículo de Padilla Sánchez (Revista de Derecho Privado, 2020) sobre inmutabilidad, desintermediación y errores de programación irreversibles. La norma que se aplica (Ley 527 y art. 247 del CGP) está vigente; el facilitador enlaza con el caso de fraude de 2025 del video anterior. Formato leer-parejas-plenaria: 3 minutos de lectura individual, 3 en parejas con tres preguntas guía, 2 de plenaria.</w:t>
      </w:r>
    </w:p>
    <w:p>
      <w:pPr>
        <w:spacing w:after="120"/>
      </w:pPr>
      <w:r>
        <w:rPr>
          <w:b/>
          <w:bCs/>
        </w:rPr>
        <w:t xml:space="preserve">Preguntas guía proyectadas.</w:t>
      </w:r>
      <w:r>
        <w:t xml:space="preserve"> ¿Qué equivalentes funcionales reconoce la ley? ¿Por qué la impresión en papel no es el mensaje de datos? ¿Por qué la inmutabilidad, que es una ventaja técnica, es un problema jurídico?</w:t>
      </w:r>
    </w:p>
    <w:p>
      <w:pPr>
        <w:spacing w:after="120"/>
      </w:pPr>
      <w:r>
        <w:rPr>
          <w:b/>
          <w:bCs/>
        </w:rPr>
        <w:t xml:space="preserve">Notas.</w:t>
      </w:r>
      <w:r>
        <w:t xml:space="preserve"> No repartir los documentos completos. En la plenaria conectar (A) con el artículo 247 del CGP y (B) con los remedios del derecho de obligaciones que suponen reversibilidad (nulidad, resolución, restitución) y que un código inmutable no puede ejecutar por sí mismo.</w:t>
      </w:r>
    </w:p>
    <w:p>
      <w:pPr>
        <w:pStyle w:val="Heading2"/>
      </w:pPr>
      <w:r>
        <w:t xml:space="preserve">Bloque 7 · 49-65 · Taller 1: clínica de contratación y prueba electrónica</w:t>
      </w:r>
    </w:p>
    <w:p>
      <w:pPr>
        <w:spacing w:after="120"/>
      </w:pPr>
      <w:r>
        <w:t xml:space="preserve">Detalle completo en la sección 7.2. Grupos de 4 a 5 personas, relator y cronometrador por grupo, plantilla impresa. Parte A: contrato negociado por WhatsApp y correo que el proveedor niega. Parte B: smart contract que ejecutó el pago pese a mercancía defectuosa; los grupos eligen y justifican dos cláusulas modelo. Plenaria estricta de 4 minutos con dos grupos.</w:t>
      </w:r>
    </w:p>
    <w:p>
      <w:pPr>
        <w:pStyle w:val="Heading2"/>
      </w:pPr>
      <w:r>
        <w:t xml:space="preserve">Bloque 8 · 65-72 · Pausa</w:t>
      </w:r>
    </w:p>
    <w:p>
      <w:pPr>
        <w:spacing w:after="120"/>
      </w:pPr>
      <w:r>
        <w:t xml:space="preserve">Siete minutos. Se deja proyectado el caso del Taller 2 para quien regrese antes. Reorganizar las mesas (los grupos del Taller 2 son distintos), confirmar audio del Video 3, repartir plantillas de matriz y extractos traducidos de los casos de Harvard.</w:t>
      </w:r>
    </w:p>
    <w:p>
      <w:pPr>
        <w:pStyle w:val="Heading2"/>
      </w:pPr>
      <w:r>
        <w:t xml:space="preserve">Bloque 9 · 72-80 · Video 3 y marco (Externado, 2025): biometría, datos sensibles y sistemas de IA</w:t>
      </w:r>
    </w:p>
    <w:p>
      <w:pPr>
        <w:spacing w:after="120"/>
      </w:pPr>
      <w:r>
        <w:rPr>
          <w:b/>
          <w:bCs/>
        </w:rPr>
        <w:t xml:space="preserve">Qué se hace.</w:t>
      </w:r>
      <w:r>
        <w:t xml:space="preserve"> Fragmento de 5 minutos de </w:t>
      </w:r>
      <w:r>
        <w:rPr>
          <w:i/>
          <w:iCs/>
        </w:rPr>
        <w:t xml:space="preserve">Biometría bajo la lupa: el caso Mercado Libre y las nuevas reglas de juego</w:t>
      </w:r>
      <w:r>
        <w:t xml:space="preserve"> (Departamento de Derecho, Comunicaciones y Tecnologías de la Información, 3 de julio de 2025), con Carolina García Molina, directora de Investigación de Protección de Datos de la Superintendencia de Industria y Comercio, y María del Pilar Cortés Rivas. Reseña: </w:t>
      </w:r>
      <w:hyperlink w:history="1" r:id="rIddcairxsp_abuvihdnwiih">
        <w:r>
          <w:rPr>
            <w:rStyle w:val="Hyperlink"/>
          </w:rPr>
          <w:t xml:space="preserve">https://www.uexternado.edu.co/departamento-de-derecho-comunicaciones-y-tecnologias-de-la-informacion/biometria-bajo-la-lupa-el-caso-mercado-libre-y-las-nuevas-reglas-de-juego/</w:t>
        </w:r>
      </w:hyperlink>
      <w:r>
        <w:t xml:space="preserve"> Grabación: página de seminarios web de 2025 y lista de reproducción del Departamento. Luego 3 minutos del facilitador con la diapositiva de </w:t>
      </w:r>
      <w:r>
        <w:rPr>
          <w:b/>
          <w:bCs/>
        </w:rPr>
        <w:t xml:space="preserve">cinco reglas</w:t>
      </w:r>
      <w:r>
        <w:t xml:space="preserve"> que es la «chuleta» del Taller 2: (1) responsable vs. encargado; (2) transferencia vs. transmisión internacional (art. 26 de la Ley 1581 y Decreto 1377 de 2013); (3) datos sensibles y biometría (arts. 5 y 6); (4) responsabilidad demostrada; (5) lineamientos de la Circular Externa 002 de 2024 de la SIC sobre tratamiento de datos en sistemas de IA, presentada en el conversatorio del Externado con la Superintendencia Delegada para la Protección de Datos Personales.</w:t>
      </w:r>
    </w:p>
    <w:p>
      <w:pPr>
        <w:spacing w:after="120"/>
      </w:pPr>
      <w:r>
        <w:rPr>
          <w:b/>
          <w:bCs/>
        </w:rPr>
        <w:t xml:space="preserve">Notas.</w:t>
      </w:r>
      <w:r>
        <w:t xml:space="preserve"> Elegir el fragmento donde la SIC explica por qué el dato biométrico es sensible y por qué debe ofrecerse una alternativa de verificación. </w:t>
      </w:r>
      <w:r>
        <w:rPr>
          <w:b/>
          <w:bCs/>
        </w:rPr>
        <w:t xml:space="preserve">Plan B (Externado, 2026):</w:t>
      </w:r>
      <w:r>
        <w:t xml:space="preserve"> un seminario web de 2026 del Departamento sobre IA y derechos digitales (</w:t>
      </w:r>
      <w:hyperlink w:history="1" r:id="rIdymj7ulmsb-jtww8s2cxwk">
        <w:r>
          <w:rPr>
            <w:rStyle w:val="Hyperlink"/>
          </w:rPr>
          <w:t xml:space="preserve">https://www.uexternado.edu.co/departamento-de-derecho-comunicaciones-y-tecnologias-de-la-informacion/seminarios-web-2026/</w:t>
        </w:r>
      </w:hyperlink>
      <w:r>
        <w:t xml:space="preserve">). Para el contexto de Uniandes: las XXV Jornadas GECTI (29 de mayo de 2026) trataron la privacidad de los niños ante la IA, la ciberseguridad en las juntas directivas y la regulación de la IA frente a los datos personales (</w:t>
      </w:r>
      <w:hyperlink w:history="1" r:id="rIdmd474exiy4yalpqsyet_t">
        <w:r>
          <w:rPr>
            <w:rStyle w:val="Hyperlink"/>
          </w:rPr>
          <w:t xml:space="preserve">https://algoritmos.uniandes.edu.co/xxv-jornadas-gecti-derecho-tecnologia-y-sociedad-digital/</w:t>
        </w:r>
      </w:hyperlink>
      <w:r>
        <w:t xml:space="preserve">); si la Facultad publica la grabación, reemplaza a este video. Confirmar antes de la sesión, en fuente primaria, el texto de la Circular Externa 002 de 2024 y el listado vigente de países con nivel adecuado de protección de la SIC.</w:t>
      </w:r>
    </w:p>
    <w:p>
      <w:pPr>
        <w:pStyle w:val="Heading2"/>
      </w:pPr>
      <w:r>
        <w:t xml:space="preserve">Bloque 10 · 80-103 · Taller 2: due diligence de datos e IA para contratar un proveedor</w:t>
      </w:r>
    </w:p>
    <w:p>
      <w:pPr>
        <w:spacing w:after="120"/>
      </w:pPr>
      <w:r>
        <w:t xml:space="preserve">Detalle completo en la sección 7.3. Caso: clínica odontológica que quiere contratar un asistente de IA generativa alojado en Estados Unidos para resumir historias clínicas y responder a pacientes, e implantar check-in por reconocimiento facial. Una sola matriz con formato semáforo (verde: obligación exigible; amarillo: mencionada sin mecanismo; rojo: ausente) y columna de evidencia. Herramientas: las cinco reglas, la lista de verificación de la Guía GECTI, el diagnóstico preliminar del Toolkit ético legal de IA de Uniandes, el caso CLOUD Act de Harvard Law School y los ocho temas de consenso de </w:t>
      </w:r>
      <w:r>
        <w:rPr>
          <w:i/>
          <w:iCs/>
        </w:rPr>
        <w:t xml:space="preserve">Principled AI</w:t>
      </w:r>
      <w:r>
        <w:t xml:space="preserve">.</w:t>
      </w:r>
    </w:p>
    <w:p>
      <w:pPr>
        <w:pStyle w:val="Heading2"/>
      </w:pPr>
      <w:r>
        <w:t xml:space="preserve">Bloque 11 · 103-106 · Video 4 (Harvard, 2026): algoritmos que deciden sobre personas</w:t>
      </w:r>
    </w:p>
    <w:p>
      <w:pPr>
        <w:spacing w:after="120"/>
      </w:pPr>
      <w:r>
        <w:rPr>
          <w:b/>
          <w:bCs/>
        </w:rPr>
        <w:t xml:space="preserve">Qué se hace.</w:t>
      </w:r>
      <w:r>
        <w:t xml:space="preserve"> Clip de 3 minutos del Panel 4, </w:t>
      </w:r>
      <w:r>
        <w:rPr>
          <w:i/>
          <w:iCs/>
        </w:rPr>
        <w:t xml:space="preserve">New Technology, New Challenges</w:t>
      </w:r>
      <w:r>
        <w:t xml:space="preserve">, de la Conferencia Anual 2026 del Petrie-Flom Center de Harvard Law School (</w:t>
      </w:r>
      <w:hyperlink w:history="1" r:id="rIdma4anbi3treczray_wr9h">
        <w:r>
          <w:rPr>
            <w:rStyle w:val="Hyperlink"/>
          </w:rPr>
          <w:t xml:space="preserve">https://www.youtube.com/watch?v=2TEVQqAZpkg</w:t>
        </w:r>
      </w:hyperlink>
      <w:r>
        <w:t xml:space="preserve">), en el segmento </w:t>
      </w:r>
      <w:r>
        <w:rPr>
          <w:i/>
          <w:iCs/>
        </w:rPr>
        <w:t xml:space="preserve">Algorithms That Choose Life: a True Lifecycle Approach for AI Governance</w:t>
      </w:r>
      <w:r>
        <w:t xml:space="preserve"> (Barry Solaiman), con subtítulos en español: qué exigir a un algoritmo que toma una decisión sobre una persona a lo largo de todo su ciclo de vida. Consigna: «anote la afirmación con la que menos esté de acuerdo».</w:t>
      </w:r>
    </w:p>
    <w:p>
      <w:pPr>
        <w:spacing w:after="120"/>
      </w:pPr>
      <w:r>
        <w:rPr>
          <w:b/>
          <w:bCs/>
        </w:rPr>
        <w:t xml:space="preserve">Notas.</w:t>
      </w:r>
      <w:r>
        <w:t xml:space="preserve"> </w:t>
      </w:r>
      <w:r>
        <w:rPr>
          <w:b/>
          <w:bCs/>
        </w:rPr>
        <w:t xml:space="preserve">Alternativa (Harvard, 2026):</w:t>
      </w:r>
      <w:r>
        <w:t xml:space="preserve"> la serie </w:t>
      </w:r>
      <w:r>
        <w:rPr>
          <w:i/>
          <w:iCs/>
        </w:rPr>
        <w:t xml:space="preserve">AI Governance Speaker Series (Spring 2026)</w:t>
      </w:r>
      <w:r>
        <w:t xml:space="preserve"> del Berkman Klein Center (</w:t>
      </w:r>
      <w:hyperlink w:history="1" r:id="rIdzi_wzewjmvzkkczz9ukyf">
        <w:r>
          <w:rPr>
            <w:rStyle w:val="Hyperlink"/>
          </w:rPr>
          <w:t xml:space="preserve">https://www.youtube.com/playlist?list=PL68azUN8PTNg25bFCYPRWnNjILYoOrbtg</w:t>
        </w:r>
      </w:hyperlink>
      <w:r>
        <w:t xml:space="preserve">), en particular la sesión </w:t>
      </w:r>
      <w:r>
        <w:rPr>
          <w:i/>
          <w:iCs/>
        </w:rPr>
        <w:t xml:space="preserve">Legal Telescopes: New Ways of Seeing Law at Scale</w:t>
      </w:r>
      <w:r>
        <w:t xml:space="preserve"> (Neel Guha, 25 de febrero de 2026, </w:t>
      </w:r>
      <w:hyperlink w:history="1" r:id="rId6l8hqxm3pz74hljbsyaoz">
        <w:r>
          <w:rPr>
            <w:rStyle w:val="Hyperlink"/>
          </w:rPr>
          <w:t xml:space="preserve">https://cyber.harvard.edu/events/legal-telescopes-new-ways-seeing-law-scale</w:t>
        </w:r>
      </w:hyperlink>
      <w:r>
        <w:t xml:space="preserve">) sobre modelos de lenguaje para analizar el derecho a escala, y la conversación con Julie Brill, ex comisionada de la FTC. </w:t>
      </w:r>
      <w:r>
        <w:rPr>
          <w:b/>
          <w:bCs/>
        </w:rPr>
        <w:t xml:space="preserve">Segunda alternativa (Harvard, 2025):</w:t>
      </w:r>
      <w:r>
        <w:t xml:space="preserve"> </w:t>
      </w:r>
      <w:r>
        <w:rPr>
          <w:i/>
          <w:iCs/>
        </w:rPr>
        <w:t xml:space="preserve">Fall Speaker Series (2025)</w:t>
      </w:r>
      <w:r>
        <w:t xml:space="preserve"> del Berkman Klein Center (</w:t>
      </w:r>
      <w:hyperlink w:history="1" r:id="rIdtpgbcjmt92wzlip3osirp">
        <w:r>
          <w:rPr>
            <w:rStyle w:val="Hyperlink"/>
          </w:rPr>
          <w:t xml:space="preserve">https://www.youtube.com/playlist?list=PL68azUN8PTNjMubL1F-SL207Pb5iGR4MW</w:t>
        </w:r>
      </w:hyperlink>
      <w:r>
        <w:t xml:space="preserve">).</w:t>
      </w:r>
    </w:p>
    <w:p>
      <w:pPr>
        <w:pStyle w:val="Heading2"/>
      </w:pPr>
      <w:r>
        <w:t xml:space="preserve">Bloque 12 · 106-112 · Preguntas y debate: voz clonada, deepfakes y decisiones automatizadas</w:t>
      </w:r>
    </w:p>
    <w:p>
      <w:pPr>
        <w:spacing w:after="120"/>
      </w:pPr>
      <w:r>
        <w:rPr>
          <w:b/>
          <w:bCs/>
        </w:rPr>
        <w:t xml:space="preserve">Qué se hace.</w:t>
      </w:r>
      <w:r>
        <w:t xml:space="preserve"> Un solo escenario: un audio de 40 segundos con la voz clonada del socio director de una firma ordena al tesorero una transferencia urgente; días después la misma voz circula en redes atribuyéndole declaraciones falsas; la voz se clonó a partir de un webinar público. Se analiza con </w:t>
      </w:r>
      <w:r>
        <w:rPr>
          <w:i/>
          <w:iCs/>
        </w:rPr>
        <w:t xml:space="preserve">Algorithmic Harm: Protecting People in the Age of Artificial Intelligence</w:t>
      </w:r>
      <w:r>
        <w:t xml:space="preserve"> de Bar-Gill y Sunstein (Harvard, 2025), con el caso de estudio </w:t>
      </w:r>
      <w:r>
        <w:rPr>
          <w:i/>
          <w:iCs/>
        </w:rPr>
        <w:t xml:space="preserve">Skin in the Game: Modulate AI</w:t>
      </w:r>
      <w:r>
        <w:t xml:space="preserve"> del Berkman Klein Center (2020; se usa solo como caso, no como estado del arte) y con la nota de Uniandes sobre explicabilidad. Formato: 1 minuto de preparación por mesa, 1 minuto por posición, 1 de réplica; el facilitador cierra con la posición modelo (banco de preguntas, sección 8). Segunda pregunta si hay tiempo: ¿el «daño algorítmico» de Bar-Gill y Sunstein es argumento para prohibir las decisiones automatizadas o para exigir explicabilidad?</w:t>
      </w:r>
    </w:p>
    <w:p>
      <w:pPr>
        <w:spacing w:after="120"/>
      </w:pPr>
      <w:r>
        <w:rPr>
          <w:b/>
          <w:bCs/>
        </w:rPr>
        <w:t xml:space="preserve">Notas.</w:t>
      </w:r>
      <w:r>
        <w:t xml:space="preserve"> Ejemplo colombiano listo: audio aportado en un proceso laboral cuya autenticidad se cuestiona por posible deepfake; enlazar con el protocolo del Taller 1 (metadatos, cadena de custodia, peritaje) y con la carga de la prueba de autenticidad. </w:t>
      </w:r>
      <w:r>
        <w:rPr>
          <w:i/>
          <w:iCs/>
        </w:rPr>
        <w:t xml:space="preserve">Developments in the Law — Artificial Intelligence</w:t>
      </w:r>
      <w:r>
        <w:t xml:space="preserve"> (Harvard Law Review, 2025) queda como lectura de cierre, no se expone.</w:t>
      </w:r>
    </w:p>
    <w:p>
      <w:pPr>
        <w:pStyle w:val="Heading2"/>
      </w:pPr>
      <w:r>
        <w:t xml:space="preserve">Bloque 13 · 112-120 · Cierre</w:t>
      </w:r>
    </w:p>
    <w:p>
      <w:pPr>
        <w:spacing w:after="120"/>
      </w:pPr>
      <w:r>
        <w:rPr>
          <w:b/>
          <w:bCs/>
        </w:rPr>
        <w:t xml:space="preserve">Qué se hace.</w:t>
      </w:r>
      <w:r>
        <w:t xml:space="preserve"> (1) Evaluación relámpago de tres preguntas (sección 8, tipo «evaluación») a mano alzada o por formulario. (2) Retomar el sondeo de apertura: «¿alguien cambiaría hoy su respuesta?». (3) «Compromiso del lunes»: cada asistente escribe la acción concreta que hará la próxima semana con uno de los tres entregables; el facilitador presenta el protocolo de IA consolidado con las reglas del rotafolio. (4) Los cuatro deberes sobre las tres capas de Gasser-Almeida: qué resolvió la norma, qué exige un principio ético y qué solo resuelve la arquitectura técnica (marcas de agua, registros de auditoría, cifrado). (5) Rutas de profundización (sección 10). (6) La pregunta de aplicación más exigente del banco se envía como tarea por correo con retroalimentación individual.</w:t>
      </w:r>
    </w:p>
    <w:p>
      <w:pPr>
        <w:spacing w:after="120"/>
      </w:pPr>
      <w:r>
        <w:rPr>
          <w:b/>
          <w:bCs/>
        </w:rPr>
        <w:t xml:space="preserve">Notas.</w:t>
      </w:r>
      <w:r>
        <w:t xml:space="preserve"> No agregar contenido nuevo. Enviar el paquete digital el mismo día.</w:t>
      </w:r>
    </w:p>
    <w:p>
      <w:pPr>
        <w:pStyle w:val="Heading1"/>
      </w:pPr>
      <w:r>
        <w:t xml:space="preserve">7. Ejercicio y talleres (instrucciones completas)</w:t>
      </w:r>
    </w:p>
    <w:p>
      <w:pPr>
        <w:pStyle w:val="Heading2"/>
      </w:pPr>
      <w:r>
        <w:t xml:space="preserve">7.1 Ejercicio individual · Auditoría de un escrito elaborado con IA (15 min)</w:t>
      </w:r>
    </w:p>
    <w:p>
      <w:pPr>
        <w:spacing w:after="120"/>
      </w:pPr>
      <w:r>
        <w:rPr>
          <w:b/>
          <w:bCs/>
        </w:rPr>
        <w:t xml:space="preserve">Formato.</w:t>
      </w:r>
      <w:r>
        <w:t xml:space="preserve"> Individual, en silencio, papel y lápiz; clave proyectada al final. Materiales: memorial ficticio de una página, lista de verificación de cinco puntos, tarjetas para la regla del protocolo.</w:t>
      </w:r>
    </w:p>
    <w:p>
      <w:pPr>
        <w:spacing w:after="120"/>
      </w:pPr>
      <w:r>
        <w:rPr>
          <w:b/>
          <w:bCs/>
        </w:rPr>
        <w:t xml:space="preserve">Caso.</w:t>
      </w:r>
      <w:r>
        <w:t xml:space="preserve"> Usted es el socio que debe firmar hoy, antes de las 4 p. m., un recurso de reposición de una página que un asociado redactó con ayuda de una herramienta de IA generativa. El texto: (a) cita una sentencia de la Corte Suprema de Justicia con número, fecha y magistrado ponente que no existen; (b) afirma que el artículo 247 del Código General del Proceso dispone que «la impresión en papel del mensaje de datos tiene el mismo valor probatorio que el original»; (c) atribuye a la Corte Suprema un aparte que en realidad pertenece a la Sentencia T-323 de 2024 de la Corte Constitucional; y (d) incluye en un pie de página el diagnóstico médico del cliente con la nota «contexto que le di a la IA».</w:t>
      </w:r>
    </w:p>
    <w:p>
      <w:pPr>
        <w:spacing w:after="120"/>
      </w:pPr>
      <w:r>
        <w:rPr>
          <w:b/>
          <w:bCs/>
        </w:rPr>
        <w:t xml:space="preserve">Consigna.</w:t>
      </w:r>
      <w:r>
        <w:t xml:space="preserve"> Marque todo lo que no firmaría, clasifique cada hallazgo (fuente inexistente, cita distorsionada, fuente equivocada, confidencialidad y datos sensibles) y escriba la acción correctiva.</w:t>
      </w:r>
    </w:p>
    <w:p>
      <w:pPr>
        <w:spacing w:after="120"/>
      </w:pPr>
      <w:r>
        <w:rPr>
          <w:b/>
          <w:bCs/>
        </w:rPr>
        <w:t xml:space="preserve">Lista de verificación de cinco puntos.</w:t>
      </w:r>
      <w:r>
        <w:t xml:space="preserve"> (1) Existencia y vigencia de la fuente. (2) Fidelidad de la cita. (3) Pertinencia. (4) Confidencialidad y datos personales. (5) Trazabilidad y firma responsable.</w:t>
      </w:r>
    </w:p>
    <w:p>
      <w:pPr>
        <w:spacing w:after="120"/>
      </w:pPr>
      <w:r>
        <w:rPr>
          <w:b/>
          <w:bCs/>
        </w:rPr>
        <w:t xml:space="preserve">Pasos.</w:t>
      </w:r>
    </w:p>
    <w:p>
      <w:pPr>
        <w:pStyle w:val="ListParagraph"/>
        <w:numPr>
          <w:ilvl w:val="0"/>
          <w:numId w:val="5"/>
        </w:numPr>
      </w:pPr>
      <w:r>
        <w:t xml:space="preserve">Antes de la sesión: redactar el memorial con los cuatro problemas; usar números de sentencia evidentemente inventados (con letras o un año imposible) y señalarlo en la clave, para no difundir una cita falsa verosímil.</w:t>
      </w:r>
    </w:p>
    <w:p>
      <w:pPr>
        <w:pStyle w:val="ListParagraph"/>
        <w:numPr>
          <w:ilvl w:val="0"/>
          <w:numId w:val="5"/>
        </w:numPr>
      </w:pPr>
      <w:r>
        <w:t xml:space="preserve">Minuto 0-3: consigna. Explicar en una frase la consecuencia real reseñada por el Externado: la Corte Suprema estudió una tutela contra una decisión de un tribunal apoyada exclusivamente en jurisprudencia inexistente (STC17832-2025), y la T-323 de 2024 exige transparencia y responsabilidad a quien usa IA. Regla del ejercicio: «quien firma responde».</w:t>
      </w:r>
    </w:p>
    <w:p>
      <w:pPr>
        <w:pStyle w:val="ListParagraph"/>
        <w:numPr>
          <w:ilvl w:val="0"/>
          <w:numId w:val="5"/>
        </w:numPr>
      </w:pPr>
      <w:r>
        <w:t xml:space="preserve">Minuto 3-13: trabajo individual en silencio. El facilitador solo aclara la consigna.</w:t>
      </w:r>
    </w:p>
    <w:p>
      <w:pPr>
        <w:pStyle w:val="ListParagraph"/>
        <w:numPr>
          <w:ilvl w:val="0"/>
          <w:numId w:val="5"/>
        </w:numPr>
      </w:pPr>
      <w:r>
        <w:t xml:space="preserve">Minuto 13-15: clave proyectada con los cuatro hallazgos y la acción correctiva de cada uno: eliminar o sustituir la cita inexistente tras buscarla en la relatoría oficial; corregir la cita del artículo 247 con el texto exacto (los documentos aportados en el formato en que fueron generados, enviados o recibidos, o en otro que los reproduzca con exactitud, se valoran como mensajes de datos; la simple impresión en papel se valora conforme a las reglas generales de los documentos); reatribuir el aparte a la Corte Constitucional; retirar el dato sensible y revisar en qué herramienta se ingresó y con qué configuración de privacidad. Autocalificación de 0 a 4 y una regla escrita en la tarjeta.</w:t>
      </w:r>
    </w:p>
    <w:p>
      <w:pPr>
        <w:pStyle w:val="ListParagraph"/>
        <w:numPr>
          <w:ilvl w:val="0"/>
          <w:numId w:val="5"/>
        </w:numPr>
      </w:pPr>
      <w:r>
        <w:t xml:space="preserve">Recoger las tarjetas; el facilitador las consolida durante la pausa.</w:t>
      </w:r>
    </w:p>
    <w:p>
      <w:pPr>
        <w:spacing w:after="120"/>
      </w:pPr>
      <w:r>
        <w:rPr>
          <w:b/>
          <w:bCs/>
        </w:rPr>
        <w:t xml:space="preserve">Entregable.</w:t>
      </w:r>
      <w:r>
        <w:t xml:space="preserve"> Hoja de hallazgos autocalificada y una regla por asistente para el protocolo de la firma; el facilitador consolida un borrador de una página que se envía el mismo día.</w:t>
      </w:r>
    </w:p>
    <w:p>
      <w:pPr>
        <w:spacing w:after="120"/>
      </w:pPr>
      <w:r>
        <w:rPr>
          <w:b/>
          <w:bCs/>
        </w:rPr>
        <w:t xml:space="preserve">Fuentes.</w:t>
      </w:r>
      <w:r>
        <w:t xml:space="preserve"> Resumen de la T-323 (Externado); Relatoría del conversatorio sobre la T-323 (Externado); </w:t>
      </w:r>
      <w:r>
        <w:rPr>
          <w:i/>
          <w:iCs/>
        </w:rPr>
        <w:t xml:space="preserve">El Externado analiza el uso de la IA en la justicia colombiana</w:t>
      </w:r>
      <w:r>
        <w:t xml:space="preserve"> (STC17832-2025 y AC739-2026); </w:t>
      </w:r>
      <w:r>
        <w:rPr>
          <w:i/>
          <w:iCs/>
        </w:rPr>
        <w:t xml:space="preserve">El uso de IA generativa en la Administración de Justicia: a propósito de la Sentencia STC17832-2025</w:t>
      </w:r>
      <w:r>
        <w:t xml:space="preserve"> (Centro de Estudios sobre Genética y Derecho, Externado); JOLT Primer (Harvard).</w:t>
      </w:r>
    </w:p>
    <w:p>
      <w:pPr>
        <w:pStyle w:val="Heading2"/>
      </w:pPr>
      <w:r>
        <w:t xml:space="preserve">7.2 Taller 1 · Clínica de contratación y prueba electrónica (16 min)</w:t>
      </w:r>
    </w:p>
    <w:p>
      <w:pPr>
        <w:spacing w:after="120"/>
      </w:pPr>
      <w:r>
        <w:rPr>
          <w:b/>
          <w:bCs/>
        </w:rPr>
        <w:t xml:space="preserve">Formato.</w:t>
      </w:r>
      <w:r>
        <w:t xml:space="preserve"> Grupos de 4 a 5; relator y cronometrador por grupo; plantilla impresa (Parte A: protocolo de seis casillas; Parte B: elección y justificación de cláusulas); «chuleta» proyectada de la Ley 527 de 1999 y del artículo 247 del CGP; plenaria de dos grupos.</w:t>
      </w:r>
    </w:p>
    <w:p>
      <w:pPr>
        <w:spacing w:after="120"/>
      </w:pPr>
      <w:r>
        <w:rPr>
          <w:b/>
          <w:bCs/>
        </w:rPr>
        <w:t xml:space="preserve">Caso.</w:t>
      </w:r>
      <w:r>
        <w:t xml:space="preserve"> Distribuidora Andina S.A.S. negoció por WhatsApp y correo con un proveedor la compra de 500 unidades. El proveedor envió por correo una orden en PDF sin firma; el gerente de Andina respondió por WhatsApp «listo, de acuerdo, despachen el lunes» y envió una nota de voz confirmando precio y fecha. El proveedor no despachó y hoy niega que haya contrato. </w:t>
      </w:r>
      <w:r>
        <w:rPr>
          <w:b/>
          <w:bCs/>
        </w:rPr>
        <w:t xml:space="preserve">Parte A:</w:t>
      </w:r>
      <w:r>
        <w:t xml:space="preserve"> ¿hubo contrato? ¿Cómo asegura y aporta la prueba? </w:t>
      </w:r>
      <w:r>
        <w:rPr>
          <w:b/>
          <w:bCs/>
        </w:rPr>
        <w:t xml:space="preserve">Parte B:</w:t>
      </w:r>
      <w:r>
        <w:t xml:space="preserve"> en otro negocio, Andina usó un smart contract que liberaba el pago automáticamente cuando un sensor confirmaba la entrega; el sensor confirmó, el pago se ejecutó y la mercancía llegó defectuosa. El código no prevé reversión. ¿Qué remedio tiene Andina y qué dos cláusulas habría exigido antes de firmar?</w:t>
      </w:r>
    </w:p>
    <w:p>
      <w:pPr>
        <w:spacing w:after="120"/>
      </w:pPr>
      <w:r>
        <w:rPr>
          <w:b/>
          <w:bCs/>
        </w:rPr>
        <w:t xml:space="preserve">Pasos.</w:t>
      </w:r>
    </w:p>
    <w:p>
      <w:pPr>
        <w:pStyle w:val="ListParagraph"/>
        <w:numPr>
          <w:ilvl w:val="0"/>
          <w:numId w:val="6"/>
        </w:numPr>
      </w:pPr>
      <w:r>
        <w:t xml:space="preserve">Minuto 0-2: lectura individual del caso con la chuleta proyectada (arts. 5, 6, 7, 8, 10, 11, 12 y 14 de la Ley 527; art. 247 del CGP).</w:t>
      </w:r>
    </w:p>
    <w:p>
      <w:pPr>
        <w:pStyle w:val="ListParagraph"/>
        <w:numPr>
          <w:ilvl w:val="0"/>
          <w:numId w:val="6"/>
        </w:numPr>
      </w:pPr>
      <w:r>
        <w:t xml:space="preserve">Minuto 2-8 (Parte A): el grupo decide si hubo contrato (formación por mensajes de datos, art. 14; equivalente funcional de firma, art. 7: método confiable y apropiado, reforzado por la nota de voz y los correos) y llena el </w:t>
      </w:r>
      <w:r>
        <w:rPr>
          <w:b/>
          <w:bCs/>
        </w:rPr>
        <w:t xml:space="preserve">protocolo de seis casillas</w:t>
      </w:r>
      <w:r>
        <w:t xml:space="preserve">: (1) conservar el dispositivo original y no borrar el chat; (2) exportar la conversación completa con metadatos y adjuntos; (3) calcular y registrar el hash de los archivos exportados; (4) documentar la extracción con acta, certificación notarial o informe pericial según la cuantía; (5) aportar en el formato original o en uno que lo reproduzca con exactitud (art. 247 CGP), nunca solo la impresión; (6) identificar al iniciador (número, nombre de contacto, correos cruzados) y solicitar exhibición si la contraparte controla otra copia.</w:t>
      </w:r>
    </w:p>
    <w:p>
      <w:pPr>
        <w:pStyle w:val="ListParagraph"/>
        <w:numPr>
          <w:ilvl w:val="0"/>
          <w:numId w:val="6"/>
        </w:numPr>
      </w:pPr>
      <w:r>
        <w:t xml:space="preserve">Minuto 8-12 (Parte B): el grupo identifica el remedio (incumplimiento por entrega defectuosa con pago ya ejecutado: restitución o indemnización por la vía ordinaria o arbitral, porque la inmutabilidad del código no extingue las obligaciones subyacentes, como explica Padilla Sánchez) y </w:t>
      </w:r>
      <w:r>
        <w:rPr>
          <w:b/>
          <w:bCs/>
        </w:rPr>
        <w:t xml:space="preserve">elige, entre dos cláusulas modelo ya redactadas por el facilitador, cuál exigiría primero y por qué</w:t>
      </w:r>
      <w:r>
        <w:t xml:space="preserve"> (dos líneas): (i) «función de pausa y corrección»: el código incluirá un mecanismo de suspensión y un oráculo o tercero verificador cuya confirmación de conformidad, no solo de entrega, condiciona el pago; (ii) «prevalencia y jurisdicción»: el texto en lenguaje natural prevalece sobre el código en caso de discrepancia, ley aplicable colombiana y cláusula compromisoria o juez competente.</w:t>
      </w:r>
    </w:p>
    <w:p>
      <w:pPr>
        <w:pStyle w:val="ListParagraph"/>
        <w:numPr>
          <w:ilvl w:val="0"/>
          <w:numId w:val="6"/>
        </w:numPr>
      </w:pPr>
      <w:r>
        <w:t xml:space="preserve">Minuto 12-16: plenaria. Dos grupos presentan, un minuto cada uno (uno la Parte A y otro la Parte B). El facilitador proyecta su plantilla modelo y marca las diferencias.</w:t>
      </w:r>
    </w:p>
    <w:p>
      <w:pPr>
        <w:pStyle w:val="ListParagraph"/>
        <w:numPr>
          <w:ilvl w:val="0"/>
          <w:numId w:val="6"/>
        </w:numPr>
      </w:pPr>
      <w:r>
        <w:t xml:space="preserve">Fotografiar o escanear las plantillas para el paquete digital.</w:t>
      </w:r>
    </w:p>
    <w:p>
      <w:pPr>
        <w:spacing w:after="120"/>
      </w:pPr>
      <w:r>
        <w:rPr>
          <w:b/>
          <w:bCs/>
        </w:rPr>
        <w:t xml:space="preserve">Entregable.</w:t>
      </w:r>
      <w:r>
        <w:t xml:space="preserve"> Protocolo de conservación y aportación de mensajes de datos (una página, seis casillas) y dos cláusulas modelo para contratos con ejecución automatizada.</w:t>
      </w:r>
    </w:p>
    <w:p>
      <w:pPr>
        <w:spacing w:after="120"/>
      </w:pPr>
      <w:r>
        <w:rPr>
          <w:b/>
          <w:bCs/>
        </w:rPr>
        <w:t xml:space="preserve">Fuentes.</w:t>
      </w:r>
      <w:r>
        <w:t xml:space="preserve"> </w:t>
      </w:r>
      <w:r>
        <w:rPr>
          <w:i/>
          <w:iCs/>
        </w:rPr>
        <w:t xml:space="preserve">Memorias I Foro Ley 527 de 1999: dos décadas después</w:t>
      </w:r>
      <w:r>
        <w:t xml:space="preserve"> (Observatics, Externado); Padilla Sánchez, </w:t>
      </w:r>
      <w:r>
        <w:rPr>
          <w:i/>
          <w:iCs/>
        </w:rPr>
        <w:t xml:space="preserve">Blockchain y contratos inteligentes</w:t>
      </w:r>
      <w:r>
        <w:t xml:space="preserve"> (Revista de Derecho Privado n.º 39, Externado); Almonacid Sierra y Coronel Ávila, </w:t>
      </w:r>
      <w:r>
        <w:rPr>
          <w:i/>
          <w:iCs/>
        </w:rPr>
        <w:t xml:space="preserve">Aplicabilidad de la inteligencia artificial y la tecnología blockchain en el derecho contractual privado</w:t>
      </w:r>
      <w:r>
        <w:t xml:space="preserve"> (Revista de Derecho Privado n.º 38, Externado); conferencia de Daniel Peña Valenzuela (Externado).</w:t>
      </w:r>
    </w:p>
    <w:p>
      <w:pPr>
        <w:pStyle w:val="Heading2"/>
      </w:pPr>
      <w:r>
        <w:t xml:space="preserve">7.3 Taller 2 · Due diligence de datos e IA para contratar un proveedor (23 min)</w:t>
      </w:r>
    </w:p>
    <w:p>
      <w:pPr>
        <w:spacing w:after="120"/>
      </w:pPr>
      <w:r>
        <w:rPr>
          <w:b/>
          <w:bCs/>
        </w:rPr>
        <w:t xml:space="preserve">Formato.</w:t>
      </w:r>
      <w:r>
        <w:t xml:space="preserve"> Grupos de 4 a 5 distintos a los del Taller 1 (mezclar litigantes y asesores); una plantilla de matriz por grupo (columnas: riesgo, norma, medida o cláusula, evidencia exigible, semáforo); extractos traducidos de media página de los casos de Harvard (CLOUD Act y </w:t>
      </w:r>
      <w:r>
        <w:rPr>
          <w:i/>
          <w:iCs/>
        </w:rPr>
        <w:t xml:space="preserve">Principled AI</w:t>
      </w:r>
      <w:r>
        <w:t xml:space="preserve">); diapositiva de las cinco reglas a la vista; el diagnóstico preliminar del Toolkit ético legal de IA de Uniandes impreso; plenaria de dos grupos.</w:t>
      </w:r>
    </w:p>
    <w:p>
      <w:pPr>
        <w:spacing w:after="120"/>
      </w:pPr>
      <w:r>
        <w:rPr>
          <w:b/>
          <w:bCs/>
        </w:rPr>
        <w:t xml:space="preserve">Caso.</w:t>
      </w:r>
      <w:r>
        <w:t xml:space="preserve"> SaludSonrisa, clínica odontológica con 40.000 pacientes, pide concepto para: (1) contratar un asistente de IA generativa de un proveedor con servidores en Estados Unidos que resumirá historias clínicas y redactará respuestas a pacientes; el proveedor ofrece «anonimizar» los datos y se reserva usarlos para «mejorar el servicio»; (2) implantar check-in por reconocimiento facial en recepción para «agilizar la atención». El gerente quiere firmar el viernes. Entregue una matriz con semáforo por cada uso y la lista de cláusulas y medidas que exigiría antes de firmar.</w:t>
      </w:r>
    </w:p>
    <w:p>
      <w:pPr>
        <w:spacing w:after="120"/>
      </w:pPr>
      <w:r>
        <w:rPr>
          <w:b/>
          <w:bCs/>
        </w:rPr>
        <w:t xml:space="preserve">Semáforo.</w:t>
      </w:r>
      <w:r>
        <w:t xml:space="preserve"> Verde: obligación exigible y verificable ya prevista. Amarillo: principio mencionado por el proveedor sin mecanismo de cumplimiento. Rojo: ausente. Cada fila lleva la evidencia que se pediría (política, certificado, cláusula, registro, prueba).</w:t>
      </w:r>
    </w:p>
    <w:p>
      <w:pPr>
        <w:spacing w:after="120"/>
      </w:pPr>
      <w:r>
        <w:rPr>
          <w:b/>
          <w:bCs/>
        </w:rPr>
        <w:t xml:space="preserve">Pasos.</w:t>
      </w:r>
    </w:p>
    <w:p>
      <w:pPr>
        <w:pStyle w:val="ListParagraph"/>
        <w:numPr>
          <w:ilvl w:val="0"/>
          <w:numId w:val="7"/>
        </w:numPr>
      </w:pPr>
      <w:r>
        <w:t xml:space="preserve">Minuto 0-2: lectura del caso con las cinco reglas a la vista. Aplicar primero la pregunta inicial del Toolkit ético legal de Uniandes: ¿el proyecto realmente usa IA y para qué decisiones?</w:t>
      </w:r>
    </w:p>
    <w:p>
      <w:pPr>
        <w:pStyle w:val="ListParagraph"/>
        <w:numPr>
          <w:ilvl w:val="0"/>
          <w:numId w:val="7"/>
        </w:numPr>
      </w:pPr>
      <w:r>
        <w:t xml:space="preserve">Minuto 2-8 (bases jurídicas y datos sensibles): los datos de salud y los biométricos son sensibles (art. 5 Ley 1581): autorización previa, expresa e informada, con la advertencia de que el titular no está obligado a darla (art. 6); para la biometría, prueba de necesidad y proporcionalidad frente a una alternativa menos invasiva, siguiendo el análisis del caso Mercado Libre reseñado por el Externado; información al titular sobre el tratamiento con IA y aplicación de los lineamientos de la Circular Externa 002 de 2024 de la SIC.</w:t>
      </w:r>
    </w:p>
    <w:p>
      <w:pPr>
        <w:pStyle w:val="ListParagraph"/>
        <w:numPr>
          <w:ilvl w:val="0"/>
          <w:numId w:val="7"/>
        </w:numPr>
      </w:pPr>
      <w:r>
        <w:t xml:space="preserve">Minuto 8-14 (transferencia, transmisión y accountability): determinar si el proveedor actúa como encargado (transmisión: contrato con los deberes del art. 18 de la Ley 1581 y del Decreto 1377 de 2013) o como responsable (transferencia: art. 26, nivel adecuado o excepción); aplicar la lista de verificación de la Guía GECTI (políticas, evaluación de riesgos, contratos, auditoría, registro de evidencias); con el caso CLOUD Act de Harvard discutir qué ocurre si una autoridad de EE. UU. requiere los datos al proveedor: exigir cifrado con llaves en poder de la clínica, ubicación y segregación de datos, notificación de requerimientos y prohibición de usar los datos para entrenar modelos. Evaluar si la «anonimización» ofrecida es irreversible o mera seudonimización que sigue siendo dato personal.</w:t>
      </w:r>
    </w:p>
    <w:p>
      <w:pPr>
        <w:pStyle w:val="ListParagraph"/>
        <w:numPr>
          <w:ilvl w:val="0"/>
          <w:numId w:val="7"/>
        </w:numPr>
      </w:pPr>
      <w:r>
        <w:t xml:space="preserve">Minuto 14-19 (de principios a cláusulas): tomar los ocho temas de consenso de </w:t>
      </w:r>
      <w:r>
        <w:rPr>
          <w:i/>
          <w:iCs/>
        </w:rPr>
        <w:t xml:space="preserve">Principled AI</w:t>
      </w:r>
      <w:r>
        <w:t xml:space="preserve"> (privacidad, rendición de cuentas, seguridad, transparencia y explicabilidad, equidad y no discriminación, control humano, responsabilidad profesional, promoción de valores humanos) y convertir al menos cinco en cláusulas verificables: registro de consultas y salidas, revisión humana antes de enviar cualquier respuesta a pacientes, pruebas de sesgo y tasa de error del reconocimiento facial, derecho de auditoría, plan de incidentes y notificación a la SIC. Asignar el semáforo a cada uso. </w:t>
      </w:r>
      <w:r>
        <w:rPr>
          <w:b/>
          <w:bCs/>
        </w:rPr>
        <w:t xml:space="preserve">Pregunta incómoda</w:t>
      </w:r>
      <w:r>
        <w:t xml:space="preserve"> del facilitador al circular: «¿y si el proveedor además entrena su modelo con las historias clínicas?».</w:t>
      </w:r>
    </w:p>
    <w:p>
      <w:pPr>
        <w:pStyle w:val="ListParagraph"/>
        <w:numPr>
          <w:ilvl w:val="0"/>
          <w:numId w:val="7"/>
        </w:numPr>
      </w:pPr>
      <w:r>
        <w:t xml:space="preserve">Minuto 19-23: plenaria. Dos grupos con semáforos distintos (si los hay) exponen un minuto cada uno; el facilitador cierra con su matriz modelo. Resultado esperable: IA generativa «condicionado» con cláusulas y sin uso para entrenamiento; reconocimiento facial «no» o «condicionado» solo si se demuestra necesidad y existe alternativa voluntaria.</w:t>
      </w:r>
    </w:p>
    <w:p>
      <w:pPr>
        <w:spacing w:after="120"/>
      </w:pPr>
      <w:r>
        <w:rPr>
          <w:b/>
          <w:bCs/>
        </w:rPr>
        <w:t xml:space="preserve">Entregable.</w:t>
      </w:r>
      <w:r>
        <w:t xml:space="preserve"> Matriz de riesgo y cláusulas (una página) con semáforo por uso, reutilizable como lista de chequeo de due diligence de proveedores de datos e IA.</w:t>
      </w:r>
    </w:p>
    <w:p>
      <w:pPr>
        <w:spacing w:after="120"/>
      </w:pPr>
      <w:r>
        <w:rPr>
          <w:b/>
          <w:bCs/>
        </w:rPr>
        <w:t xml:space="preserve">Fuentes.</w:t>
      </w:r>
      <w:r>
        <w:t xml:space="preserve"> Guía GECTI de responsabilidad demostrada (Uniandes); Toolkit ético legal de inteligencia artificial (Facultad de Derecho y GECTI, Uniandes); </w:t>
      </w:r>
      <w:r>
        <w:rPr>
          <w:i/>
          <w:iCs/>
        </w:rPr>
        <w:t xml:space="preserve">CLOUD Act Enforcement</w:t>
      </w:r>
      <w:r>
        <w:t xml:space="preserve"> (Harvard Law School Case Studies); </w:t>
      </w:r>
      <w:r>
        <w:rPr>
          <w:i/>
          <w:iCs/>
        </w:rPr>
        <w:t xml:space="preserve">Principled Artificial Intelligence</w:t>
      </w:r>
      <w:r>
        <w:t xml:space="preserve"> (Berkman Klein Center, 2020); </w:t>
      </w:r>
      <w:r>
        <w:rPr>
          <w:i/>
          <w:iCs/>
        </w:rPr>
        <w:t xml:space="preserve">Biometría bajo la lupa: el caso Mercado Libre y las nuevas reglas de juego</w:t>
      </w:r>
      <w:r>
        <w:t xml:space="preserve"> (Externado); conversatorio sobre la Circular Externa 002 de 2024 (Externado); conferencia de Nelson Remolina sobre cloud computing (Uniandes).</w:t>
      </w:r>
    </w:p>
    <w:p>
      <w:pPr>
        <w:pStyle w:val="Heading1"/>
      </w:pPr>
      <w:r>
        <w:t xml:space="preserve">8. Banco de preguntas con respuesta modelo</w:t>
      </w:r>
    </w:p>
    <w:p>
      <w:pPr>
        <w:pStyle w:val="Heading2"/>
      </w:pPr>
      <w:r>
        <w:t xml:space="preserve">Apertura</w:t>
      </w:r>
    </w:p>
    <w:p>
      <w:pPr>
        <w:pStyle w:val="ListParagraph"/>
        <w:numPr>
          <w:ilvl w:val="0"/>
          <w:numId w:val="8"/>
        </w:numPr>
      </w:pPr>
      <w:r>
        <w:rPr>
          <w:b/>
          <w:bCs/>
        </w:rPr>
        <w:t xml:space="preserve">¿Qué tarea de su práctica delegaría hoy a una herramienta de IA generativa y cuál nunca delegaría? ¿Por qué?</w:t>
      </w:r>
    </w:p>
    <w:p>
      <w:pPr>
        <w:spacing w:after="120"/>
        <w:ind w:left="720"/>
      </w:pPr>
      <w:r>
        <w:rPr>
          <w:color w:val="333333"/>
          <w:sz w:val="20"/>
          <w:szCs w:val="20"/>
        </w:rPr>
        <w:t xml:space="preserve">Delegables: primeros borradores, resúmenes de expedientes, búsqueda inicial de normas, organización de documentos. No delegables: verificación de fuentes, estrategia, valoración de la prueba y firma. El JOLT Primer muestra que el software ya ejecuta tareas jurídicas, pero la responsabilidad profesional y la supervisión humana permanecen en el abogado. </w:t>
      </w:r>
      <w:r>
        <w:rPr>
          <w:i/>
          <w:iCs/>
          <w:color w:val="333333"/>
          <w:sz w:val="20"/>
          <w:szCs w:val="20"/>
        </w:rPr>
        <w:t xml:space="preserve">(Harvard)</w:t>
      </w:r>
    </w:p>
    <w:p>
      <w:pPr>
        <w:pStyle w:val="ListParagraph"/>
        <w:numPr>
          <w:ilvl w:val="0"/>
          <w:numId w:val="8"/>
        </w:numPr>
      </w:pPr>
      <w:r>
        <w:rPr>
          <w:b/>
          <w:bCs/>
        </w:rPr>
        <w:t xml:space="preserve">Si un juez ya decidió y luego consulta a ChatGPT para redactar, ¿cambia algo? ¿Y si quien consulta es el abogado que radica el escrito?</w:t>
      </w:r>
    </w:p>
    <w:p>
      <w:pPr>
        <w:spacing w:after="120"/>
        <w:ind w:left="720"/>
      </w:pPr>
      <w:r>
        <w:rPr>
          <w:color w:val="333333"/>
          <w:sz w:val="20"/>
          <w:szCs w:val="20"/>
        </w:rPr>
        <w:t xml:space="preserve">En la T-323 de 2024 la Corte concluyó que no hubo sustitución de la función judicial porque el juez ya había decidido, pero advirtió que no se satisficieron plenamente transparencia y responsabilidad y que la IA no reemplaza el razonamiento humano indelegable. Para el abogado aplican deberes análogos: verificar, proteger los datos del cliente y responder por lo que firma. </w:t>
      </w:r>
      <w:r>
        <w:rPr>
          <w:i/>
          <w:iCs/>
          <w:color w:val="333333"/>
          <w:sz w:val="20"/>
          <w:szCs w:val="20"/>
        </w:rPr>
        <w:t xml:space="preserve">(Externado)</w:t>
      </w:r>
    </w:p>
    <w:p>
      <w:pPr>
        <w:pStyle w:val="ListParagraph"/>
        <w:numPr>
          <w:ilvl w:val="0"/>
          <w:numId w:val="8"/>
        </w:numPr>
      </w:pPr>
      <w:r>
        <w:rPr>
          <w:b/>
          <w:bCs/>
        </w:rPr>
        <w:t xml:space="preserve">Cuando usted usa una aplicación bancaria, ¿qué regula más su conducta: la Ley 1581 de 2012, los términos y condiciones o el diseño de la pantalla?</w:t>
      </w:r>
    </w:p>
    <w:p>
      <w:pPr>
        <w:spacing w:after="120"/>
        <w:ind w:left="720"/>
      </w:pPr>
      <w:r>
        <w:rPr>
          <w:color w:val="333333"/>
          <w:sz w:val="20"/>
          <w:szCs w:val="20"/>
        </w:rPr>
        <w:t xml:space="preserve">Las tres, en modalidades distintas según Lessig: ley, mercado/contrato y arquitectura. El punto es que el diseño (código) regula sin necesidad de norma ni consentimiento, y por eso el abogado debe aprender a leerlo y a exigirle cosas en el contrato. </w:t>
      </w:r>
      <w:r>
        <w:rPr>
          <w:i/>
          <w:iCs/>
          <w:color w:val="333333"/>
          <w:sz w:val="20"/>
          <w:szCs w:val="20"/>
        </w:rPr>
        <w:t xml:space="preserve">(Harvard)</w:t>
      </w:r>
    </w:p>
    <w:p>
      <w:pPr>
        <w:pStyle w:val="ListParagraph"/>
        <w:numPr>
          <w:ilvl w:val="0"/>
          <w:numId w:val="8"/>
        </w:numPr>
      </w:pPr>
      <w:r>
        <w:rPr>
          <w:b/>
          <w:bCs/>
        </w:rPr>
        <w:t xml:space="preserve">¿Qué «cibercompetencias» le exigirá un cliente a su firma en 2027 y cuál de ellas no tiene hoy?</w:t>
      </w:r>
    </w:p>
    <w:p>
      <w:pPr>
        <w:spacing w:after="120"/>
        <w:ind w:left="720"/>
      </w:pPr>
      <w:r>
        <w:rPr>
          <w:color w:val="333333"/>
          <w:sz w:val="20"/>
          <w:szCs w:val="20"/>
        </w:rPr>
        <w:t xml:space="preserve">El libro de Uniandes plantea que abogados, jueces y legisladores requieren entender cómo funcionan las tecnologías que regulan o usan, saber contratar tecnología, gestionar datos personales y usar herramientas legaltech con criterio. Respuesta esperable: la mayoría sabe usar herramientas pero no sabe auditar su salida ni asegurar prueba digital. </w:t>
      </w:r>
      <w:r>
        <w:rPr>
          <w:i/>
          <w:iCs/>
          <w:color w:val="333333"/>
          <w:sz w:val="20"/>
          <w:szCs w:val="20"/>
        </w:rPr>
        <w:t xml:space="preserve">(Uniandes)</w:t>
      </w:r>
    </w:p>
    <w:p>
      <w:pPr>
        <w:pStyle w:val="Heading2"/>
      </w:pPr>
      <w:r>
        <w:t xml:space="preserve">Comprensión</w:t>
      </w:r>
    </w:p>
    <w:p>
      <w:pPr>
        <w:pStyle w:val="ListParagraph"/>
        <w:numPr>
          <w:ilvl w:val="0"/>
          <w:numId w:val="9"/>
        </w:numPr>
      </w:pPr>
      <w:r>
        <w:rPr>
          <w:b/>
          <w:bCs/>
        </w:rPr>
        <w:t xml:space="preserve">¿Qué significa el principio de equivalencia funcional de la Ley 527 de 1999 y qué tres equivalentes reconoce expresamente?</w:t>
      </w:r>
    </w:p>
    <w:p>
      <w:pPr>
        <w:spacing w:after="120"/>
        <w:ind w:left="720"/>
      </w:pPr>
      <w:r>
        <w:rPr>
          <w:color w:val="333333"/>
          <w:sz w:val="20"/>
          <w:szCs w:val="20"/>
        </w:rPr>
        <w:t xml:space="preserve">No se niegan efectos jurídicos a la información por estar en forma de mensaje de datos (art. 5). El mensaje de datos satisface la exigencia de «escrito» cuando la información es accesible para su posterior consulta (art. 6), la de «firma» cuando se usa un método confiable y apropiado para identificar al iniciador y aprobar el contenido (art. 7) y la de «original» cuando existe garantía confiable de integridad (art. 8). Los mensajes de datos son admisibles y tienen fuerza probatoria (arts. 10 y 11) y los contratos pueden formarse mediante ellos (art. 14). </w:t>
      </w:r>
      <w:r>
        <w:rPr>
          <w:i/>
          <w:iCs/>
          <w:color w:val="333333"/>
          <w:sz w:val="20"/>
          <w:szCs w:val="20"/>
        </w:rPr>
        <w:t xml:space="preserve">(Externado)</w:t>
      </w:r>
    </w:p>
    <w:p>
      <w:pPr>
        <w:pStyle w:val="ListParagraph"/>
        <w:numPr>
          <w:ilvl w:val="0"/>
          <w:numId w:val="9"/>
        </w:numPr>
      </w:pPr>
      <w:r>
        <w:rPr>
          <w:b/>
          <w:bCs/>
        </w:rPr>
        <w:t xml:space="preserve">¿Por qué la inmutabilidad del blockchain, que es una ventaja técnica, se convierte en un problema jurídico en un smart contract?</w:t>
      </w:r>
    </w:p>
    <w:p>
      <w:pPr>
        <w:spacing w:after="120"/>
        <w:ind w:left="720"/>
      </w:pPr>
      <w:r>
        <w:rPr>
          <w:color w:val="333333"/>
          <w:sz w:val="20"/>
          <w:szCs w:val="20"/>
        </w:rPr>
        <w:t xml:space="preserve">Padilla Sánchez explica que el smart contract automatiza la ejecución en código, sin intermediarios y de forma inmutable; un error de programación o una condición mal definida produce efectos irreversibles que el sistema no puede corregir. Los remedios del derecho de obligaciones presuponen reversibilidad y una instancia que la ordene, así que deben preverse fuera de la cadena o se resolverán en un litigio posterior. </w:t>
      </w:r>
      <w:r>
        <w:rPr>
          <w:i/>
          <w:iCs/>
          <w:color w:val="333333"/>
          <w:sz w:val="20"/>
          <w:szCs w:val="20"/>
        </w:rPr>
        <w:t xml:space="preserve">(Externado)</w:t>
      </w:r>
    </w:p>
    <w:p>
      <w:pPr>
        <w:pStyle w:val="ListParagraph"/>
        <w:numPr>
          <w:ilvl w:val="0"/>
          <w:numId w:val="9"/>
        </w:numPr>
      </w:pPr>
      <w:r>
        <w:rPr>
          <w:b/>
          <w:bCs/>
        </w:rPr>
        <w:t xml:space="preserve">¿Cuál es la diferencia entre transferencia y transmisión internacional de datos personales y por qué importa al contratar un proveedor en la nube?</w:t>
      </w:r>
    </w:p>
    <w:p>
      <w:pPr>
        <w:spacing w:after="120"/>
        <w:ind w:left="720"/>
      </w:pPr>
      <w:r>
        <w:rPr>
          <w:color w:val="333333"/>
          <w:sz w:val="20"/>
          <w:szCs w:val="20"/>
        </w:rPr>
        <w:t xml:space="preserve">Transferencia: el responsable envía datos a otro responsable en el exterior, que los trata para sus propios fines (art. 26 de la Ley 1581: país con nivel adecuado o excepción). Transmisión: el responsable comunica datos a un encargado que los trata por cuenta del responsable; el Decreto 1377 de 2013 exige un contrato de transmisión. Un proveedor cloud normalmente es encargado, así que se necesita un contrato de transmisión robusto y evidencias de responsabilidad demostrada, como explica Remolina. </w:t>
      </w:r>
      <w:r>
        <w:rPr>
          <w:i/>
          <w:iCs/>
          <w:color w:val="333333"/>
          <w:sz w:val="20"/>
          <w:szCs w:val="20"/>
        </w:rPr>
        <w:t xml:space="preserve">(Uniandes)</w:t>
      </w:r>
    </w:p>
    <w:p>
      <w:pPr>
        <w:pStyle w:val="ListParagraph"/>
        <w:numPr>
          <w:ilvl w:val="0"/>
          <w:numId w:val="9"/>
        </w:numPr>
      </w:pPr>
      <w:r>
        <w:rPr>
          <w:b/>
          <w:bCs/>
        </w:rPr>
        <w:t xml:space="preserve">¿Cuáles son los ocho temas de consenso de </w:t>
      </w:r>
      <w:r>
        <w:rPr>
          <w:b/>
          <w:bCs/>
          <w:i/>
          <w:iCs/>
        </w:rPr>
        <w:t xml:space="preserve">Principled AI</w:t>
      </w:r>
      <w:r>
        <w:rPr>
          <w:b/>
          <w:bCs/>
        </w:rPr>
        <w:t xml:space="preserve"> y cuáles trasladaría a un contrato con un proveedor de IA?</w:t>
      </w:r>
    </w:p>
    <w:p>
      <w:pPr>
        <w:spacing w:after="120"/>
        <w:ind w:left="720"/>
      </w:pPr>
      <w:r>
        <w:rPr>
          <w:color w:val="333333"/>
          <w:sz w:val="20"/>
          <w:szCs w:val="20"/>
        </w:rPr>
        <w:t xml:space="preserve">Privacidad, rendición de cuentas, seguridad y protección, transparencia y explicabilidad, equidad y no discriminación, control humano, responsabilidad profesional y promoción de valores humanos (36 documentos comparados). Al contrato pasan al menos cinco en forma verificable: transparencia (registro de salidas), control humano (revisión previa), seguridad (cifrado e incidentes), rendición de cuentas (auditoría y responsabilidad por daños) y no discriminación (pruebas de sesgo). </w:t>
      </w:r>
      <w:r>
        <w:rPr>
          <w:i/>
          <w:iCs/>
          <w:color w:val="333333"/>
          <w:sz w:val="20"/>
          <w:szCs w:val="20"/>
        </w:rPr>
        <w:t xml:space="preserve">(Harvard)</w:t>
      </w:r>
    </w:p>
    <w:p>
      <w:pPr>
        <w:pStyle w:val="ListParagraph"/>
        <w:numPr>
          <w:ilvl w:val="0"/>
          <w:numId w:val="9"/>
        </w:numPr>
      </w:pPr>
      <w:r>
        <w:rPr>
          <w:b/>
          <w:bCs/>
        </w:rPr>
        <w:t xml:space="preserve">Enumere las cuatro modalidades de regulación de Lessig y dé un ejemplo colombiano de cada una.</w:t>
      </w:r>
    </w:p>
    <w:p>
      <w:pPr>
        <w:spacing w:after="120"/>
        <w:ind w:left="720"/>
      </w:pPr>
      <w:r>
        <w:rPr>
          <w:color w:val="333333"/>
          <w:sz w:val="20"/>
          <w:szCs w:val="20"/>
        </w:rPr>
        <w:t xml:space="preserve">Ley (Ley 1581 de 2012), normas sociales (la práctica de no reenviar capturas de chats privados), mercado (el precio de un servicio de nube con servidores en Colombia) y arquitectura o código (el cifrado de extremo a extremo de una aplicación de mensajería). </w:t>
      </w:r>
      <w:r>
        <w:rPr>
          <w:i/>
          <w:iCs/>
          <w:color w:val="333333"/>
          <w:sz w:val="20"/>
          <w:szCs w:val="20"/>
        </w:rPr>
        <w:t xml:space="preserve">(Harvard)</w:t>
      </w:r>
    </w:p>
    <w:p>
      <w:pPr>
        <w:pStyle w:val="Heading2"/>
      </w:pPr>
      <w:r>
        <w:t xml:space="preserve">Debate</w:t>
      </w:r>
    </w:p>
    <w:p>
      <w:pPr>
        <w:pStyle w:val="ListParagraph"/>
        <w:numPr>
          <w:ilvl w:val="0"/>
          <w:numId w:val="10"/>
        </w:numPr>
      </w:pPr>
      <w:r>
        <w:rPr>
          <w:b/>
          <w:bCs/>
        </w:rPr>
        <w:t xml:space="preserve">¿Debe el abogado revelar al juez y a la contraparte que usó IA generativa para redactar un escrito judicial?</w:t>
      </w:r>
    </w:p>
    <w:p>
      <w:pPr>
        <w:spacing w:after="120"/>
        <w:ind w:left="720"/>
      </w:pPr>
      <w:r>
        <w:rPr>
          <w:color w:val="333333"/>
          <w:sz w:val="20"/>
          <w:szCs w:val="20"/>
        </w:rPr>
        <w:t xml:space="preserve">A favor: la T-323 exige transparencia al juez y la lealtad procesal justifica el mismo estándar para las partes; las providencias reseñadas por el Externado muestran que las citas inexistentes ya tienen consecuencias. En contra: la IA es una herramienta como el procesador de texto; lo relevante es la verificación y la responsabilidad del firmante. Posición modelo: revelar cuando la IA aporte contenido sustantivo o cuando el juez o el reglamento lo exijan, y en todo caso verificar y documentar. </w:t>
      </w:r>
      <w:r>
        <w:rPr>
          <w:i/>
          <w:iCs/>
          <w:color w:val="333333"/>
          <w:sz w:val="20"/>
          <w:szCs w:val="20"/>
        </w:rPr>
        <w:t xml:space="preserve">(Externado)</w:t>
      </w:r>
    </w:p>
    <w:p>
      <w:pPr>
        <w:pStyle w:val="ListParagraph"/>
        <w:numPr>
          <w:ilvl w:val="0"/>
          <w:numId w:val="10"/>
        </w:numPr>
      </w:pPr>
      <w:r>
        <w:rPr>
          <w:b/>
          <w:bCs/>
        </w:rPr>
        <w:t xml:space="preserve">Un cliente le pide «clonar la voz» del CEO para mensajes automáticos a sus clientes. ¿Qué riesgos identifica y qué salvaguardas exigiría?</w:t>
      </w:r>
    </w:p>
    <w:p>
      <w:pPr>
        <w:spacing w:after="120"/>
        <w:ind w:left="720"/>
      </w:pPr>
      <w:r>
        <w:rPr>
          <w:color w:val="333333"/>
          <w:sz w:val="20"/>
          <w:szCs w:val="20"/>
        </w:rPr>
        <w:t xml:space="preserve">El caso Modulate plantea suplantación, deepfakes de voz y consentimiento. En Colombia la voz identifica a la persona y puede ser dato biométrico sensible (art. 5 de la Ley 1581): autorización expresa e informada del CEO con finalidad, límites y revocabilidad; riesgo de engaño a destinatarios y de uso fraudulento (Ley 1273 de 2009); riesgo de que el proveedor retenga o reutilice el modelo de voz. Salvaguardas: consentimiento escrito y específico, aviso de voz sintética a los destinatarios, marca de agua o registro de cada uso, prohibición de reutilización y entrenamiento, eliminación del modelo al terminar y protocolo ante suplantación. </w:t>
      </w:r>
      <w:r>
        <w:rPr>
          <w:i/>
          <w:iCs/>
          <w:color w:val="333333"/>
          <w:sz w:val="20"/>
          <w:szCs w:val="20"/>
        </w:rPr>
        <w:t xml:space="preserve">(Harvard)</w:t>
      </w:r>
    </w:p>
    <w:p>
      <w:pPr>
        <w:pStyle w:val="ListParagraph"/>
        <w:numPr>
          <w:ilvl w:val="0"/>
          <w:numId w:val="10"/>
        </w:numPr>
      </w:pPr>
      <w:r>
        <w:rPr>
          <w:b/>
          <w:bCs/>
        </w:rPr>
        <w:t xml:space="preserve">¿Es el «daño algorítmico» que describen Bar-Gill y Sunstein (2025) un argumento para prohibir las decisiones automatizadas sobre personas o para exigir explicabilidad?</w:t>
      </w:r>
    </w:p>
    <w:p>
      <w:pPr>
        <w:spacing w:after="120"/>
        <w:ind w:left="720"/>
      </w:pPr>
      <w:r>
        <w:rPr>
          <w:color w:val="333333"/>
          <w:sz w:val="20"/>
          <w:szCs w:val="20"/>
        </w:rPr>
        <w:t xml:space="preserve">Bar-Gill y Sunstein sostienen que los algoritmos pueden causar daños nuevos (manipulación, discriminación, errores a escala) que el derecho vigente no siempre captura, y proponen proteger a las personas sin renunciar a los beneficios. Posición modelo: no para prohibir, sino para exigir explicabilidad proporcional al impacto, control humano y posibilidad de impugnar; coincide con el principio de explicabilidad que Remolina conecta con los datos personales, con la Circular 002 de 2024 y con las Directrices UNESCO-Uniandes de 2025. </w:t>
      </w:r>
      <w:r>
        <w:rPr>
          <w:i/>
          <w:iCs/>
          <w:color w:val="333333"/>
          <w:sz w:val="20"/>
          <w:szCs w:val="20"/>
        </w:rPr>
        <w:t xml:space="preserve">(Harvard y Uniandes)</w:t>
      </w:r>
    </w:p>
    <w:p>
      <w:pPr>
        <w:pStyle w:val="ListParagraph"/>
        <w:numPr>
          <w:ilvl w:val="0"/>
          <w:numId w:val="10"/>
        </w:numPr>
      </w:pPr>
      <w:r>
        <w:rPr>
          <w:b/>
          <w:bCs/>
        </w:rPr>
        <w:t xml:space="preserve">Kleinberg, Ludwig, Mullainathan y Sunstein sostienen que los algoritmos, bien regulados, pueden hacer la discriminación más detectable que la decisión humana. ¿Están de acuerdo? ¿Cómo se probaría en una tutela?</w:t>
      </w:r>
    </w:p>
    <w:p>
      <w:pPr>
        <w:spacing w:after="120"/>
        <w:ind w:left="720"/>
      </w:pPr>
      <w:r>
        <w:rPr>
          <w:color w:val="333333"/>
          <w:sz w:val="20"/>
          <w:szCs w:val="20"/>
        </w:rPr>
        <w:t xml:space="preserve">A favor: el algoritmo deja registro de variables y resultados y permite pruebas estadísticas que la decisión humana no admite. En contra: el secreto comercial y la opacidad técnica pueden impedir el acceso a ese registro. Para la tutela: pedir como prueba el registro de variables, las tasas de resultado por grupo y la documentación del proveedor; invertir la carga con el artículo 13 de la Constitución cuando el impacto desproporcionado sea evidente. </w:t>
      </w:r>
      <w:r>
        <w:rPr>
          <w:i/>
          <w:iCs/>
          <w:color w:val="333333"/>
          <w:sz w:val="20"/>
          <w:szCs w:val="20"/>
        </w:rPr>
        <w:t xml:space="preserve">(Harvard)</w:t>
      </w:r>
    </w:p>
    <w:p>
      <w:pPr>
        <w:pStyle w:val="Heading2"/>
      </w:pPr>
      <w:r>
        <w:t xml:space="preserve">Aplicación</w:t>
      </w:r>
    </w:p>
    <w:p>
      <w:pPr>
        <w:pStyle w:val="ListParagraph"/>
        <w:numPr>
          <w:ilvl w:val="0"/>
          <w:numId w:val="11"/>
        </w:numPr>
      </w:pPr>
      <w:r>
        <w:rPr>
          <w:b/>
          <w:bCs/>
        </w:rPr>
        <w:t xml:space="preserve">Su cliente recibió una oferta por WhatsApp, respondió «listo, de acuerdo» y ahora el proveedor niega el contrato. ¿Qué haría el lunes para asegurar la prueba?</w:t>
      </w:r>
    </w:p>
    <w:p>
      <w:pPr>
        <w:spacing w:after="120"/>
        <w:ind w:left="720"/>
      </w:pPr>
      <w:r>
        <w:rPr>
          <w:color w:val="333333"/>
          <w:sz w:val="20"/>
          <w:szCs w:val="20"/>
        </w:rPr>
        <w:t xml:space="preserve">Conservar el dispositivo y no borrar nada; exportar la conversación completa con metadatos y adjuntos; calcular el hash; documentar la extracción con acta, certificación notarial o informe pericial según la cuantía; aportar el mensaje de datos en el formato original (art. 247 CGP); identificar al iniciador y pedir exhibición. En el fondo, formación del contrato por mensajes de datos (art. 14 de la Ley 527) y firma por método confiable y apropiado (art. 7). </w:t>
      </w:r>
      <w:r>
        <w:rPr>
          <w:i/>
          <w:iCs/>
          <w:color w:val="333333"/>
          <w:sz w:val="20"/>
          <w:szCs w:val="20"/>
        </w:rPr>
        <w:t xml:space="preserve">(Externado)</w:t>
      </w:r>
    </w:p>
    <w:p>
      <w:pPr>
        <w:pStyle w:val="ListParagraph"/>
        <w:numPr>
          <w:ilvl w:val="0"/>
          <w:numId w:val="11"/>
        </w:numPr>
      </w:pPr>
      <w:r>
        <w:rPr>
          <w:b/>
          <w:bCs/>
        </w:rPr>
        <w:t xml:space="preserve">Una empresa de comercio electrónico quiere usar reconocimiento facial para verificar la identidad de los compradores. ¿Qué exigiría antes de dar el visto bueno?</w:t>
      </w:r>
    </w:p>
    <w:p>
      <w:pPr>
        <w:spacing w:after="120"/>
        <w:ind w:left="720"/>
      </w:pPr>
      <w:r>
        <w:rPr>
          <w:color w:val="333333"/>
          <w:sz w:val="20"/>
          <w:szCs w:val="20"/>
        </w:rPr>
        <w:t xml:space="preserve">Autorización previa, expresa e informada con la advertencia de que el titular no está obligado a darla y alternativa no biométrica (art. 6 de la Ley 1581); prueba de necesidad y proporcionalidad, como en el caso Mercado Libre; evaluación de impacto y seguridad reforzada; conservación mínima y eliminación de plantillas biométricas; pruebas de tasa de error y de sesgo; información clara sobre el tratamiento con IA conforme a la Circular 002 de 2024. Sin alternativa voluntaria y sin prueba de necesidad, el semáforo es «no». </w:t>
      </w:r>
      <w:r>
        <w:rPr>
          <w:i/>
          <w:iCs/>
          <w:color w:val="333333"/>
          <w:sz w:val="20"/>
          <w:szCs w:val="20"/>
        </w:rPr>
        <w:t xml:space="preserve">(Externado)</w:t>
      </w:r>
    </w:p>
    <w:p>
      <w:pPr>
        <w:pStyle w:val="ListParagraph"/>
        <w:numPr>
          <w:ilvl w:val="0"/>
          <w:numId w:val="11"/>
        </w:numPr>
      </w:pPr>
      <w:r>
        <w:rPr>
          <w:b/>
          <w:bCs/>
        </w:rPr>
        <w:t xml:space="preserve">Un proveedor de IA en Estados Unidos ofrece «anonimizar» los datos antes de procesarlos. ¿Basta frente a la Ley 1581 y frente al CLOUD Act?</w:t>
      </w:r>
    </w:p>
    <w:p>
      <w:pPr>
        <w:spacing w:after="120"/>
        <w:ind w:left="720"/>
      </w:pPr>
      <w:r>
        <w:rPr>
          <w:color w:val="333333"/>
          <w:sz w:val="20"/>
          <w:szCs w:val="20"/>
        </w:rPr>
        <w:t xml:space="preserve">No. Si los datos pueden reidentificarse siguen siendo personales y se requiere contrato de transmisión y evidencias de responsabilidad demostrada. El caso de Harvard muestra que el CLOUD Act permite a autoridades de EE. UU. exigir a un proveedor sujeto a su jurisdicción datos bajo su control aunque estén almacenados fuera; por eso se exigen cifrado con llaves en poder del cliente, ubicación y segregación de datos, notificación de requerimientos, prohibición de entrenamiento y plan de salida. El riesgo residual se informa por escrito al cliente. </w:t>
      </w:r>
      <w:r>
        <w:rPr>
          <w:i/>
          <w:iCs/>
          <w:color w:val="333333"/>
          <w:sz w:val="20"/>
          <w:szCs w:val="20"/>
        </w:rPr>
        <w:t xml:space="preserve">(Harvard y Uniandes)</w:t>
      </w:r>
    </w:p>
    <w:p>
      <w:pPr>
        <w:pStyle w:val="ListParagraph"/>
        <w:numPr>
          <w:ilvl w:val="0"/>
          <w:numId w:val="11"/>
        </w:numPr>
      </w:pPr>
      <w:r>
        <w:rPr>
          <w:b/>
          <w:bCs/>
        </w:rPr>
        <w:t xml:space="preserve">Un asociado entrega un memorando redactado con IA con cinco sentencias citadas. Diseñe en tres pasos la verificación mínima antes de radicarlo.</w:t>
      </w:r>
    </w:p>
    <w:p>
      <w:pPr>
        <w:spacing w:after="120"/>
        <w:ind w:left="720"/>
      </w:pPr>
      <w:r>
        <w:rPr>
          <w:color w:val="333333"/>
          <w:sz w:val="20"/>
          <w:szCs w:val="20"/>
        </w:rPr>
        <w:t xml:space="preserve">(1) Localizar cada providencia en la relatoría oficial y confirmar número, fecha, sala y ponente; si no aparece, se elimina. (2) Leer el aparte en su contexto y confirmar que dice lo que se afirma y que sigue vigente. (3) Dejar registro de la verificación (quién, cuándo, herramienta, correcciones) y firma del responsable. </w:t>
      </w:r>
      <w:r>
        <w:rPr>
          <w:i/>
          <w:iCs/>
          <w:color w:val="333333"/>
          <w:sz w:val="20"/>
          <w:szCs w:val="20"/>
        </w:rPr>
        <w:t xml:space="preserve">(Externado)</w:t>
      </w:r>
    </w:p>
    <w:p>
      <w:pPr>
        <w:pStyle w:val="Heading2"/>
      </w:pPr>
      <w:r>
        <w:t xml:space="preserve">Evaluación (las tres del cierre)</w:t>
      </w:r>
    </w:p>
    <w:p>
      <w:pPr>
        <w:pStyle w:val="ListParagraph"/>
        <w:numPr>
          <w:ilvl w:val="0"/>
          <w:numId w:val="12"/>
        </w:numPr>
      </w:pPr>
      <w:r>
        <w:rPr>
          <w:b/>
          <w:bCs/>
        </w:rPr>
        <w:t xml:space="preserve">Verdadero o falso: la simple impresión en papel de un correo electrónico se valora en el proceso como mensaje de datos.</w:t>
      </w:r>
    </w:p>
    <w:p>
      <w:pPr>
        <w:spacing w:after="120"/>
        <w:ind w:left="720"/>
      </w:pPr>
      <w:r>
        <w:rPr>
          <w:color w:val="333333"/>
          <w:sz w:val="20"/>
          <w:szCs w:val="20"/>
        </w:rPr>
        <w:t xml:space="preserve">Falso. Conforme al artículo 247 del CGP se valoran como mensajes de datos los documentos aportados en el formato en que fueron generados, enviados o recibidos, o en otro que los reproduzca con exactitud; la simple impresión se valora según las reglas generales de los documentos. </w:t>
      </w:r>
      <w:r>
        <w:rPr>
          <w:i/>
          <w:iCs/>
          <w:color w:val="333333"/>
          <w:sz w:val="20"/>
          <w:szCs w:val="20"/>
        </w:rPr>
        <w:t xml:space="preserve">(Externado)</w:t>
      </w:r>
    </w:p>
    <w:p>
      <w:pPr>
        <w:pStyle w:val="ListParagraph"/>
        <w:numPr>
          <w:ilvl w:val="0"/>
          <w:numId w:val="12"/>
        </w:numPr>
      </w:pPr>
      <w:r>
        <w:rPr>
          <w:b/>
          <w:bCs/>
        </w:rPr>
        <w:t xml:space="preserve">Enumere tres condiciones que la Corte Constitucional fijó en la Sentencia T-323 de 2024 para el uso de herramientas de IA por los jueces.</w:t>
      </w:r>
    </w:p>
    <w:p>
      <w:pPr>
        <w:spacing w:after="120"/>
        <w:ind w:left="720"/>
      </w:pPr>
      <w:r>
        <w:rPr>
          <w:color w:val="333333"/>
          <w:sz w:val="20"/>
          <w:szCs w:val="20"/>
        </w:rPr>
        <w:t xml:space="preserve">Cualquier tres de: transparencia, responsabilidad (el juez verifica y responde), privacidad (no ingresar datos personales del proceso), no sustitución del razonamiento humano, control y supervisión humana de las salidas, capacitación e idoneidad de quien la usa. La Corte además ordenó lineamientos institucionales para la Rama Judicial. </w:t>
      </w:r>
      <w:r>
        <w:rPr>
          <w:i/>
          <w:iCs/>
          <w:color w:val="333333"/>
          <w:sz w:val="20"/>
          <w:szCs w:val="20"/>
        </w:rPr>
        <w:t xml:space="preserve">(Externado)</w:t>
      </w:r>
    </w:p>
    <w:p>
      <w:pPr>
        <w:pStyle w:val="ListParagraph"/>
        <w:numPr>
          <w:ilvl w:val="0"/>
          <w:numId w:val="12"/>
        </w:numPr>
      </w:pPr>
      <w:r>
        <w:rPr>
          <w:b/>
          <w:bCs/>
        </w:rPr>
        <w:t xml:space="preserve">Una empresa colombiana envía datos de sus empleados a la casa matriz en un país sin nivel adecuado de protección, sin autorización de los titulares. ¿Qué excepción del artículo 26 de la Ley 1581 podría invocar y qué debe poder demostrar?</w:t>
      </w:r>
    </w:p>
    <w:p>
      <w:pPr>
        <w:spacing w:after="120"/>
        <w:ind w:left="720"/>
      </w:pPr>
      <w:r>
        <w:rPr>
          <w:color w:val="333333"/>
          <w:sz w:val="20"/>
          <w:szCs w:val="20"/>
        </w:rPr>
        <w:t xml:space="preserve">La transferencia necesaria para la ejecución de un contrato entre el titular y el responsable (la relación laboral, por ejemplo nómina administrada por la matriz) o, si la obtiene, la autorización expresa e inequívoca. En todo caso, bajo la responsabilidad demostrada del Decreto 1377 de 2013 debe evidenciar, como recomienda la Guía GECTI: finalidad y necesidad, instrumento que vincula a la matriz, evaluación de riesgos, medidas de seguridad y registro de evidencias. </w:t>
      </w:r>
      <w:r>
        <w:rPr>
          <w:i/>
          <w:iCs/>
          <w:color w:val="333333"/>
          <w:sz w:val="20"/>
          <w:szCs w:val="20"/>
        </w:rPr>
        <w:t xml:space="preserve">(Uniandes)</w:t>
      </w:r>
    </w:p>
    <w:p>
      <w:pPr>
        <w:pStyle w:val="Heading1"/>
      </w:pPr>
      <w:r>
        <w:t xml:space="preserve">9. Logística, materiales y riesgos</w:t>
      </w:r>
    </w:p>
    <w:p>
      <w:pPr>
        <w:spacing w:after="120"/>
      </w:pPr>
      <w:r>
        <w:rPr>
          <w:b/>
          <w:bCs/>
        </w:rPr>
        <w:t xml:space="preserve">Lista de chequeo (dos semanas antes).</w:t>
      </w:r>
    </w:p>
    <w:p>
      <w:pPr>
        <w:pStyle w:val="ListParagraph"/>
        <w:numPr>
          <w:ilvl w:val="0"/>
          <w:numId w:val="13"/>
        </w:numPr>
      </w:pPr>
      <w:r>
        <w:t xml:space="preserve">Abrir cada URL de </w:t>
      </w:r>
      <w:r>
        <w:rPr>
          <w:rFonts w:ascii="Consolas" w:cs="Consolas" w:eastAsia="Consolas" w:hAnsi="Consolas"/>
          <w:sz w:val="18"/>
          <w:szCs w:val="18"/>
        </w:rPr>
        <w:t xml:space="preserve">FUENTES.md</w:t>
      </w:r>
      <w:r>
        <w:t xml:space="preserve">, confirmar título, autor, año y canal institucional; descargar los PDF y los cuatro fragmentos de video con marcas de tiempo (los videos no tienen duración confirmada en este documento: medirla al descargar). Para los dos videos del Externado de 2025, abrir la página de seminarios web, localizar la grabación y copiar el enlace exacto en la diapositiva 7 y en </w:t>
      </w:r>
      <w:r>
        <w:rPr>
          <w:rFonts w:ascii="Consolas" w:cs="Consolas" w:eastAsia="Consolas" w:hAnsi="Consolas"/>
          <w:sz w:val="18"/>
          <w:szCs w:val="18"/>
        </w:rPr>
        <w:t xml:space="preserve">ENLACES_VIDEOS.md</w:t>
      </w:r>
      <w:r>
        <w:t xml:space="preserve">.</w:t>
      </w:r>
    </w:p>
    <w:p>
      <w:pPr>
        <w:pStyle w:val="ListParagraph"/>
        <w:numPr>
          <w:ilvl w:val="0"/>
          <w:numId w:val="13"/>
        </w:numPr>
      </w:pPr>
      <w:r>
        <w:t xml:space="preserve">Preparar: memorial ficticio y clave (7.1); plantilla del Taller 1 y las dos cláusulas modelo (7.2); plantilla de matriz semáforo y extractos traducidos de CLOUD Act y </w:t>
      </w:r>
      <w:r>
        <w:rPr>
          <w:i/>
          <w:iCs/>
        </w:rPr>
        <w:t xml:space="preserve">Principled AI</w:t>
      </w:r>
      <w:r>
        <w:t xml:space="preserve"> (7.3); diapositiva de las cinco reglas; chuleta Ley 527 / art. 247 CGP; formulario QR para sondeo y evaluación relámpago.</w:t>
      </w:r>
    </w:p>
    <w:p>
      <w:pPr>
        <w:pStyle w:val="ListParagraph"/>
        <w:numPr>
          <w:ilvl w:val="0"/>
          <w:numId w:val="13"/>
        </w:numPr>
      </w:pPr>
      <w:r>
        <w:t xml:space="preserve">Leer en fuente primaria la Sentencia T-323 de 2024, la STC17832-2025, el AC739-2026 y la Circular Externa 002 de 2024; lo que no se confirme se presenta como «según la reseña del Externado» o se retira.</w:t>
      </w:r>
    </w:p>
    <w:p>
      <w:pPr>
        <w:pStyle w:val="ListParagraph"/>
        <w:numPr>
          <w:ilvl w:val="0"/>
          <w:numId w:val="13"/>
        </w:numPr>
      </w:pPr>
      <w:r>
        <w:t xml:space="preserve">Videos descargados en el computador y en una memoria USB; presentación en PDF de respaldo; extractos y plantillas impresos.</w:t>
      </w:r>
    </w:p>
    <w:p>
      <w:pPr>
        <w:spacing w:after="120"/>
      </w:pPr>
      <w:r>
        <w:rPr>
          <w:b/>
          <w:bCs/>
        </w:rPr>
        <w:t xml:space="preserve">Riesgos y mitigaciones.</w:t>
      </w:r>
    </w:p>
    <w:p>
      <w:pPr>
        <w:pStyle w:val="ListParagraph"/>
        <w:numPr>
          <w:ilvl w:val="0"/>
          <w:numId w:val="13"/>
        </w:numPr>
      </w:pPr>
      <w:r>
        <w:t xml:space="preserve">Asistentes sin lectura previa: el ejercicio y los talleres son autosuficientes gracias a las chuletas y plantillas; recordatorio de 60 segundos en la apertura.</w:t>
      </w:r>
    </w:p>
    <w:p>
      <w:pPr>
        <w:pStyle w:val="ListParagraph"/>
        <w:numPr>
          <w:ilvl w:val="0"/>
          <w:numId w:val="13"/>
        </w:numPr>
      </w:pPr>
      <w:r>
        <w:t xml:space="preserve">Desborde de tiempo: cronometrador por grupo, cronómetro visible, plenarias de máximo dos grupos; los bloques 4 y 12 son elásticos.</w:t>
      </w:r>
    </w:p>
    <w:p>
      <w:pPr>
        <w:pStyle w:val="ListParagraph"/>
        <w:numPr>
          <w:ilvl w:val="0"/>
          <w:numId w:val="13"/>
        </w:numPr>
      </w:pPr>
      <w:r>
        <w:t xml:space="preserve">Materiales en inglés: subtítulos en español, extractos traducidos, plan B en español para cada video de Harvard.</w:t>
      </w:r>
    </w:p>
    <w:p>
      <w:pPr>
        <w:pStyle w:val="ListParagraph"/>
        <w:numPr>
          <w:ilvl w:val="0"/>
          <w:numId w:val="13"/>
        </w:numPr>
      </w:pPr>
      <w:r>
        <w:t xml:space="preserve">Confidencialidad: casos ficticios, ejercicio en papel sin dispositivos, regla anunciada en la apertura.</w:t>
      </w:r>
    </w:p>
    <w:p>
      <w:pPr>
        <w:pStyle w:val="ListParagraph"/>
        <w:numPr>
          <w:ilvl w:val="0"/>
          <w:numId w:val="13"/>
        </w:numPr>
      </w:pPr>
      <w:r>
        <w:t xml:space="preserve">Grupos pasivos o heterogéneos: grupos preasignados, roles rotativos, plantillas con casillas que obligan a producir un resultado.</w:t>
      </w:r>
    </w:p>
    <w:p>
      <w:pPr>
        <w:pStyle w:val="ListParagraph"/>
        <w:numPr>
          <w:ilvl w:val="0"/>
          <w:numId w:val="13"/>
        </w:numPr>
      </w:pPr>
      <w:r>
        <w:t xml:space="preserve">Atribución institucional de fuentes alojadas en plataformas de terceros (YouTube, edX, SSRN): en las diapositivas se cita la institución solo cuando el canal oficial o la página institucional lo confirma; en caso de duda se cita al ponente.</w:t>
      </w:r>
    </w:p>
    <w:p>
      <w:pPr>
        <w:pStyle w:val="Heading1"/>
      </w:pPr>
      <w:r>
        <w:t xml:space="preserve">10. Rutas de profundización (para el cierre)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7009"/>
        <w:gridCol w:w="674"/>
        <w:gridCol w:w="1281"/>
      </w:tblGrid>
      <w:tr>
        <w:trPr>
          <w:tblHeader/>
        </w:trPr>
        <w:tc>
          <w:tcPr>
            <w:tcW w:type="dxa" w:w="674"/>
            <w:shd w:fill="E8EEF7" w:color="auto" w:val="clear"/>
            <w:tcMar>
              <w:top w:type="dxa" w:w="60"/>
              <w:left w:type="dxa" w:w="80"/>
              <w:bottom w:type="dxa" w:w="60"/>
              <w:right w:type="dxa" w:w="80"/>
            </w:tcMar>
          </w:tcPr>
          <w:p>
            <w:r>
              <w:rPr>
                <w:b/>
                <w:bCs/>
                <w:sz w:val="18"/>
                <w:szCs w:val="18"/>
              </w:rPr>
              <w:t xml:space="preserve">Institución</w:t>
            </w:r>
          </w:p>
        </w:tc>
        <w:tc>
          <w:tcPr>
            <w:tcW w:type="dxa" w:w="7009"/>
            <w:shd w:fill="E8EEF7" w:color="auto" w:val="clear"/>
            <w:tcMar>
              <w:top w:type="dxa" w:w="60"/>
              <w:left w:type="dxa" w:w="80"/>
              <w:bottom w:type="dxa" w:w="60"/>
              <w:right w:type="dxa" w:w="80"/>
            </w:tcMar>
          </w:tcPr>
          <w:p>
            <w:r>
              <w:rPr>
                <w:b/>
                <w:bCs/>
                <w:sz w:val="18"/>
                <w:szCs w:val="18"/>
              </w:rPr>
              <w:t xml:space="preserve">Recurso</w:t>
            </w:r>
          </w:p>
        </w:tc>
        <w:tc>
          <w:tcPr>
            <w:tcW w:type="dxa" w:w="674"/>
            <w:shd w:fill="E8EEF7" w:color="auto" w:val="clear"/>
            <w:tcMar>
              <w:top w:type="dxa" w:w="60"/>
              <w:left w:type="dxa" w:w="80"/>
              <w:bottom w:type="dxa" w:w="60"/>
              <w:right w:type="dxa" w:w="80"/>
            </w:tcMar>
          </w:tcPr>
          <w:p>
            <w:r>
              <w:rPr>
                <w:b/>
                <w:bCs/>
                <w:sz w:val="18"/>
                <w:szCs w:val="18"/>
              </w:rPr>
              <w:t xml:space="preserve">Año</w:t>
            </w:r>
          </w:p>
        </w:tc>
        <w:tc>
          <w:tcPr>
            <w:tcW w:type="dxa" w:w="1281"/>
            <w:shd w:fill="E8EEF7" w:color="auto" w:val="clear"/>
            <w:tcMar>
              <w:top w:type="dxa" w:w="60"/>
              <w:left w:type="dxa" w:w="80"/>
              <w:bottom w:type="dxa" w:w="60"/>
              <w:right w:type="dxa" w:w="80"/>
            </w:tcMar>
          </w:tcPr>
          <w:p>
            <w:r>
              <w:rPr>
                <w:b/>
                <w:bCs/>
                <w:sz w:val="18"/>
                <w:szCs w:val="18"/>
              </w:rPr>
              <w:t xml:space="preserve">Para quién</w:t>
            </w:r>
          </w:p>
        </w:tc>
      </w:tr>
      <w:tr>
        <w:trPr>
          <w:tblHeader w:val="off"/>
        </w:trPr>
        <w:tc>
          <w:tcPr>
            <w:tcW w:type="dxa" w:w="674"/>
            <w:tcMar>
              <w:top w:type="dxa" w:w="60"/>
              <w:left w:type="dxa" w:w="80"/>
              <w:bottom w:type="dxa" w:w="60"/>
              <w:right w:type="dxa" w:w="80"/>
            </w:tcMar>
          </w:tcPr>
          <w:p>
            <w:r>
              <w:rPr>
                <w:sz w:val="18"/>
                <w:szCs w:val="18"/>
              </w:rPr>
              <w:t xml:space="preserve">Uniandes</w:t>
            </w:r>
          </w:p>
        </w:tc>
        <w:tc>
          <w:tcPr>
            <w:tcW w:type="dxa" w:w="7009"/>
            <w:tcMar>
              <w:top w:type="dxa" w:w="60"/>
              <w:left w:type="dxa" w:w="80"/>
              <w:bottom w:type="dxa" w:w="60"/>
              <w:right w:type="dxa" w:w="80"/>
            </w:tcMar>
          </w:tcPr>
          <w:p>
            <w:r>
              <w:rPr>
                <w:sz w:val="18"/>
                <w:szCs w:val="18"/>
              </w:rPr>
              <w:t xml:space="preserve">Maestría en Derecho, Tecnología y Sociedad Digital (3 semestres, híbrida) y curso de Educación Continua </w:t>
            </w:r>
            <w:r>
              <w:rPr>
                <w:i/>
                <w:iCs/>
                <w:sz w:val="18"/>
                <w:szCs w:val="18"/>
              </w:rPr>
              <w:t xml:space="preserve">Protección de Datos y Accountability</w:t>
            </w:r>
            <w:r>
              <w:rPr>
                <w:sz w:val="18"/>
                <w:szCs w:val="18"/>
              </w:rPr>
              <w:t xml:space="preserve"> del GECTI</w:t>
            </w:r>
          </w:p>
        </w:tc>
        <w:tc>
          <w:tcPr>
            <w:tcW w:type="dxa" w:w="674"/>
            <w:tcMar>
              <w:top w:type="dxa" w:w="60"/>
              <w:left w:type="dxa" w:w="80"/>
              <w:bottom w:type="dxa" w:w="60"/>
              <w:right w:type="dxa" w:w="80"/>
            </w:tcMar>
          </w:tcPr>
          <w:p>
            <w:r>
              <w:rPr>
                <w:sz w:val="18"/>
                <w:szCs w:val="18"/>
              </w:rPr>
              <w:t xml:space="preserve">vigentes</w:t>
            </w:r>
          </w:p>
        </w:tc>
        <w:tc>
          <w:tcPr>
            <w:tcW w:type="dxa" w:w="1281"/>
            <w:tcMar>
              <w:top w:type="dxa" w:w="60"/>
              <w:left w:type="dxa" w:w="80"/>
              <w:bottom w:type="dxa" w:w="60"/>
              <w:right w:type="dxa" w:w="80"/>
            </w:tcMar>
          </w:tcPr>
          <w:p>
            <w:r>
              <w:rPr>
                <w:sz w:val="18"/>
                <w:szCs w:val="18"/>
              </w:rPr>
              <w:t xml:space="preserve">Formación formal en Colombia</w:t>
            </w:r>
          </w:p>
        </w:tc>
      </w:tr>
      <w:tr>
        <w:trPr>
          <w:tblHeader w:val="off"/>
        </w:trPr>
        <w:tc>
          <w:tcPr>
            <w:tcW w:type="dxa" w:w="674"/>
            <w:tcMar>
              <w:top w:type="dxa" w:w="60"/>
              <w:left w:type="dxa" w:w="80"/>
              <w:bottom w:type="dxa" w:w="60"/>
              <w:right w:type="dxa" w:w="80"/>
            </w:tcMar>
          </w:tcPr>
          <w:p>
            <w:r>
              <w:rPr>
                <w:sz w:val="18"/>
                <w:szCs w:val="18"/>
              </w:rPr>
              <w:t xml:space="preserve">Uniandes</w:t>
            </w:r>
          </w:p>
        </w:tc>
        <w:tc>
          <w:tcPr>
            <w:tcW w:type="dxa" w:w="7009"/>
            <w:tcMar>
              <w:top w:type="dxa" w:w="60"/>
              <w:left w:type="dxa" w:w="80"/>
              <w:bottom w:type="dxa" w:w="60"/>
              <w:right w:type="dxa" w:w="80"/>
            </w:tcMar>
          </w:tcPr>
          <w:p>
            <w:r>
              <w:rPr>
                <w:sz w:val="18"/>
                <w:szCs w:val="18"/>
              </w:rPr>
              <w:t xml:space="preserve">Uniandes Legal Fest 2026 (cómo se ejercerá el derecho en un mundo permeado por la IA); XXV Jornadas GECTI (mayo de 2026); semillero Lab IA/Law; Toolkit ético legal de IA</w:t>
            </w:r>
          </w:p>
        </w:tc>
        <w:tc>
          <w:tcPr>
            <w:tcW w:type="dxa" w:w="674"/>
            <w:tcMar>
              <w:top w:type="dxa" w:w="60"/>
              <w:left w:type="dxa" w:w="80"/>
              <w:bottom w:type="dxa" w:w="60"/>
              <w:right w:type="dxa" w:w="80"/>
            </w:tcMar>
          </w:tcPr>
          <w:p>
            <w:r>
              <w:rPr>
                <w:sz w:val="18"/>
                <w:szCs w:val="18"/>
              </w:rPr>
              <w:t xml:space="preserve">2026</w:t>
            </w:r>
          </w:p>
        </w:tc>
        <w:tc>
          <w:tcPr>
            <w:tcW w:type="dxa" w:w="1281"/>
            <w:tcMar>
              <w:top w:type="dxa" w:w="60"/>
              <w:left w:type="dxa" w:w="80"/>
              <w:bottom w:type="dxa" w:w="60"/>
              <w:right w:type="dxa" w:w="80"/>
            </w:tcMar>
          </w:tcPr>
          <w:p>
            <w:r>
              <w:rPr>
                <w:sz w:val="18"/>
                <w:szCs w:val="18"/>
              </w:rPr>
              <w:t xml:space="preserve">Quien evalúa proyectos de IA de clientes o quiere seguir el debate</w:t>
            </w:r>
          </w:p>
        </w:tc>
      </w:tr>
      <w:tr>
        <w:trPr>
          <w:tblHeader w:val="off"/>
        </w:trPr>
        <w:tc>
          <w:tcPr>
            <w:tcW w:type="dxa" w:w="674"/>
            <w:tcMar>
              <w:top w:type="dxa" w:w="60"/>
              <w:left w:type="dxa" w:w="80"/>
              <w:bottom w:type="dxa" w:w="60"/>
              <w:right w:type="dxa" w:w="80"/>
            </w:tcMar>
          </w:tcPr>
          <w:p>
            <w:r>
              <w:rPr>
                <w:sz w:val="18"/>
                <w:szCs w:val="18"/>
              </w:rPr>
              <w:t xml:space="preserve">Uniandes</w:t>
            </w:r>
          </w:p>
        </w:tc>
        <w:tc>
          <w:tcPr>
            <w:tcW w:type="dxa" w:w="7009"/>
            <w:tcMar>
              <w:top w:type="dxa" w:w="60"/>
              <w:left w:type="dxa" w:w="80"/>
              <w:bottom w:type="dxa" w:w="60"/>
              <w:right w:type="dxa" w:w="80"/>
            </w:tcMar>
          </w:tcPr>
          <w:p>
            <w:r>
              <w:rPr>
                <w:sz w:val="18"/>
                <w:szCs w:val="18"/>
              </w:rPr>
              <w:t xml:space="preserve">Escuela de Gobierno: versión en español de las Directrices UNESCO para el uso de IA en cortes y tribunales (2025) y proyecto Sistemas de Algoritmos Públicos</w:t>
            </w:r>
          </w:p>
        </w:tc>
        <w:tc>
          <w:tcPr>
            <w:tcW w:type="dxa" w:w="674"/>
            <w:tcMar>
              <w:top w:type="dxa" w:w="60"/>
              <w:left w:type="dxa" w:w="80"/>
              <w:bottom w:type="dxa" w:w="60"/>
              <w:right w:type="dxa" w:w="80"/>
            </w:tcMar>
          </w:tcPr>
          <w:p>
            <w:r>
              <w:rPr>
                <w:sz w:val="18"/>
                <w:szCs w:val="18"/>
              </w:rPr>
              <w:t xml:space="preserve">2025</w:t>
            </w:r>
          </w:p>
        </w:tc>
        <w:tc>
          <w:tcPr>
            <w:tcW w:type="dxa" w:w="1281"/>
            <w:tcMar>
              <w:top w:type="dxa" w:w="60"/>
              <w:left w:type="dxa" w:w="80"/>
              <w:bottom w:type="dxa" w:w="60"/>
              <w:right w:type="dxa" w:w="80"/>
            </w:tcMar>
          </w:tcPr>
          <w:p>
            <w:r>
              <w:rPr>
                <w:sz w:val="18"/>
                <w:szCs w:val="18"/>
              </w:rPr>
              <w:t xml:space="preserve">Quien litiga o asesora al Estado</w:t>
            </w:r>
          </w:p>
        </w:tc>
      </w:tr>
      <w:tr>
        <w:trPr>
          <w:tblHeader w:val="off"/>
        </w:trPr>
        <w:tc>
          <w:tcPr>
            <w:tcW w:type="dxa" w:w="674"/>
            <w:tcMar>
              <w:top w:type="dxa" w:w="60"/>
              <w:left w:type="dxa" w:w="80"/>
              <w:bottom w:type="dxa" w:w="60"/>
              <w:right w:type="dxa" w:w="80"/>
            </w:tcMar>
          </w:tcPr>
          <w:p>
            <w:r>
              <w:rPr>
                <w:sz w:val="18"/>
                <w:szCs w:val="18"/>
              </w:rPr>
              <w:t xml:space="preserve">Uniandes</w:t>
            </w:r>
          </w:p>
        </w:tc>
        <w:tc>
          <w:tcPr>
            <w:tcW w:type="dxa" w:w="7009"/>
            <w:tcMar>
              <w:top w:type="dxa" w:w="60"/>
              <w:left w:type="dxa" w:w="80"/>
              <w:bottom w:type="dxa" w:w="60"/>
              <w:right w:type="dxa" w:w="80"/>
            </w:tcMar>
          </w:tcPr>
          <w:p>
            <w:r>
              <w:rPr>
                <w:sz w:val="18"/>
                <w:szCs w:val="18"/>
              </w:rPr>
              <w:t xml:space="preserve">Observatorio Ciro Angarita Barón (habeasdatacolombia.uniandes.edu.co): jurisprudencia de habeas data y Guía GECTI</w:t>
            </w:r>
          </w:p>
        </w:tc>
        <w:tc>
          <w:tcPr>
            <w:tcW w:type="dxa" w:w="674"/>
            <w:tcMar>
              <w:top w:type="dxa" w:w="60"/>
              <w:left w:type="dxa" w:w="80"/>
              <w:bottom w:type="dxa" w:w="60"/>
              <w:right w:type="dxa" w:w="80"/>
            </w:tcMar>
          </w:tcPr>
          <w:p>
            <w:r>
              <w:rPr>
                <w:sz w:val="18"/>
                <w:szCs w:val="18"/>
              </w:rPr>
              <w:t xml:space="preserve">vigente</w:t>
            </w:r>
          </w:p>
        </w:tc>
        <w:tc>
          <w:tcPr>
            <w:tcW w:type="dxa" w:w="1281"/>
            <w:tcMar>
              <w:top w:type="dxa" w:w="60"/>
              <w:left w:type="dxa" w:w="80"/>
              <w:bottom w:type="dxa" w:w="60"/>
              <w:right w:type="dxa" w:w="80"/>
            </w:tcMar>
          </w:tcPr>
          <w:p>
            <w:r>
              <w:rPr>
                <w:sz w:val="18"/>
                <w:szCs w:val="18"/>
              </w:rPr>
              <w:t xml:space="preserve">Quien asesora en datos personales</w:t>
            </w:r>
          </w:p>
        </w:tc>
      </w:tr>
      <w:tr>
        <w:trPr>
          <w:tblHeader w:val="off"/>
        </w:trPr>
        <w:tc>
          <w:tcPr>
            <w:tcW w:type="dxa" w:w="674"/>
            <w:tcMar>
              <w:top w:type="dxa" w:w="60"/>
              <w:left w:type="dxa" w:w="80"/>
              <w:bottom w:type="dxa" w:w="60"/>
              <w:right w:type="dxa" w:w="80"/>
            </w:tcMar>
          </w:tcPr>
          <w:p>
            <w:r>
              <w:rPr>
                <w:sz w:val="18"/>
                <w:szCs w:val="18"/>
              </w:rPr>
              <w:t xml:space="preserve">Harvard</w:t>
            </w:r>
          </w:p>
        </w:tc>
        <w:tc>
          <w:tcPr>
            <w:tcW w:type="dxa" w:w="7009"/>
            <w:tcMar>
              <w:top w:type="dxa" w:w="60"/>
              <w:left w:type="dxa" w:w="80"/>
              <w:bottom w:type="dxa" w:w="60"/>
              <w:right w:type="dxa" w:w="80"/>
            </w:tcMar>
          </w:tcPr>
          <w:p>
            <w:r>
              <w:rPr>
                <w:sz w:val="18"/>
                <w:szCs w:val="18"/>
              </w:rPr>
              <w:t xml:space="preserve">Berkman Klein Center: </w:t>
            </w:r>
            <w:r>
              <w:rPr>
                <w:i/>
                <w:iCs/>
                <w:sz w:val="18"/>
                <w:szCs w:val="18"/>
              </w:rPr>
              <w:t xml:space="preserve">AI Governance Speaker Series</w:t>
            </w:r>
            <w:r>
              <w:rPr>
                <w:sz w:val="18"/>
                <w:szCs w:val="18"/>
              </w:rPr>
              <w:t xml:space="preserve"> (primavera de 2026) y </w:t>
            </w:r>
            <w:r>
              <w:rPr>
                <w:i/>
                <w:iCs/>
                <w:sz w:val="18"/>
                <w:szCs w:val="18"/>
              </w:rPr>
              <w:t xml:space="preserve">Fall Speaker Series</w:t>
            </w:r>
            <w:r>
              <w:rPr>
                <w:sz w:val="18"/>
                <w:szCs w:val="18"/>
              </w:rPr>
              <w:t xml:space="preserve"> (2025); Initiative on Artificial Intelligence and the Law (Bar-Gill y Sunstein)</w:t>
            </w:r>
          </w:p>
        </w:tc>
        <w:tc>
          <w:tcPr>
            <w:tcW w:type="dxa" w:w="674"/>
            <w:tcMar>
              <w:top w:type="dxa" w:w="60"/>
              <w:left w:type="dxa" w:w="80"/>
              <w:bottom w:type="dxa" w:w="60"/>
              <w:right w:type="dxa" w:w="80"/>
            </w:tcMar>
          </w:tcPr>
          <w:p>
            <w:r>
              <w:rPr>
                <w:sz w:val="18"/>
                <w:szCs w:val="18"/>
              </w:rPr>
              <w:t xml:space="preserve">2025-2026</w:t>
            </w:r>
          </w:p>
        </w:tc>
        <w:tc>
          <w:tcPr>
            <w:tcW w:type="dxa" w:w="1281"/>
            <w:tcMar>
              <w:top w:type="dxa" w:w="60"/>
              <w:left w:type="dxa" w:w="80"/>
              <w:bottom w:type="dxa" w:w="60"/>
              <w:right w:type="dxa" w:w="80"/>
            </w:tcMar>
          </w:tcPr>
          <w:p>
            <w:r>
              <w:rPr>
                <w:sz w:val="18"/>
                <w:szCs w:val="18"/>
              </w:rPr>
              <w:t xml:space="preserve">Quien quiera seguir el debate regulatorio internacional</w:t>
            </w:r>
          </w:p>
        </w:tc>
      </w:tr>
      <w:tr>
        <w:trPr>
          <w:tblHeader w:val="off"/>
        </w:trPr>
        <w:tc>
          <w:tcPr>
            <w:tcW w:type="dxa" w:w="674"/>
            <w:tcMar>
              <w:top w:type="dxa" w:w="60"/>
              <w:left w:type="dxa" w:w="80"/>
              <w:bottom w:type="dxa" w:w="60"/>
              <w:right w:type="dxa" w:w="80"/>
            </w:tcMar>
          </w:tcPr>
          <w:p>
            <w:r>
              <w:rPr>
                <w:sz w:val="18"/>
                <w:szCs w:val="18"/>
              </w:rPr>
              <w:t xml:space="preserve">Harvard</w:t>
            </w:r>
          </w:p>
        </w:tc>
        <w:tc>
          <w:tcPr>
            <w:tcW w:type="dxa" w:w="7009"/>
            <w:tcMar>
              <w:top w:type="dxa" w:w="60"/>
              <w:left w:type="dxa" w:w="80"/>
              <w:bottom w:type="dxa" w:w="60"/>
              <w:right w:type="dxa" w:w="80"/>
            </w:tcMar>
          </w:tcPr>
          <w:p>
            <w:r>
              <w:rPr>
                <w:i/>
                <w:iCs/>
                <w:sz w:val="18"/>
                <w:szCs w:val="18"/>
              </w:rPr>
              <w:t xml:space="preserve">The Practice</w:t>
            </w:r>
            <w:r>
              <w:rPr>
                <w:sz w:val="18"/>
                <w:szCs w:val="18"/>
              </w:rPr>
              <w:t xml:space="preserve">, número </w:t>
            </w:r>
            <w:r>
              <w:rPr>
                <w:i/>
                <w:iCs/>
                <w:sz w:val="18"/>
                <w:szCs w:val="18"/>
              </w:rPr>
              <w:t xml:space="preserve">Adding Value in the Age of AI</w:t>
            </w:r>
            <w:r>
              <w:rPr>
                <w:sz w:val="18"/>
                <w:szCs w:val="18"/>
              </w:rPr>
              <w:t xml:space="preserve"> (Center on the Legal Profession, julio-agosto de 2026); </w:t>
            </w:r>
            <w:r>
              <w:rPr>
                <w:i/>
                <w:iCs/>
                <w:sz w:val="18"/>
                <w:szCs w:val="18"/>
              </w:rPr>
              <w:t xml:space="preserve">Developments in the Law — Artificial Intelligence</w:t>
            </w:r>
            <w:r>
              <w:rPr>
                <w:sz w:val="18"/>
                <w:szCs w:val="18"/>
              </w:rPr>
              <w:t xml:space="preserve"> (Harvard Law Review, 2025); Bar-Gill y Sunstein, </w:t>
            </w:r>
            <w:r>
              <w:rPr>
                <w:i/>
                <w:iCs/>
                <w:sz w:val="18"/>
                <w:szCs w:val="18"/>
              </w:rPr>
              <w:t xml:space="preserve">Algorithmic Harm</w:t>
            </w:r>
            <w:r>
              <w:rPr>
                <w:sz w:val="18"/>
                <w:szCs w:val="18"/>
              </w:rPr>
              <w:t xml:space="preserve"> (2025)</w:t>
            </w:r>
          </w:p>
        </w:tc>
        <w:tc>
          <w:tcPr>
            <w:tcW w:type="dxa" w:w="674"/>
            <w:tcMar>
              <w:top w:type="dxa" w:w="60"/>
              <w:left w:type="dxa" w:w="80"/>
              <w:bottom w:type="dxa" w:w="60"/>
              <w:right w:type="dxa" w:w="80"/>
            </w:tcMar>
          </w:tcPr>
          <w:p>
            <w:r>
              <w:rPr>
                <w:sz w:val="18"/>
                <w:szCs w:val="18"/>
              </w:rPr>
              <w:t xml:space="preserve">2025-2026</w:t>
            </w:r>
          </w:p>
        </w:tc>
        <w:tc>
          <w:tcPr>
            <w:tcW w:type="dxa" w:w="1281"/>
            <w:tcMar>
              <w:top w:type="dxa" w:w="60"/>
              <w:left w:type="dxa" w:w="80"/>
              <w:bottom w:type="dxa" w:w="60"/>
              <w:right w:type="dxa" w:w="80"/>
            </w:tcMar>
          </w:tcPr>
          <w:p>
            <w:r>
              <w:rPr>
                <w:sz w:val="18"/>
                <w:szCs w:val="18"/>
              </w:rPr>
              <w:t xml:space="preserve">Gestión de la práctica jurídica con IA y panorama doctrinal</w:t>
            </w:r>
          </w:p>
        </w:tc>
      </w:tr>
      <w:tr>
        <w:trPr>
          <w:tblHeader w:val="off"/>
        </w:trPr>
        <w:tc>
          <w:tcPr>
            <w:tcW w:type="dxa" w:w="674"/>
            <w:tcMar>
              <w:top w:type="dxa" w:w="60"/>
              <w:left w:type="dxa" w:w="80"/>
              <w:bottom w:type="dxa" w:w="60"/>
              <w:right w:type="dxa" w:w="80"/>
            </w:tcMar>
          </w:tcPr>
          <w:p>
            <w:r>
              <w:rPr>
                <w:sz w:val="18"/>
                <w:szCs w:val="18"/>
              </w:rPr>
              <w:t xml:space="preserve">Harvard</w:t>
            </w:r>
          </w:p>
        </w:tc>
        <w:tc>
          <w:tcPr>
            <w:tcW w:type="dxa" w:w="7009"/>
            <w:tcMar>
              <w:top w:type="dxa" w:w="60"/>
              <w:left w:type="dxa" w:w="80"/>
              <w:bottom w:type="dxa" w:w="60"/>
              <w:right w:type="dxa" w:w="80"/>
            </w:tcMar>
          </w:tcPr>
          <w:p>
            <w:r>
              <w:rPr>
                <w:sz w:val="18"/>
                <w:szCs w:val="18"/>
              </w:rPr>
              <w:t xml:space="preserve">Programa ejecutivo </w:t>
            </w:r>
            <w:r>
              <w:rPr>
                <w:i/>
                <w:iCs/>
                <w:sz w:val="18"/>
                <w:szCs w:val="18"/>
              </w:rPr>
              <w:t xml:space="preserve">AI and the Law: Navigating the New Legal Landscape</w:t>
            </w:r>
            <w:r>
              <w:rPr>
                <w:sz w:val="18"/>
                <w:szCs w:val="18"/>
              </w:rPr>
              <w:t xml:space="preserve"> (edición 2026 con componentes prácticos); </w:t>
            </w:r>
            <w:r>
              <w:rPr>
                <w:i/>
                <w:iCs/>
                <w:sz w:val="18"/>
                <w:szCs w:val="18"/>
              </w:rPr>
              <w:t xml:space="preserve">CS50's Computer Science for Lawyers</w:t>
            </w:r>
            <w:r>
              <w:rPr>
                <w:sz w:val="18"/>
                <w:szCs w:val="18"/>
              </w:rPr>
              <w:t xml:space="preserve"> (HarvardX, gratuito en modalidad de auditoría)</w:t>
            </w:r>
          </w:p>
        </w:tc>
        <w:tc>
          <w:tcPr>
            <w:tcW w:type="dxa" w:w="674"/>
            <w:tcMar>
              <w:top w:type="dxa" w:w="60"/>
              <w:left w:type="dxa" w:w="80"/>
              <w:bottom w:type="dxa" w:w="60"/>
              <w:right w:type="dxa" w:w="80"/>
            </w:tcMar>
          </w:tcPr>
          <w:p>
            <w:r>
              <w:rPr>
                <w:sz w:val="18"/>
                <w:szCs w:val="18"/>
              </w:rPr>
              <w:t xml:space="preserve">2026 / vigente</w:t>
            </w:r>
          </w:p>
        </w:tc>
        <w:tc>
          <w:tcPr>
            <w:tcW w:type="dxa" w:w="1281"/>
            <w:tcMar>
              <w:top w:type="dxa" w:w="60"/>
              <w:left w:type="dxa" w:w="80"/>
              <w:bottom w:type="dxa" w:w="60"/>
              <w:right w:type="dxa" w:w="80"/>
            </w:tcMar>
          </w:tcPr>
          <w:p>
            <w:r>
              <w:rPr>
                <w:sz w:val="18"/>
                <w:szCs w:val="18"/>
              </w:rPr>
              <w:t xml:space="preserve">Formación ejecutiva y alfabetización técnica</w:t>
            </w:r>
          </w:p>
        </w:tc>
      </w:tr>
      <w:tr>
        <w:trPr>
          <w:tblHeader w:val="off"/>
        </w:trPr>
        <w:tc>
          <w:tcPr>
            <w:tcW w:type="dxa" w:w="674"/>
            <w:tcMar>
              <w:top w:type="dxa" w:w="60"/>
              <w:left w:type="dxa" w:w="80"/>
              <w:bottom w:type="dxa" w:w="60"/>
              <w:right w:type="dxa" w:w="80"/>
            </w:tcMar>
          </w:tcPr>
          <w:p>
            <w:r>
              <w:rPr>
                <w:sz w:val="18"/>
                <w:szCs w:val="18"/>
              </w:rPr>
              <w:t xml:space="preserve">Externado</w:t>
            </w:r>
          </w:p>
        </w:tc>
        <w:tc>
          <w:tcPr>
            <w:tcW w:type="dxa" w:w="7009"/>
            <w:tcMar>
              <w:top w:type="dxa" w:w="60"/>
              <w:left w:type="dxa" w:w="80"/>
              <w:bottom w:type="dxa" w:w="60"/>
              <w:right w:type="dxa" w:w="80"/>
            </w:tcMar>
          </w:tcPr>
          <w:p>
            <w:r>
              <w:rPr>
                <w:sz w:val="18"/>
                <w:szCs w:val="18"/>
              </w:rPr>
              <w:t xml:space="preserve">Ciclo de Conferencias 2026 por los 30 años del Departamento de Derecho, Comunicaciones y Tecnologías de la Información; Seminarios web 2025 y 2026; Relatorías 2025 de la Mesa de Trabajo Multiactor sobre Regulación de IA (coorganizada con Uniandes); encuentro sobre la gobernanza abierta de la IA (CONPES 4144 de 2025)</w:t>
            </w:r>
          </w:p>
        </w:tc>
        <w:tc>
          <w:tcPr>
            <w:tcW w:type="dxa" w:w="674"/>
            <w:tcMar>
              <w:top w:type="dxa" w:w="60"/>
              <w:left w:type="dxa" w:w="80"/>
              <w:bottom w:type="dxa" w:w="60"/>
              <w:right w:type="dxa" w:w="80"/>
            </w:tcMar>
          </w:tcPr>
          <w:p>
            <w:r>
              <w:rPr>
                <w:sz w:val="18"/>
                <w:szCs w:val="18"/>
              </w:rPr>
              <w:t xml:space="preserve">2025-2026</w:t>
            </w:r>
          </w:p>
        </w:tc>
        <w:tc>
          <w:tcPr>
            <w:tcW w:type="dxa" w:w="1281"/>
            <w:tcMar>
              <w:top w:type="dxa" w:w="60"/>
              <w:left w:type="dxa" w:w="80"/>
              <w:bottom w:type="dxa" w:w="60"/>
              <w:right w:type="dxa" w:w="80"/>
            </w:tcMar>
          </w:tcPr>
          <w:p>
            <w:r>
              <w:rPr>
                <w:sz w:val="18"/>
                <w:szCs w:val="18"/>
              </w:rPr>
              <w:t xml:space="preserve">Seguimiento de la regulación colombiana</w:t>
            </w:r>
          </w:p>
        </w:tc>
      </w:tr>
      <w:tr>
        <w:trPr>
          <w:tblHeader w:val="off"/>
        </w:trPr>
        <w:tc>
          <w:tcPr>
            <w:tcW w:type="dxa" w:w="674"/>
            <w:tcMar>
              <w:top w:type="dxa" w:w="60"/>
              <w:left w:type="dxa" w:w="80"/>
              <w:bottom w:type="dxa" w:w="60"/>
              <w:right w:type="dxa" w:w="80"/>
            </w:tcMar>
          </w:tcPr>
          <w:p>
            <w:r>
              <w:rPr>
                <w:sz w:val="18"/>
                <w:szCs w:val="18"/>
              </w:rPr>
              <w:t xml:space="preserve">Externado</w:t>
            </w:r>
          </w:p>
        </w:tc>
        <w:tc>
          <w:tcPr>
            <w:tcW w:type="dxa" w:w="7009"/>
            <w:tcMar>
              <w:top w:type="dxa" w:w="60"/>
              <w:left w:type="dxa" w:w="80"/>
              <w:bottom w:type="dxa" w:w="60"/>
              <w:right w:type="dxa" w:w="80"/>
            </w:tcMar>
          </w:tcPr>
          <w:p>
            <w:r>
              <w:rPr>
                <w:sz w:val="18"/>
                <w:szCs w:val="18"/>
              </w:rPr>
              <w:t xml:space="preserve">Masterclass </w:t>
            </w:r>
            <w:r>
              <w:rPr>
                <w:i/>
                <w:iCs/>
                <w:sz w:val="18"/>
                <w:szCs w:val="18"/>
              </w:rPr>
              <w:t xml:space="preserve">El abogado como arquitecto de la gobernanza de la inteligencia artificial</w:t>
            </w:r>
            <w:r>
              <w:rPr>
                <w:sz w:val="18"/>
                <w:szCs w:val="18"/>
              </w:rPr>
              <w:t xml:space="preserve">; Seminario de Actualización en Regulación de la IA (Departamento de Derecho Penal); Curso de inmersión </w:t>
            </w:r>
            <w:r>
              <w:rPr>
                <w:i/>
                <w:iCs/>
                <w:sz w:val="18"/>
                <w:szCs w:val="18"/>
              </w:rPr>
              <w:t xml:space="preserve">IA para Abogados e Investigadores en Derecho</w:t>
            </w:r>
            <w:r>
              <w:rPr>
                <w:sz w:val="18"/>
                <w:szCs w:val="18"/>
              </w:rPr>
              <w:t xml:space="preserve">; Especialización y Maestría en Derecho Informático y de las Nuevas Tecnologías</w:t>
            </w:r>
          </w:p>
        </w:tc>
        <w:tc>
          <w:tcPr>
            <w:tcW w:type="dxa" w:w="674"/>
            <w:tcMar>
              <w:top w:type="dxa" w:w="60"/>
              <w:left w:type="dxa" w:w="80"/>
              <w:bottom w:type="dxa" w:w="60"/>
              <w:right w:type="dxa" w:w="80"/>
            </w:tcMar>
          </w:tcPr>
          <w:p>
            <w:r>
              <w:rPr>
                <w:sz w:val="18"/>
                <w:szCs w:val="18"/>
              </w:rPr>
              <w:t xml:space="preserve">2026 / vigentes</w:t>
            </w:r>
          </w:p>
        </w:tc>
        <w:tc>
          <w:tcPr>
            <w:tcW w:type="dxa" w:w="1281"/>
            <w:tcMar>
              <w:top w:type="dxa" w:w="60"/>
              <w:left w:type="dxa" w:w="80"/>
              <w:bottom w:type="dxa" w:w="60"/>
              <w:right w:type="dxa" w:w="80"/>
            </w:tcMar>
          </w:tcPr>
          <w:p>
            <w:r>
              <w:rPr>
                <w:sz w:val="18"/>
                <w:szCs w:val="18"/>
              </w:rPr>
              <w:t xml:space="preserve">Formación formal y ejecutiva</w:t>
            </w:r>
          </w:p>
        </w:tc>
      </w:tr>
      <w:tr>
        <w:trPr>
          <w:tblHeader w:val="off"/>
        </w:trPr>
        <w:tc>
          <w:tcPr>
            <w:tcW w:type="dxa" w:w="674"/>
            <w:tcMar>
              <w:top w:type="dxa" w:w="60"/>
              <w:left w:type="dxa" w:w="80"/>
              <w:bottom w:type="dxa" w:w="60"/>
              <w:right w:type="dxa" w:w="80"/>
            </w:tcMar>
          </w:tcPr>
          <w:p>
            <w:r>
              <w:rPr>
                <w:sz w:val="18"/>
                <w:szCs w:val="18"/>
              </w:rPr>
              <w:t xml:space="preserve">Externado</w:t>
            </w:r>
          </w:p>
        </w:tc>
        <w:tc>
          <w:tcPr>
            <w:tcW w:type="dxa" w:w="7009"/>
            <w:tcMar>
              <w:top w:type="dxa" w:w="60"/>
              <w:left w:type="dxa" w:w="80"/>
              <w:bottom w:type="dxa" w:w="60"/>
              <w:right w:type="dxa" w:w="80"/>
            </w:tcMar>
          </w:tcPr>
          <w:p>
            <w:r>
              <w:rPr>
                <w:sz w:val="18"/>
                <w:szCs w:val="18"/>
              </w:rPr>
              <w:t xml:space="preserve">Revista de Derecho Privado (Bertolini, </w:t>
            </w:r>
            <w:r>
              <w:rPr>
                <w:i/>
                <w:iCs/>
                <w:sz w:val="18"/>
                <w:szCs w:val="18"/>
              </w:rPr>
              <w:t xml:space="preserve">¡La inteligencia artificial no existe!</w:t>
            </w:r>
            <w:r>
              <w:rPr>
                <w:sz w:val="18"/>
                <w:szCs w:val="18"/>
              </w:rPr>
              <w:t xml:space="preserve">, 2025); Revista Derecho del Estado (Sanz Salguero, datos personales en América Latina y RGPD, 2025); Revista La Propiedad Inmaterial (web scraping y entrenamiento de IA, 2024); Observatorio Privatech sobre el CONPES 4144 (2025)</w:t>
            </w:r>
          </w:p>
        </w:tc>
        <w:tc>
          <w:tcPr>
            <w:tcW w:type="dxa" w:w="674"/>
            <w:tcMar>
              <w:top w:type="dxa" w:w="60"/>
              <w:left w:type="dxa" w:w="80"/>
              <w:bottom w:type="dxa" w:w="60"/>
              <w:right w:type="dxa" w:w="80"/>
            </w:tcMar>
          </w:tcPr>
          <w:p>
            <w:r>
              <w:rPr>
                <w:sz w:val="18"/>
                <w:szCs w:val="18"/>
              </w:rPr>
              <w:t xml:space="preserve">2024-2025</w:t>
            </w:r>
          </w:p>
        </w:tc>
        <w:tc>
          <w:tcPr>
            <w:tcW w:type="dxa" w:w="1281"/>
            <w:tcMar>
              <w:top w:type="dxa" w:w="60"/>
              <w:left w:type="dxa" w:w="80"/>
              <w:bottom w:type="dxa" w:w="60"/>
              <w:right w:type="dxa" w:w="80"/>
            </w:tcMar>
          </w:tcPr>
          <w:p>
            <w:r>
              <w:rPr>
                <w:sz w:val="18"/>
                <w:szCs w:val="18"/>
              </w:rPr>
              <w:t xml:space="preserve">Lectura académica reciente en español</w:t>
            </w:r>
          </w:p>
        </w:tc>
      </w:tr>
    </w:tbl>
    <w:p/>
    <w:p>
      <w:pPr>
        <w:pStyle w:val="Heading1"/>
      </w:pPr>
      <w:r>
        <w:t xml:space="preserve">11. Nota metodológica sobre las fuentes</w:t>
      </w:r>
    </w:p>
    <w:p>
      <w:pPr>
        <w:spacing w:after="120"/>
      </w:pPr>
      <w:r>
        <w:rPr>
          <w:b/>
          <w:bCs/>
        </w:rPr>
        <w:t xml:space="preserve">Criterio de actualidad.</w:t>
      </w:r>
      <w:r>
        <w:t xml:space="preserve"> Los cuatro videos que se proyectan y sus planes B son de 2025 y 2026; los de años anteriores que aparecieron en la primera versión de este programa (una conferencia de 2018 sobre smart contracts, una charla de 2017 y un foro de computación en la nube de la primera década de 2010) se retiraron de la sala y quedan en </w:t>
      </w:r>
      <w:r>
        <w:rPr>
          <w:rFonts w:ascii="Consolas" w:cs="Consolas" w:eastAsia="Consolas" w:hAnsi="Consolas"/>
          <w:sz w:val="18"/>
          <w:szCs w:val="18"/>
        </w:rPr>
        <w:t xml:space="preserve">FUENTES.md</w:t>
      </w:r>
      <w:r>
        <w:t xml:space="preserve"> marcados como material anterior a 2024, solo de referencia. Las lecturas obligatorias son de 2024 a 2026. Se conservan tres textos anteriores con función precisa y año visible: Lessig (2000) y Gasser-Almeida (2017) como esquema conceptual de una diapositiva, la Guía GECTI (2018) como lista de verificación operativa y Padilla Sánchez (2020) como doctrina de referencia sobre smart contracts, porque no se localizó un análisis de 2024-2026 de las tres universidades sobre ese punto.</w:t>
      </w:r>
    </w:p>
    <w:p>
      <w:pPr>
        <w:spacing w:after="120"/>
      </w:pPr>
      <w:r>
        <w:rPr>
          <w:b/>
          <w:bCs/>
        </w:rPr>
        <w:t xml:space="preserve">Verificación.</w:t>
      </w:r>
      <w:r>
        <w:t xml:space="preserve"> El catálogo se construyó con búsquedas web restringidas a los dominios institucionales (uexternado.edu.co y sus blogs, uniandes.edu.co y sus portales, cyber.harvard.edu, hls.harvard.edu, clp.law.harvard.edu, jolt.law.harvard.edu, dash.harvard.edu, canales oficiales de YouTube, edX y Coursera). Cada fuente pasó por una segunda ronda de verificación independiente con criterio estricto: confirmada solo si una búsqueda devolvió la misma URL o una página del dominio institucional con el mismo título; corregida si se encontró con otros datos; descartada si nada la respaldó. El entorno de trabajo no permitía abrir las páginas, así que la duración de los videos y el número de páginas de los PDF no están confirmados. Para las dos grabaciones del Externado de 2025 (fraude cibernético y biometría) se verificó la página institucional que las recopila, no el identificador individual de YouTube; la lista de chequeo de la sección 9 pide copiar el enlace exacto al preparar la sesión. El estado de verificación de cada fuente está en </w:t>
      </w:r>
      <w:r>
        <w:rPr>
          <w:rFonts w:ascii="Consolas" w:cs="Consolas" w:eastAsia="Consolas" w:hAnsi="Consolas"/>
          <w:sz w:val="18"/>
          <w:szCs w:val="18"/>
        </w:rPr>
        <w:t xml:space="preserve">FUENTES.md</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Página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1F3864"/>
      <w:sz w:val="40"/>
      <w:szCs w:val="4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80"/>
      <w:outlineLvl w:val="1"/>
    </w:pPr>
    <w:rPr>
      <w:rFonts w:ascii="Calibri" w:cs="Calibri" w:eastAsia="Calibri" w:hAnsi="Calibri"/>
      <w:b/>
      <w:bCs/>
      <w:color w:val="2F549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kvudprl8ybb00g6tb3vwd" Type="http://schemas.openxmlformats.org/officeDocument/2006/relationships/hyperlink" Target="https://propintel.uexternado.edu.co/resumen-de-la-sentencia-t-323-de-2024-de-la-corte-constitucional-de-colombia-sobre-el-uso-de-ia-por-jueces-de-la-republica/" TargetMode="External"/><Relationship Id="rIdfgvnnjxjuvpd4ix3h0vac" Type="http://schemas.openxmlformats.org/officeDocument/2006/relationships/hyperlink" Target="https://telecomunicaciones.uexternado.edu.co/cuando-la-inteligencia-artificial-inventa-el-derecho-riesgos-para-la-profesion-juridica/" TargetMode="External"/><Relationship Id="rIdmbgau_-yjyhvpxf2w8h6u" Type="http://schemas.openxmlformats.org/officeDocument/2006/relationships/hyperlink" Target="https://www.uexternado.edu.co/derecho/el-externado-analiza-el-uso-de-la-inteligencia-artificial-en-la-justicia-colombiana/" TargetMode="External"/><Relationship Id="rIdczcx-hegz1e__e0rnxgbv" Type="http://schemas.openxmlformats.org/officeDocument/2006/relationships/hyperlink" Target="https://clp.law.harvard.edu/knowledge-hub/magazine/issues/adding-value-in-the-age-of-ai/how-lawyers-can-add-value-in-the-age-of-ai/" TargetMode="External"/><Relationship Id="rIdhrzh3hnnajgxfwsmc_ne-" Type="http://schemas.openxmlformats.org/officeDocument/2006/relationships/hyperlink" Target="https://gobierno.uniandes.edu.co/la-universidad-de-los-andes-y-la-unesco-lanzan-la-version-en-espanol-de-las-directrices-para-el-uso-de-inteligencia-artificial-en-cortes-y-tribunales/" TargetMode="External"/><Relationship Id="rIdb3lorgaapngpmfb0lzgdi" Type="http://schemas.openxmlformats.org/officeDocument/2006/relationships/hyperlink" Target="https://www.uexternado.edu.co/wp-content/uploads/2025/09/Sesion-9-Mesa-Multi-actor-ComunBuenasPracticasRegulatorias-1.pdf" TargetMode="External"/><Relationship Id="rId8924y_h5vackwiicrqx3r" Type="http://schemas.openxmlformats.org/officeDocument/2006/relationships/hyperlink" Target="https://www.uexternado.edu.co/wp-content/uploads/2025/08/RELATORIA_%E2%80%98Privacidad-Proteccion-De-Datos-A-Proposito-Del-Caso-Studio-Ghibli_-30-ABR-2025.pdf" TargetMode="External"/><Relationship Id="rId6t0groso5pqcmruk0lnfv" Type="http://schemas.openxmlformats.org/officeDocument/2006/relationships/hyperlink" Target="https://harvardlawreview.org/print/vol-138/developments-in-the-law-artificial-intelligence/" TargetMode="External"/><Relationship Id="rIdiww3tivhhnjtcx07tu-py" Type="http://schemas.openxmlformats.org/officeDocument/2006/relationships/hyperlink" Target="https://derecho.uniandes.edu.co/es/toolkit-etico-legal-de-inteligencia-artificial" TargetMode="External"/><Relationship Id="rIdczt4uapwhlux-epgxepro" Type="http://schemas.openxmlformats.org/officeDocument/2006/relationships/hyperlink" Target="https://habeasdatacolombia.uniandes.edu.co/?p=2817" TargetMode="External"/><Relationship Id="rIdpvuks6lvzrjcbwyxw-jzm" Type="http://schemas.openxmlformats.org/officeDocument/2006/relationships/hyperlink" Target="https://revistas.uexternado.edu.co/index.php/derpri/article/view/6681" TargetMode="External"/><Relationship Id="rIduov3abfp4cx7cc-mh_nxv" Type="http://schemas.openxmlformats.org/officeDocument/2006/relationships/hyperlink" Target="https://www.youtube.com/watch?v=IvcNLzlJUHA" TargetMode="External"/><Relationship Id="rIdirmnrik3tjelwkqqzexje" Type="http://schemas.openxmlformats.org/officeDocument/2006/relationships/hyperlink" Target="https://www.youtube.com/watch?v=veu2Gt1BqeE" TargetMode="External"/><Relationship Id="rIdxo0hagkwuarayikwv6yqt" Type="http://schemas.openxmlformats.org/officeDocument/2006/relationships/hyperlink" Target="https://www.youtube.com/watch?v=MvBdRF3zw5k" TargetMode="External"/><Relationship Id="rId5rgkwbufgq-dmw_mnzju6" Type="http://schemas.openxmlformats.org/officeDocument/2006/relationships/hyperlink" Target="https://www.youtube.com/watch?v=veu2Gt1BqeE" TargetMode="External"/><Relationship Id="rIdqgl0ue4nytzbhtouwf_ij" Type="http://schemas.openxmlformats.org/officeDocument/2006/relationships/hyperlink" Target="https://www.uexternado.edu.co/derecho/departamento-derecho-las-telecomunicaciones-2/seminarios-web-2025/" TargetMode="External"/><Relationship Id="rIdzax5g1hs0hpgeqjjddm0u" Type="http://schemas.openxmlformats.org/officeDocument/2006/relationships/hyperlink" Target="https://www.youtube.com/playlist?list=PLLdYhVJsMEXJsQw_DL_dNOejiIpp1OERr" TargetMode="External"/><Relationship Id="rIddcairxsp_abuvihdnwiih" Type="http://schemas.openxmlformats.org/officeDocument/2006/relationships/hyperlink" Target="https://www.uexternado.edu.co/departamento-de-derecho-comunicaciones-y-tecnologias-de-la-informacion/biometria-bajo-la-lupa-el-caso-mercado-libre-y-las-nuevas-reglas-de-juego/" TargetMode="External"/><Relationship Id="rIdymj7ulmsb-jtww8s2cxwk" Type="http://schemas.openxmlformats.org/officeDocument/2006/relationships/hyperlink" Target="https://www.uexternado.edu.co/departamento-de-derecho-comunicaciones-y-tecnologias-de-la-informacion/seminarios-web-2026/" TargetMode="External"/><Relationship Id="rIdmd474exiy4yalpqsyet_t" Type="http://schemas.openxmlformats.org/officeDocument/2006/relationships/hyperlink" Target="https://algoritmos.uniandes.edu.co/xxv-jornadas-gecti-derecho-tecnologia-y-sociedad-digital/" TargetMode="External"/><Relationship Id="rIdma4anbi3treczray_wr9h" Type="http://schemas.openxmlformats.org/officeDocument/2006/relationships/hyperlink" Target="https://www.youtube.com/watch?v=2TEVQqAZpkg" TargetMode="External"/><Relationship Id="rIdzi_wzewjmvzkkczz9ukyf" Type="http://schemas.openxmlformats.org/officeDocument/2006/relationships/hyperlink" Target="https://www.youtube.com/playlist?list=PL68azUN8PTNg25bFCYPRWnNjILYoOrbtg" TargetMode="External"/><Relationship Id="rId6l8hqxm3pz74hljbsyaoz" Type="http://schemas.openxmlformats.org/officeDocument/2006/relationships/hyperlink" Target="https://cyber.harvard.edu/events/legal-telescopes-new-ways-seeing-law-scale" TargetMode="External"/><Relationship Id="rIdtpgbcjmt92wzlip3osirp" Type="http://schemas.openxmlformats.org/officeDocument/2006/relationships/hyperlink" Target="https://www.youtube.com/playlist?list=PL68azUN8PTNjMubL1F-SL207Pb5iGR4MW"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PROGRAMA.md</dc:title>
  <dc:creator>Conferencia Derecho y Tecnología</dc:creator>
  <cp:lastModifiedBy>Un-named</cp:lastModifiedBy>
  <cp:revision>1</cp:revision>
  <dcterms:created xsi:type="dcterms:W3CDTF">2026-09-28T03:56:51.786Z</dcterms:created>
  <dcterms:modified xsi:type="dcterms:W3CDTF">2026-09-28T03:56:51.786Z</dcterms:modified>
</cp:coreProperties>
</file>

<file path=docProps/custom.xml><?xml version="1.0" encoding="utf-8"?>
<Properties xmlns="http://schemas.openxmlformats.org/officeDocument/2006/custom-properties" xmlns:vt="http://schemas.openxmlformats.org/officeDocument/2006/docPropsVTypes"/>
</file>