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Times New Roman" w:cs="Times New Roman" w:eastAsia="Times New Roman" w:hAnsi="Times New Roman"/>
          <w:b/>
          <w:bCs/>
          <w:spacing w:val="40"/>
          <w:sz w:val="20"/>
          <w:szCs w:val="20"/>
        </w:rPr>
        <w:t xml:space="preserve">DOCUMENTO DE ESTUDIO</w:t>
      </w:r>
    </w:p>
    <w:p>
      <w:pPr>
        <w:pBdr>
          <w:bottom w:val="single" w:color="000000" w:sz="12" w:space="6"/>
        </w:pBdr>
        <w:spacing w:after="600"/>
      </w:pPr>
      <w:r>
        <w:rPr>
          <w:rFonts w:ascii="Times New Roman" w:cs="Times New Roman" w:eastAsia="Times New Roman" w:hAnsi="Times New Roman"/>
          <w:sz w:val="20"/>
          <w:szCs w:val="20"/>
        </w:rPr>
        <w:t xml:space="preserve">Norte de Santander · Colombia</w:t>
      </w:r>
    </w:p>
    <w:p>
      <w:pPr>
        <w:spacing w:after="240"/>
      </w:pPr>
      <w:r>
        <w:rPr>
          <w:rFonts w:ascii="Times New Roman" w:cs="Times New Roman" w:eastAsia="Times New Roman" w:hAnsi="Times New Roman"/>
          <w:b/>
          <w:bCs/>
          <w:sz w:val="60"/>
          <w:szCs w:val="60"/>
        </w:rPr>
        <w:t xml:space="preserve">El Catatumbo en 2026</w:t>
      </w:r>
    </w:p>
    <w:p>
      <w:pPr>
        <w:spacing w:after="600" w:line="300"/>
      </w:pPr>
      <w:r>
        <w:rPr>
          <w:rFonts w:ascii="Times New Roman" w:cs="Times New Roman" w:eastAsia="Times New Roman" w:hAnsi="Times New Roman"/>
          <w:sz w:val="32"/>
          <w:szCs w:val="32"/>
        </w:rPr>
        <w:t xml:space="preserve">Violencia armada, economía del territorio y prioridades de la región ante el Plan Nacional de Desarrollo 2026–2030</w:t>
      </w:r>
    </w:p>
    <w:p>
      <w:pPr>
        <w:spacing w:after="120"/>
      </w:pPr>
      <w:r>
        <w:rPr>
          <w:rFonts w:ascii="Times New Roman" w:cs="Times New Roman" w:eastAsia="Times New Roman" w:hAnsi="Times New Roman"/>
          <w:i/>
          <w:iCs/>
          <w:sz w:val="24"/>
          <w:szCs w:val="24"/>
        </w:rPr>
        <w:t xml:space="preserve">Análisis esquemático en tres ejes</w:t>
      </w:r>
    </w:p>
    <w:p>
      <w:pPr>
        <w:spacing w:after="900"/>
      </w:pPr>
      <w:r>
        <w:rPr>
          <w:rFonts w:ascii="Times New Roman" w:cs="Times New Roman" w:eastAsia="Times New Roman" w:hAnsi="Times New Roman"/>
          <w:i/>
          <w:iCs/>
          <w:sz w:val="24"/>
          <w:szCs w:val="24"/>
        </w:rPr>
        <w:t xml:space="preserve">Con un capítulo aparte: diagrama de los documentos oficiales recibidos</w:t>
      </w:r>
    </w:p>
    <w:p>
      <w:pPr>
        <w:spacing w:after="0"/>
      </w:pPr>
      <w:r>
        <w:rPr>
          <w:rFonts w:ascii="Times New Roman" w:cs="Times New Roman" w:eastAsia="Times New Roman" w:hAnsi="Times New Roman"/>
          <w:i/>
          <w:iCs/>
          <w:sz w:val="20"/>
          <w:szCs w:val="20"/>
        </w:rPr>
        <w:t xml:space="preserve">Elaborado por</w:t>
      </w:r>
    </w:p>
    <w:p>
      <w:pPr>
        <w:spacing w:after="0"/>
      </w:pPr>
      <w:r>
        <w:rPr>
          <w:rFonts w:ascii="Times New Roman" w:cs="Times New Roman" w:eastAsia="Times New Roman" w:hAnsi="Times New Roman"/>
          <w:b/>
          <w:bCs/>
          <w:sz w:val="24"/>
          <w:szCs w:val="24"/>
        </w:rPr>
        <w:t xml:space="preserve">Carlos Arturo Ramos Mejía</w:t>
      </w:r>
    </w:p>
    <w:p>
      <w:pPr>
        <w:spacing w:after="0"/>
      </w:pPr>
      <w:r>
        <w:rPr>
          <w:rFonts w:ascii="Times New Roman" w:cs="Times New Roman" w:eastAsia="Times New Roman" w:hAnsi="Times New Roman"/>
          <w:sz w:val="21"/>
          <w:szCs w:val="21"/>
        </w:rPr>
        <w:t xml:space="preserve">Director Administrativo</w:t>
      </w:r>
    </w:p>
    <w:p>
      <w:pPr>
        <w:spacing w:after="360"/>
      </w:pPr>
      <w:r>
        <w:rPr>
          <w:rFonts w:ascii="Times New Roman" w:cs="Times New Roman" w:eastAsia="Times New Roman" w:hAnsi="Times New Roman"/>
          <w:sz w:val="21"/>
          <w:szCs w:val="21"/>
        </w:rPr>
        <w:t xml:space="preserve">Corporación Red Departamental de Defensores de Derechos Humanos (CORPOREDDEH)</w:t>
      </w:r>
    </w:p>
    <w:p>
      <w:pPr>
        <w:spacing w:after="80"/>
      </w:pPr>
      <w:r>
        <w:rPr>
          <w:rFonts w:ascii="Times New Roman" w:cs="Times New Roman" w:eastAsia="Times New Roman" w:hAnsi="Times New Roman"/>
          <w:b/>
          <w:bCs/>
          <w:sz w:val="21"/>
          <w:szCs w:val="21"/>
        </w:rPr>
        <w:t xml:space="preserve">Corte de la información: 18 de octubre de 2026</w:t>
      </w:r>
    </w:p>
    <w:p>
      <w:pPr>
        <w:spacing w:after="80"/>
        <w:jc w:val="both"/>
      </w:pPr>
      <w:r>
        <w:rPr>
          <w:rFonts w:ascii="Times New Roman" w:cs="Times New Roman" w:eastAsia="Times New Roman" w:hAnsi="Times New Roman"/>
          <w:sz w:val="20"/>
          <w:szCs w:val="20"/>
        </w:rPr>
        <w:t xml:space="preserve">Fuentes primarias: respuestas oficiales a derechos de petición presentados por la Corporación Red Departamental de Defensores de Derechos Humanos (CORPOREDDEH) ante la Policía Nacional (Departamento de Policía Norte de Santander y Policía Metropolitana de Cúcuta), el Instituto Nacional de Medicina Legal y Ciencias Forenses y la Consejería Comisionada de Paz (Grupo AICMA), sobre el primer semestre de 2026.</w:t>
      </w:r>
    </w:p>
    <w:p>
      <w:pPr>
        <w:spacing w:after="80"/>
        <w:jc w:val="both"/>
      </w:pPr>
      <w:r>
        <w:rPr>
          <w:rFonts w:ascii="Times New Roman" w:cs="Times New Roman" w:eastAsia="Times New Roman" w:hAnsi="Times New Roman"/>
          <w:sz w:val="20"/>
          <w:szCs w:val="20"/>
        </w:rPr>
        <w:t xml:space="preserve">Fuentes secundarias: informes de organismos públicos, de Naciones Unidas y de organizaciones de la sociedad civil, y prensa nacional y regional, verificados a la fecha de corte.</w:t>
      </w:r>
    </w:p>
    <w:p>
      <w:pPr>
        <w:sectPr>
          <w:pgSz w:w="11906" w:h="16838" w:orient="portrait"/>
          <w:pgMar w:top="1418" w:right="1418" w:bottom="1418" w:left="1418" w:header="708" w:footer="708" w:gutter="0"/>
          <w:pgNumType/>
          <w:docGrid w:linePitch="360"/>
        </w:sectPr>
      </w:pPr>
    </w:p>
    <w:p>
      <w:pPr>
        <w:spacing w:after="240"/>
      </w:pPr>
      <w:r>
        <w:rPr>
          <w:rFonts w:ascii="Times New Roman" w:cs="Times New Roman" w:eastAsia="Times New Roman" w:hAnsi="Times New Roman"/>
          <w:b/>
          <w:bCs/>
          <w:sz w:val="28"/>
          <w:szCs w:val="28"/>
        </w:rPr>
        <w:t xml:space="preserve">Índice</w:t>
      </w:r>
    </w:p>
    <w:p>
      <w:pPr>
        <w:spacing w:after="80"/>
        <w:jc w:val="right"/>
      </w:pPr>
      <w:r>
        <w:rPr>
          <w:rFonts w:ascii="Times New Roman" w:cs="Times New Roman" w:eastAsia="Times New Roman" w:hAnsi="Times New Roman"/>
          <w:i/>
          <w:iCs/>
          <w:sz w:val="18"/>
          <w:szCs w:val="18"/>
        </w:rPr>
        <w:t xml:space="preserve">Página</w:t>
      </w:r>
    </w:p>
    <w:p>
      <w:pPr>
        <w:tabs>
          <w:tab w:val="left" w:pos="567"/>
          <w:tab w:val="right" w:pos="9070" w:leader="dot"/>
        </w:tabs>
        <w:spacing w:after="40" w:before="100"/>
        <w:ind w:left="567" w:hanging="567"/>
      </w:pPr>
      <w:r>
        <w:rPr>
          <w:rFonts w:ascii="Times New Roman" w:cs="Times New Roman" w:eastAsia="Times New Roman" w:hAnsi="Times New Roman"/>
          <w:b/>
          <w:bCs/>
          <w:sz w:val="21"/>
          <w:szCs w:val="21"/>
        </w:rPr>
        <w:t xml:space="preserve">	Resumen	3</w:t>
      </w:r>
    </w:p>
    <w:p>
      <w:pPr>
        <w:tabs>
          <w:tab w:val="left" w:pos="567"/>
          <w:tab w:val="right" w:pos="9070" w:leader="dot"/>
        </w:tabs>
        <w:spacing w:after="40" w:before="100"/>
        <w:ind w:left="567" w:hanging="567"/>
      </w:pPr>
      <w:r>
        <w:rPr>
          <w:rFonts w:ascii="Times New Roman" w:cs="Times New Roman" w:eastAsia="Times New Roman" w:hAnsi="Times New Roman"/>
          <w:b/>
          <w:bCs/>
          <w:sz w:val="21"/>
          <w:szCs w:val="21"/>
        </w:rPr>
        <w:t xml:space="preserve">	Siglas y abreviaturas	4</w:t>
      </w:r>
    </w:p>
    <w:p>
      <w:pPr>
        <w:tabs>
          <w:tab w:val="left" w:pos="567"/>
          <w:tab w:val="right" w:pos="9070" w:leader="dot"/>
        </w:tabs>
        <w:spacing w:after="40" w:before="100"/>
        <w:ind w:left="567" w:hanging="567"/>
      </w:pPr>
      <w:r>
        <w:rPr>
          <w:rFonts w:ascii="Times New Roman" w:cs="Times New Roman" w:eastAsia="Times New Roman" w:hAnsi="Times New Roman"/>
          <w:b/>
          <w:bCs/>
          <w:sz w:val="21"/>
          <w:szCs w:val="21"/>
        </w:rPr>
        <w:t xml:space="preserve">I.	Introducción, alcance y método	5</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A.	Objeto	5</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B.	Delimitación territorial	5</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C.	Fuentes y método	5</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D.	Limitaciones	5</w:t>
      </w:r>
    </w:p>
    <w:p>
      <w:pPr>
        <w:tabs>
          <w:tab w:val="left" w:pos="567"/>
          <w:tab w:val="right" w:pos="9070" w:leader="dot"/>
        </w:tabs>
        <w:spacing w:after="40" w:before="100"/>
        <w:ind w:left="567" w:hanging="567"/>
      </w:pPr>
      <w:r>
        <w:rPr>
          <w:rFonts w:ascii="Times New Roman" w:cs="Times New Roman" w:eastAsia="Times New Roman" w:hAnsi="Times New Roman"/>
          <w:b/>
          <w:bCs/>
          <w:sz w:val="21"/>
          <w:szCs w:val="21"/>
        </w:rPr>
        <w:t xml:space="preserve">II.	Eje 1. Violencia armada: actores, guerra y efectos	7</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A.	Mapa de actores armados	7</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B.	Cronología de la guerra, diciembre de 2024 a julio de 2026	11</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C.	La violencia en las cifras oficiales del primer semestre de 2026	12</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D.	Impacto humanitario	18</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E.	El giro de la política de seguridad desde agosto de 2026	20</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F.	Escenarios de riesgo, finales de 2026 a 2027	22</w:t>
      </w:r>
    </w:p>
    <w:p>
      <w:pPr>
        <w:tabs>
          <w:tab w:val="left" w:pos="567"/>
          <w:tab w:val="right" w:pos="9070" w:leader="dot"/>
        </w:tabs>
        <w:spacing w:after="40" w:before="100"/>
        <w:ind w:left="567" w:hanging="567"/>
      </w:pPr>
      <w:r>
        <w:rPr>
          <w:rFonts w:ascii="Times New Roman" w:cs="Times New Roman" w:eastAsia="Times New Roman" w:hAnsi="Times New Roman"/>
          <w:b/>
          <w:bCs/>
          <w:sz w:val="21"/>
          <w:szCs w:val="21"/>
        </w:rPr>
        <w:t xml:space="preserve">III.	Eje 2. Economía y prioridades del territorio	23</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A.	Perfil socioeconómico	23</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B.	Economías ilícitas	24</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C.	Economías legales	25</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D.	Tierra, territorio y ambiente	26</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E.	Infraestructura y conectividad	26</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F.	Políticas e inversiones en curso	27</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G.	Prioridades del territorio	28</w:t>
      </w:r>
    </w:p>
    <w:p>
      <w:pPr>
        <w:tabs>
          <w:tab w:val="left" w:pos="567"/>
          <w:tab w:val="right" w:pos="9070" w:leader="dot"/>
        </w:tabs>
        <w:spacing w:after="40" w:before="100"/>
        <w:ind w:left="567" w:hanging="567"/>
      </w:pPr>
      <w:r>
        <w:rPr>
          <w:rFonts w:ascii="Times New Roman" w:cs="Times New Roman" w:eastAsia="Times New Roman" w:hAnsi="Times New Roman"/>
          <w:b/>
          <w:bCs/>
          <w:sz w:val="21"/>
          <w:szCs w:val="21"/>
        </w:rPr>
        <w:t xml:space="preserve">IV.	Eje 3. Prioridades de la región ante el Plan Nacional de Desarrollo 2026–2030	30</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A.	El proceso del Plan y su calendario	30</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B.	Lo que se sabe del nuevo Plan y del enfoque del gobierno	31</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C.	Obligaciones jurídicas que el Plan no puede ignorar	33</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D.	Instrumentos territoriales que deben llegar al Plan	33</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E.	Lo que pide la región	34</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F.	Prioridades de la región para el Plan 2026–2030	34</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G.	Tensiones previsibles y oportunidades de incidencia	36</w:t>
      </w:r>
    </w:p>
    <w:p>
      <w:pPr>
        <w:tabs>
          <w:tab w:val="left" w:pos="567"/>
          <w:tab w:val="right" w:pos="9070" w:leader="dot"/>
        </w:tabs>
        <w:spacing w:after="40" w:before="100"/>
        <w:ind w:left="567" w:hanging="567"/>
      </w:pPr>
      <w:r>
        <w:rPr>
          <w:rFonts w:ascii="Times New Roman" w:cs="Times New Roman" w:eastAsia="Times New Roman" w:hAnsi="Times New Roman"/>
          <w:b/>
          <w:bCs/>
          <w:sz w:val="21"/>
          <w:szCs w:val="21"/>
        </w:rPr>
        <w:t xml:space="preserve">V.	Conclusiones y recomendaciones	38</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A.	Conclusiones	38</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B.	Recomendaciones	38</w:t>
      </w:r>
    </w:p>
    <w:p>
      <w:pPr>
        <w:tabs>
          <w:tab w:val="left" w:pos="567"/>
          <w:tab w:val="right" w:pos="9070" w:leader="dot"/>
        </w:tabs>
        <w:spacing w:after="40" w:before="100"/>
        <w:ind w:left="567" w:hanging="567"/>
      </w:pPr>
      <w:r>
        <w:rPr>
          <w:rFonts w:ascii="Times New Roman" w:cs="Times New Roman" w:eastAsia="Times New Roman" w:hAnsi="Times New Roman"/>
          <w:b/>
          <w:bCs/>
          <w:sz w:val="21"/>
          <w:szCs w:val="21"/>
        </w:rPr>
        <w:t xml:space="preserve">VI.	Capítulo aparte: diagrama de los documentos adjuntos	40</w:t>
      </w:r>
    </w:p>
    <w:p>
      <w:pPr>
        <w:tabs>
          <w:tab w:val="left" w:pos="567"/>
          <w:tab w:val="right" w:pos="9070" w:leader="dot"/>
        </w:tabs>
        <w:spacing w:after="40" w:before="100"/>
        <w:ind w:left="0"/>
      </w:pPr>
      <w:r>
        <w:rPr>
          <w:rFonts w:ascii="Times New Roman" w:cs="Times New Roman" w:eastAsia="Times New Roman" w:hAnsi="Times New Roman"/>
          <w:b/>
          <w:bCs/>
          <w:sz w:val="21"/>
          <w:szCs w:val="21"/>
        </w:rPr>
        <w:t xml:space="preserve">Anexo I. Cuadros estadísticos complementarios	41</w:t>
      </w:r>
    </w:p>
    <w:p>
      <w:pPr>
        <w:tabs>
          <w:tab w:val="left" w:pos="567"/>
          <w:tab w:val="right" w:pos="9070" w:leader="dot"/>
        </w:tabs>
        <w:spacing w:after="40" w:before="100"/>
        <w:ind w:left="0"/>
      </w:pPr>
      <w:r>
        <w:rPr>
          <w:rFonts w:ascii="Times New Roman" w:cs="Times New Roman" w:eastAsia="Times New Roman" w:hAnsi="Times New Roman"/>
          <w:b/>
          <w:bCs/>
          <w:sz w:val="21"/>
          <w:szCs w:val="21"/>
        </w:rPr>
        <w:t xml:space="preserve">Anexo II. Fuentes	43</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A.	Documentos oficiales recibidos (base empírica)	43</w:t>
      </w:r>
    </w:p>
    <w:p>
      <w:pPr>
        <w:tabs>
          <w:tab w:val="left" w:pos="1134"/>
          <w:tab w:val="right" w:pos="9070" w:leader="dot"/>
        </w:tabs>
        <w:spacing w:after="20" w:before="0"/>
        <w:ind w:left="1134" w:hanging="567"/>
      </w:pPr>
      <w:r>
        <w:rPr>
          <w:rFonts w:ascii="Times New Roman" w:cs="Times New Roman" w:eastAsia="Times New Roman" w:hAnsi="Times New Roman"/>
          <w:b w:val="false"/>
          <w:bCs w:val="false"/>
          <w:sz w:val="20"/>
          <w:szCs w:val="20"/>
        </w:rPr>
        <w:t xml:space="preserve">B.	Fuentes abiertas consultadas	43</w:t>
      </w:r>
    </w:p>
    <w:p>
      <w:r>
        <w:br w:type="page"/>
      </w:r>
    </w:p>
    <w:p>
      <w:pPr>
        <w:pStyle w:val="Heading1"/>
        <w:keepNext/>
        <w:tabs>
          <w:tab w:val="left" w:pos="1134"/>
        </w:tabs>
        <w:spacing w:after="240" w:before="120"/>
        <w:ind w:left="1134" w:hanging="1134"/>
      </w:pPr>
      <w:r>
        <w:rPr>
          <w:rFonts w:ascii="Times New Roman" w:cs="Times New Roman" w:eastAsia="Times New Roman" w:hAnsi="Times New Roman"/>
          <w:b/>
          <w:bCs/>
          <w:sz w:val="28"/>
          <w:szCs w:val="28"/>
        </w:rPr>
        <w:t xml:space="preserve">	Resumen</w:t>
      </w:r>
    </w:p>
    <w:p>
      <w:pPr>
        <w:pStyle w:val="ListParagraph"/>
        <w:numPr>
          <w:ilvl w:val="0"/>
          <w:numId w:val="2"/>
        </w:numPr>
        <w:spacing w:after="120" w:line="264"/>
        <w:jc w:val="both"/>
      </w:pPr>
      <w:r>
        <w:rPr>
          <w:rFonts w:ascii="Times New Roman" w:cs="Times New Roman" w:eastAsia="Times New Roman" w:hAnsi="Times New Roman"/>
        </w:rPr>
        <w:t xml:space="preserve">Este documento analiza la situación del Catatumbo (Norte de Santander) en octubre de 2026 en tres ejes: la violencia armada y sus actores, la economía y las prioridades del territorio, y las prioridades de la región ante el Plan Nacional de Desarrollo 2026–2030. Su base empírica son seis respuestas oficiales a derechos de petición presentados por la Corporación Red Departamental de Defensores de Derechos Humanos sobre el primer semestre de 2026, complementadas con fuentes abiertas verificadas.</w:t>
      </w:r>
    </w:p>
    <w:p>
      <w:pPr>
        <w:pStyle w:val="ListParagraph"/>
        <w:numPr>
          <w:ilvl w:val="0"/>
          <w:numId w:val="2"/>
        </w:numPr>
        <w:spacing w:after="120" w:line="264"/>
        <w:jc w:val="both"/>
      </w:pPr>
      <w:r>
        <w:rPr>
          <w:rFonts w:ascii="Times New Roman" w:cs="Times New Roman" w:eastAsia="Times New Roman" w:hAnsi="Times New Roman"/>
          <w:b/>
          <w:bCs/>
        </w:rPr>
        <w:t xml:space="preserve">Violencia.</w:t>
      </w:r>
      <w:r>
        <w:rPr>
          <w:rFonts w:ascii="Times New Roman" w:cs="Times New Roman" w:eastAsia="Times New Roman" w:hAnsi="Times New Roman"/>
        </w:rPr>
        <w:t xml:space="preserve"> Desde el 16 de enero de 2025 el ELN y el Frente 33 del EMBF libran una guerra por la hegemonía del Catatumbo, y desde agosto de 2026 el Estado combate a ambos sin canal de negociación. En el primer semestre de 2026 el Catatumbo concentró 108 de los 130 homicidios registrados por la Policía en el departamento fuera del área metropolitana (83 %); Tibú, con 52, tiene una tasa anualizada cercana a 148 por 100.000 habitantes, 5,6 veces la nacional. La Policía atribuye el 89 % de esos homicidios a grupos armados, y uno de cada cinco se cometió con drones o explosivos. Las 17 víctimas de minas antipersonal del departamento fueron civiles heridos en Tibú.</w:t>
      </w:r>
    </w:p>
    <w:p>
      <w:pPr>
        <w:pStyle w:val="ListParagraph"/>
        <w:numPr>
          <w:ilvl w:val="0"/>
          <w:numId w:val="2"/>
        </w:numPr>
        <w:spacing w:after="120" w:line="264"/>
        <w:jc w:val="both"/>
      </w:pPr>
      <w:r>
        <w:rPr>
          <w:rFonts w:ascii="Times New Roman" w:cs="Times New Roman" w:eastAsia="Times New Roman" w:hAnsi="Times New Roman"/>
          <w:b/>
          <w:bCs/>
        </w:rPr>
        <w:t xml:space="preserve">Tendencia.</w:t>
      </w:r>
      <w:r>
        <w:rPr>
          <w:rFonts w:ascii="Times New Roman" w:cs="Times New Roman" w:eastAsia="Times New Roman" w:hAnsi="Times New Roman"/>
        </w:rPr>
        <w:t xml:space="preserve"> Los homicidios cayeron 47 % frente al primer semestre de 2025, el de la ofensiva del ELN, pero siguen 2,7 veces por encima de 2024. La guerra cambió de forma: las muertes en combates entre grupos bajaron 78 % y los ataques de grupos armados subieron 129 %, mientras el terrorismo y el secuestro aumentaron. La crisis dejó más de 112.000 víctimas registradas por hechos de 2025 (incluidos dos municipios vecinos del Cesar), en su mayoría desplazados.</w:t>
      </w:r>
    </w:p>
    <w:p>
      <w:pPr>
        <w:pStyle w:val="ListParagraph"/>
        <w:numPr>
          <w:ilvl w:val="0"/>
          <w:numId w:val="2"/>
        </w:numPr>
        <w:spacing w:after="120" w:line="264"/>
        <w:jc w:val="both"/>
      </w:pPr>
      <w:r>
        <w:rPr>
          <w:rFonts w:ascii="Times New Roman" w:cs="Times New Roman" w:eastAsia="Times New Roman" w:hAnsi="Times New Roman"/>
          <w:b/>
          <w:bCs/>
        </w:rPr>
        <w:t xml:space="preserve">Economía.</w:t>
      </w:r>
      <w:r>
        <w:rPr>
          <w:rFonts w:ascii="Times New Roman" w:cs="Times New Roman" w:eastAsia="Times New Roman" w:hAnsi="Times New Roman"/>
        </w:rPr>
        <w:t xml:space="preserve"> El Catatumbo es la tercera región cocalera del país (48.739 hectáreas en 2024) y Tibú el segundo municipio con más coca. Las economías legales —petróleo y gas, palma, carbón, agricultura de la provincia de Ocaña— están cercadas por el hurto de crudo, la extorsión y el desplazamiento. La pobreza multidimensional rural superaba el 65 % en diez de los once municipios en el último censo (2018). Las prioridades del territorio son, en su orden, seguridad humana, atención humanitaria, una transición voluntaria de la coca, vías, tierra y bienes públicos básicos.</w:t>
      </w:r>
    </w:p>
    <w:p>
      <w:pPr>
        <w:pStyle w:val="ListParagraph"/>
        <w:numPr>
          <w:ilvl w:val="0"/>
          <w:numId w:val="2"/>
        </w:numPr>
        <w:spacing w:after="120" w:line="264"/>
        <w:jc w:val="both"/>
      </w:pPr>
      <w:r>
        <w:rPr>
          <w:rFonts w:ascii="Times New Roman" w:cs="Times New Roman" w:eastAsia="Times New Roman" w:hAnsi="Times New Roman"/>
          <w:b/>
          <w:bCs/>
        </w:rPr>
        <w:t xml:space="preserve">Plan Nacional de Desarrollo.</w:t>
      </w:r>
      <w:r>
        <w:rPr>
          <w:rFonts w:ascii="Times New Roman" w:cs="Times New Roman" w:eastAsia="Times New Roman" w:hAnsi="Times New Roman"/>
        </w:rPr>
        <w:t xml:space="preserve"> El gobierno debe entregar las bases del Plan al Consejo Nacional de Planeación a más tardar el 15 de noviembre de 2026 y radicarlo en el Congreso antes del 7 de febrero de 2027. Hasta ahora, sus comunicados sobre el Plan no mencionan los PDET, el Pacto Social por el Catatumbo ni la sustitución de cultivos. El Plan debe respetar un piso jurídico vigente (componente de paz, Acuerdo de Paz hasta 2030, PDET hasta 2037, Ley de Víctimas hasta 2031, sentencia T-052 de 2017). Se propone un artículo específico para el Catatumbo, con recursos en el Plan Plurianual y ocho indicadores con líneas de base tomadas de los documentos oficiales.</w:t>
      </w:r>
    </w:p>
    <w:p>
      <w:pPr>
        <w:pStyle w:val="ListParagraph"/>
        <w:numPr>
          <w:ilvl w:val="0"/>
          <w:numId w:val="2"/>
        </w:numPr>
        <w:spacing w:after="120" w:line="264"/>
        <w:jc w:val="both"/>
      </w:pPr>
      <w:r>
        <w:rPr>
          <w:rFonts w:ascii="Times New Roman" w:cs="Times New Roman" w:eastAsia="Times New Roman" w:hAnsi="Times New Roman"/>
          <w:b/>
          <w:bCs/>
        </w:rPr>
        <w:t xml:space="preserve">Documentos.</w:t>
      </w:r>
      <w:r>
        <w:rPr>
          <w:rFonts w:ascii="Times New Roman" w:cs="Times New Roman" w:eastAsia="Times New Roman" w:hAnsi="Times New Roman"/>
        </w:rPr>
        <w:t xml:space="preserve"> Solo las respuestas de la Policía traen cifras desagregadas; Medicina Legal no entregó cifras y AICMA aportó el registro de víctimas de minas. El contraste entre fuentes muestra subregistro de minas y de desaparición forzada, y la ausencia de atribución de los hechos a cada grupo armado. El capítulo VI presenta un diagrama de los seis documentos.</w:t>
      </w:r>
    </w:p>
    <w:p>
      <w:r>
        <w:br w:type="page"/>
      </w:r>
    </w:p>
    <w:p>
      <w:pPr>
        <w:pStyle w:val="Heading1"/>
        <w:keepNext/>
        <w:tabs>
          <w:tab w:val="left" w:pos="1134"/>
        </w:tabs>
        <w:spacing w:after="240" w:before="120"/>
        <w:ind w:left="1134" w:hanging="1134"/>
      </w:pPr>
      <w:r>
        <w:rPr>
          <w:rFonts w:ascii="Times New Roman" w:cs="Times New Roman" w:eastAsia="Times New Roman" w:hAnsi="Times New Roman"/>
          <w:b/>
          <w:bCs/>
          <w:sz w:val="28"/>
          <w:szCs w:val="28"/>
        </w:rPr>
        <w:t xml:space="preserve">	Siglas y abreviaturas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70"/>
      </w:tblGrid>
      <w:tr>
        <w:trPr>
          <w:cantSplit/>
          <w:tblHeader/>
        </w:trPr>
        <w:tc>
          <w:tcPr>
            <w:tcW w:type="dxa" w:w="20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9"/>
                <w:szCs w:val="19"/>
              </w:rPr>
              <w:t xml:space="preserve">Sigla</w:t>
            </w:r>
          </w:p>
        </w:tc>
        <w:tc>
          <w:tcPr>
            <w:tcW w:type="dxa" w:w="70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9"/>
                <w:szCs w:val="19"/>
              </w:rPr>
              <w:t xml:space="preserve">Significado</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AICMA</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Acción Integral contra Minas Antipersonal (grupo de la Consejería Comisionada de Paz)</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AMC</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Área Metropolitana de Cúcuta (Cúcuta, Villa del Rosario, Los Patios, El Zulia, San Cayetano y Puerto Santander)</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ART</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Agencia de Renovación del Territorio</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CNP</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Consejo Nacional de Planeación</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CONPES</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Consejo Nacional de Política Económica y Social</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CORPOREDDEH</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Corporación Red Departamental de Defensores de Derechos Humanos</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DENOR</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Departamento de Policía Norte de Santander</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DIH</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Derecho internacional humanitario</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DNP</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Departamento Nacional de Planeación</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ELN</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Ejército de Liberación Nacional</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EMBF</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Estado Mayor de Bloques y Frente (disidencia de las FARC-EP a la que pertenece el Frente 33)</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EOD</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Destrucción de artefactos explosivos (por su sigla en inglés)</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GAO / GAO-R</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Grupo armado organizado / grupo armado organizado residual (categorías policiales)</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INMLCF</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Instituto Nacional de Medicina Legal y Ciencias Forenses</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MAP / MUSE</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Minas antipersonal / municiones sin explosionar</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MECUC</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Policía Metropolitana de Cúcuta</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OCHA</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Oficina de Coordinación de Asuntos Humanitarios de las Naciones Unidas</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PATR</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Plan de Acción para la Transformación Regional</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PDET</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Programas de Desarrollo con Enfoque Territorial</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PND</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Plan Nacional de Desarrollo</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PNIS</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Programa Nacional Integral de Sustitución de Cultivos de Uso Ilícito</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SIEDCO</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Sistema de Información Estadístico, Delincuencial, Contravencional y Operativo de la Policía Nacional</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SIRDEC</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Sistema de Información Red de Desaparecidos y Cadáveres (Medicina Legal)</w:t>
            </w:r>
          </w:p>
        </w:tc>
      </w:tr>
      <w:tr>
        <w:trPr>
          <w:cantSplit/>
        </w:trPr>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UNODC / SIMCI</w:t>
            </w:r>
          </w:p>
        </w:tc>
        <w:tc>
          <w:tcPr>
            <w:tcW w:type="dxa" w:w="7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Oficina de las Naciones Unidas contra la Droga y el Delito / Sistema Integrado de Monitoreo de Cultivos Ilícitos</w:t>
            </w:r>
          </w:p>
        </w:tc>
      </w:tr>
      <w:tr>
        <w:trPr>
          <w:cantSplit/>
        </w:trPr>
        <w:tc>
          <w:tcPr>
            <w:tcW w:type="dxa" w:w="20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9"/>
                <w:szCs w:val="19"/>
              </w:rPr>
              <w:t xml:space="preserve">ZUT</w:t>
            </w:r>
          </w:p>
        </w:tc>
        <w:tc>
          <w:tcPr>
            <w:tcW w:type="dxa" w:w="70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9"/>
                <w:szCs w:val="19"/>
              </w:rPr>
              <w:t xml:space="preserve">Zona de Ubicación Temporal</w:t>
            </w:r>
          </w:p>
        </w:tc>
      </w:tr>
    </w:tbl>
    <w:p>
      <w:r>
        <w:br w:type="page"/>
      </w:r>
    </w:p>
    <w:p>
      <w:pPr>
        <w:pStyle w:val="Heading1"/>
        <w:keepNext/>
        <w:tabs>
          <w:tab w:val="left" w:pos="1134"/>
        </w:tabs>
        <w:spacing w:after="240" w:before="120"/>
        <w:ind w:left="1134" w:hanging="1134"/>
      </w:pPr>
      <w:r>
        <w:rPr>
          <w:rFonts w:ascii="Times New Roman" w:cs="Times New Roman" w:eastAsia="Times New Roman" w:hAnsi="Times New Roman"/>
          <w:b/>
          <w:bCs/>
          <w:sz w:val="28"/>
          <w:szCs w:val="28"/>
        </w:rPr>
        <w:t xml:space="preserve">I.	Introducción, alcance y método</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A.	Objeto</w:t>
      </w:r>
    </w:p>
    <w:p>
      <w:pPr>
        <w:pStyle w:val="ListParagraph"/>
        <w:numPr>
          <w:ilvl w:val="0"/>
          <w:numId w:val="2"/>
        </w:numPr>
        <w:spacing w:after="120" w:line="264"/>
        <w:jc w:val="both"/>
      </w:pPr>
      <w:r>
        <w:rPr>
          <w:rFonts w:ascii="Times New Roman" w:cs="Times New Roman" w:eastAsia="Times New Roman" w:hAnsi="Times New Roman"/>
        </w:rPr>
        <w:t xml:space="preserve">Este documento de estudio ofrece un análisis esquemático de la situación del Catatumbo en tres ejes: (1) la violencia armada, es decir, los grupos armados, la guerra y sus actores; (2) la economía y las prioridades del territorio; y (3) las prioridades de la región ante el próximo Plan Nacional de Desarrollo 2026–2030. Un capítulo aparte presenta un diagrama que explica los seis documentos oficiales que sirven de base empírica.</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B.	Delimitación territorial</w:t>
      </w:r>
    </w:p>
    <w:p>
      <w:pPr>
        <w:pStyle w:val="ListParagraph"/>
        <w:numPr>
          <w:ilvl w:val="0"/>
          <w:numId w:val="2"/>
        </w:numPr>
        <w:spacing w:after="120" w:line="264"/>
        <w:jc w:val="both"/>
      </w:pPr>
      <w:r>
        <w:rPr>
          <w:rFonts w:ascii="Times New Roman" w:cs="Times New Roman" w:eastAsia="Times New Roman" w:hAnsi="Times New Roman"/>
        </w:rPr>
        <w:t xml:space="preserve">Se entiende por Catatumbo la región de once municipios del norte y occidente de Norte de Santander: Tibú, El Tarra, Teorama, Convención, El Carmen, Hacarí, San Calixto y Sardinata, que forman la subregión PDET del Catatumbo, más Ábrego, La Playa y Ocaña, de la provincia de Ocaña. Cuando una cifra se refiere solo a los ocho municipios PDET, se indica expresamente. Algunas fuentes usan otras delimitaciones: la región Catatumbo del monitoreo de coca incluye una porción del Cesar; el balance de víctimas de la crisis incluye Río de Oro y González (Cesar); y la conmoción interior de 2025 abarcó también el área metropolitana de Cúcuta. Esas cifras no son directamente sumables con las de los 11 municipios.</w:t>
      </w:r>
    </w:p>
    <w:p>
      <w:pPr>
        <w:keepNext/>
        <w:spacing w:after="0" w:before="200"/>
      </w:pPr>
      <w:r>
        <w:rPr>
          <w:rFonts w:ascii="Times New Roman" w:cs="Times New Roman" w:eastAsia="Times New Roman" w:hAnsi="Times New Roman"/>
          <w:sz w:val="20"/>
          <w:szCs w:val="20"/>
        </w:rPr>
        <w:t xml:space="preserve">Cuadro 1</w:t>
      </w:r>
    </w:p>
    <w:p>
      <w:pPr>
        <w:keepNext/>
        <w:spacing w:after="100"/>
      </w:pPr>
      <w:r>
        <w:rPr>
          <w:rFonts w:ascii="Times New Roman" w:cs="Times New Roman" w:eastAsia="Times New Roman" w:hAnsi="Times New Roman"/>
          <w:b/>
          <w:bCs/>
          <w:sz w:val="20"/>
          <w:szCs w:val="20"/>
        </w:rPr>
        <w:t xml:space="preserve">Universos territoriales de las cifras usadas en este informe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070"/>
        <w:gridCol w:w="2000"/>
      </w:tblGrid>
      <w:tr>
        <w:trPr>
          <w:cantSplit/>
          <w:tblHeader/>
        </w:trPr>
        <w:tc>
          <w:tcPr>
            <w:tcW w:type="dxa" w:w="30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Universo</w:t>
            </w:r>
          </w:p>
        </w:tc>
        <w:tc>
          <w:tcPr>
            <w:tcW w:type="dxa" w:w="40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Municipios</w:t>
            </w:r>
          </w:p>
        </w:tc>
        <w:tc>
          <w:tcPr>
            <w:tcW w:type="dxa" w:w="20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Dónde se usa</w:t>
            </w:r>
          </w:p>
        </w:tc>
      </w:tr>
      <w:tr>
        <w:trPr>
          <w:cantSplit/>
        </w:trPr>
        <w:tc>
          <w:tcPr>
            <w:tcW w:type="dxa" w:w="3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Catatumbo (11 municipios)</w:t>
            </w:r>
          </w:p>
        </w:tc>
        <w:tc>
          <w:tcPr>
            <w:tcW w:type="dxa" w:w="4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Tibú, El Tarra, Teorama, Convención, El Carmen, Hacarí, San Calixto, Sardinata, Ábrego, La Playa y Ocaña</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Cifras de violencia y población</w:t>
            </w:r>
          </w:p>
        </w:tc>
      </w:tr>
      <w:tr>
        <w:trPr>
          <w:cantSplit/>
        </w:trPr>
        <w:tc>
          <w:tcPr>
            <w:tcW w:type="dxa" w:w="3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Subregión PDET (8 municipios)</w:t>
            </w:r>
          </w:p>
        </w:tc>
        <w:tc>
          <w:tcPr>
            <w:tcW w:type="dxa" w:w="4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Los mismos, sin Ábrego, La Playa ni Ocaña</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PDET, PATR, tasas PDET</w:t>
            </w:r>
          </w:p>
        </w:tc>
      </w:tr>
      <w:tr>
        <w:trPr>
          <w:cantSplit/>
        </w:trPr>
        <w:tc>
          <w:tcPr>
            <w:tcW w:type="dxa" w:w="3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Región SIMCI Catatumbo</w:t>
            </w:r>
          </w:p>
        </w:tc>
        <w:tc>
          <w:tcPr>
            <w:tcW w:type="dxa" w:w="4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Norte de Santander y una porción menor del Cesar</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Coca</w:t>
            </w:r>
          </w:p>
        </w:tc>
      </w:tr>
      <w:tr>
        <w:trPr>
          <w:cantSplit/>
        </w:trPr>
        <w:tc>
          <w:tcPr>
            <w:tcW w:type="dxa" w:w="3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Balance de víctimas de la crisis (UARIV)</w:t>
            </w:r>
          </w:p>
        </w:tc>
        <w:tc>
          <w:tcPr>
            <w:tcW w:type="dxa" w:w="4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Catatumbo más Río de Oro y González (Cesar)</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Desplazamiento 2025</w:t>
            </w:r>
          </w:p>
        </w:tc>
      </w:tr>
      <w:tr>
        <w:trPr>
          <w:cantSplit/>
        </w:trPr>
        <w:tc>
          <w:tcPr>
            <w:tcW w:type="dxa" w:w="3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Conmoción interior 2025 (Decreto 062)</w:t>
            </w:r>
          </w:p>
        </w:tc>
        <w:tc>
          <w:tcPr>
            <w:tcW w:type="dxa" w:w="4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Catatumbo, área metropolitana de Cúcuta, Río de Oro y González</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Contexto jurídico</w:t>
            </w:r>
          </w:p>
        </w:tc>
      </w:tr>
      <w:tr>
        <w:trPr>
          <w:cantSplit/>
        </w:trPr>
        <w:tc>
          <w:tcPr>
            <w:tcW w:type="dxa" w:w="30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7"/>
                <w:szCs w:val="17"/>
              </w:rPr>
              <w:t xml:space="preserve">Alerta temprana 006-26</w:t>
            </w:r>
          </w:p>
        </w:tc>
        <w:tc>
          <w:tcPr>
            <w:tcW w:type="dxa" w:w="40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Ocaña, Ábrego, Río de Oro y González</w:t>
            </w:r>
          </w:p>
        </w:tc>
        <w:tc>
          <w:tcPr>
            <w:tcW w:type="dxa" w:w="20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Riesgos en la provincia de Ocaña</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Elaboración propia.</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C.	Fuentes y método</w:t>
      </w:r>
    </w:p>
    <w:p>
      <w:pPr>
        <w:pStyle w:val="ListParagraph"/>
        <w:numPr>
          <w:ilvl w:val="0"/>
          <w:numId w:val="2"/>
        </w:numPr>
        <w:spacing w:after="120" w:line="264"/>
        <w:jc w:val="both"/>
      </w:pPr>
      <w:r>
        <w:rPr>
          <w:rFonts w:ascii="Times New Roman" w:cs="Times New Roman" w:eastAsia="Times New Roman" w:hAnsi="Times New Roman"/>
        </w:rPr>
        <w:t xml:space="preserve">La base empírica son seis documentos recibidos por CORPOREDDEH en septiembre de 2026 en respuesta a derechos de petición sobre el primer semestre de 2026: dos oficios de la Policía Nacional con sus anexos (Departamento de Policía Norte de Santander y Policía Metropolitana de Cúcuta), un oficio del Instituto Nacional de Medicina Legal y Ciencias Forenses y un oficio del Grupo AICMA de la Consejería Comisionada de Paz. El capítulo VI los describe en un diagrama.</w:t>
      </w:r>
    </w:p>
    <w:p>
      <w:pPr>
        <w:pStyle w:val="ListParagraph"/>
        <w:numPr>
          <w:ilvl w:val="0"/>
          <w:numId w:val="2"/>
        </w:numPr>
        <w:spacing w:after="120" w:line="264"/>
        <w:jc w:val="both"/>
      </w:pPr>
      <w:r>
        <w:rPr>
          <w:rFonts w:ascii="Times New Roman" w:cs="Times New Roman" w:eastAsia="Times New Roman" w:hAnsi="Times New Roman"/>
        </w:rPr>
        <w:t xml:space="preserve">Los 636 registros individuales del anexo de la Policía departamental se procesaron uno por uno para obtener las cifras por municipio, mes, modalidad y medio. Los totales calculados coinciden con los del oficio. Para los ejes de contexto, economía y planeación se consultaron fuentes abiertas (entidades públicas, sistema de Naciones Unidas, centros de investigación y prensa). Cada afirmación fáctica fue sometida a una verificación independiente; lo que no pudo confirmarse se señala como «sin confirmar».</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D.	Limitaciones</w:t>
      </w:r>
    </w:p>
    <w:p>
      <w:pPr>
        <w:pStyle w:val="ListParagraph"/>
        <w:numPr>
          <w:ilvl w:val="0"/>
          <w:numId w:val="3"/>
        </w:numPr>
        <w:spacing w:after="80" w:line="252"/>
        <w:jc w:val="both"/>
      </w:pPr>
      <w:r>
        <w:rPr>
          <w:rFonts w:ascii="Times New Roman" w:cs="Times New Roman" w:eastAsia="Times New Roman" w:hAnsi="Times New Roman"/>
        </w:rPr>
        <w:t xml:space="preserve">Las cifras de 2026 son preliminares: la Policía advierte que están «sujetas a variación» y en integración con la Fiscalía, y Medicina Legal señala que sus datos de 2026 pueden cambiar.</w:t>
      </w:r>
    </w:p>
    <w:p>
      <w:pPr>
        <w:pStyle w:val="ListParagraph"/>
        <w:numPr>
          <w:ilvl w:val="0"/>
          <w:numId w:val="3"/>
        </w:numPr>
        <w:spacing w:after="80" w:line="252"/>
        <w:jc w:val="both"/>
      </w:pPr>
      <w:r>
        <w:rPr>
          <w:rFonts w:ascii="Times New Roman" w:cs="Times New Roman" w:eastAsia="Times New Roman" w:hAnsi="Times New Roman"/>
        </w:rPr>
        <w:t xml:space="preserve">La Policía registra delitos según el Código Penal; Medicina Legal clasifica muertes según la práctica forense. Las dos fuentes no son equivalentes y no se suman.</w:t>
      </w:r>
    </w:p>
    <w:p>
      <w:pPr>
        <w:pStyle w:val="ListParagraph"/>
        <w:numPr>
          <w:ilvl w:val="0"/>
          <w:numId w:val="3"/>
        </w:numPr>
        <w:spacing w:after="80" w:line="252"/>
        <w:jc w:val="both"/>
      </w:pPr>
      <w:r>
        <w:rPr>
          <w:rFonts w:ascii="Times New Roman" w:cs="Times New Roman" w:eastAsia="Times New Roman" w:hAnsi="Times New Roman"/>
        </w:rPr>
        <w:t xml:space="preserve">Ningún documento atribuye los hechos a un grupo armado específico. La atribución se toma de fuentes secundarias y se indica cuando es incierta.</w:t>
      </w:r>
    </w:p>
    <w:p>
      <w:pPr>
        <w:pStyle w:val="ListParagraph"/>
        <w:numPr>
          <w:ilvl w:val="0"/>
          <w:numId w:val="3"/>
        </w:numPr>
        <w:spacing w:after="80" w:line="252"/>
        <w:jc w:val="both"/>
      </w:pPr>
      <w:r>
        <w:rPr>
          <w:rFonts w:ascii="Times New Roman" w:cs="Times New Roman" w:eastAsia="Times New Roman" w:hAnsi="Times New Roman"/>
        </w:rPr>
        <w:t xml:space="preserve">Las peticiones no incluyeron desplazamiento, confinamiento, reclutamiento ni agresiones a personas defensoras, que se abordan con fuentes abiertas.</w:t>
      </w:r>
    </w:p>
    <w:p>
      <w:r>
        <w:br w:type="page"/>
      </w:r>
    </w:p>
    <w:p>
      <w:pPr>
        <w:pStyle w:val="Heading1"/>
        <w:keepNext/>
        <w:tabs>
          <w:tab w:val="left" w:pos="1134"/>
        </w:tabs>
        <w:spacing w:after="240" w:before="120"/>
        <w:ind w:left="1134" w:hanging="1134"/>
      </w:pPr>
      <w:r>
        <w:rPr>
          <w:rFonts w:ascii="Times New Roman" w:cs="Times New Roman" w:eastAsia="Times New Roman" w:hAnsi="Times New Roman"/>
          <w:b/>
          <w:bCs/>
          <w:sz w:val="28"/>
          <w:szCs w:val="28"/>
        </w:rPr>
        <w:t xml:space="preserve">II.	Eje 1. Violencia armada: actores, guerra y efectos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40"/>
              <w:left w:type="dxa" w:w="200"/>
              <w:bottom w:type="dxa" w:w="120"/>
              <w:right w:type="dxa" w:w="200"/>
            </w:tcMar>
          </w:tcPr>
          <w:p>
            <w:pPr>
              <w:keepNext/>
              <w:spacing w:after="100"/>
            </w:pPr>
            <w:r>
              <w:rPr>
                <w:rFonts w:ascii="Times New Roman" w:cs="Times New Roman" w:eastAsia="Times New Roman" w:hAnsi="Times New Roman"/>
                <w:b/>
                <w:bCs/>
                <w:sz w:val="21"/>
                <w:szCs w:val="21"/>
              </w:rPr>
              <w:t xml:space="preserve">Mensajes clave del eje 1</w:t>
            </w:r>
          </w:p>
          <w:p>
            <w:pPr>
              <w:pStyle w:val="ListParagraph"/>
              <w:numPr>
                <w:ilvl w:val="0"/>
                <w:numId w:val="4"/>
              </w:numPr>
              <w:spacing w:after="60" w:line="252"/>
              <w:jc w:val="both"/>
            </w:pPr>
            <w:r>
              <w:rPr>
                <w:rFonts w:ascii="Times New Roman" w:cs="Times New Roman" w:eastAsia="Times New Roman" w:hAnsi="Times New Roman"/>
                <w:sz w:val="20"/>
                <w:szCs w:val="20"/>
              </w:rPr>
              <w:t xml:space="preserve">Desde el 16 de enero de 2025, el ELN y el Frente 33 de la disidencia del Estado Mayor de Bloques y Frente (EMBF) libran una guerra por la hegemonía del Catatumbo. En el primer semestre de 2026 las muertes en combates entre grupos se concentraron en Tibú, El Tarra y Convención; en octubre los combates llegaron a Sardinata.</w:t>
            </w:r>
          </w:p>
          <w:p>
            <w:pPr>
              <w:pStyle w:val="ListParagraph"/>
              <w:numPr>
                <w:ilvl w:val="0"/>
                <w:numId w:val="4"/>
              </w:numPr>
              <w:spacing w:after="60" w:line="252"/>
              <w:jc w:val="both"/>
            </w:pPr>
            <w:r>
              <w:rPr>
                <w:rFonts w:ascii="Times New Roman" w:cs="Times New Roman" w:eastAsia="Times New Roman" w:hAnsi="Times New Roman"/>
                <w:sz w:val="20"/>
                <w:szCs w:val="20"/>
              </w:rPr>
              <w:t xml:space="preserve">Desde el 7 de agosto de 2026, el Estado abandonó la negociación y actúa como un tercer combatiente: cerró las mesas de la «paz total» y bombardea a los dos grupos. El ELN respondió con atentados en el área metropolitana de Cúcuta, ataques con drones en Ocaña y el secuestro de policías.</w:t>
            </w:r>
          </w:p>
          <w:p>
            <w:pPr>
              <w:pStyle w:val="ListParagraph"/>
              <w:numPr>
                <w:ilvl w:val="0"/>
                <w:numId w:val="4"/>
              </w:numPr>
              <w:spacing w:after="60" w:line="252"/>
              <w:jc w:val="both"/>
            </w:pPr>
            <w:r>
              <w:rPr>
                <w:rFonts w:ascii="Times New Roman" w:cs="Times New Roman" w:eastAsia="Times New Roman" w:hAnsi="Times New Roman"/>
                <w:sz w:val="20"/>
                <w:szCs w:val="20"/>
              </w:rPr>
              <w:t xml:space="preserve">Según la propia Policía, el 89 % de los homicidios del Catatumbo en el primer semestre de 2026 fueron obra de grupos armados, y el 20 % se cometió con drones o explosivos.</w:t>
            </w:r>
          </w:p>
          <w:p>
            <w:pPr>
              <w:pStyle w:val="ListParagraph"/>
              <w:numPr>
                <w:ilvl w:val="0"/>
                <w:numId w:val="4"/>
              </w:numPr>
              <w:spacing w:after="60" w:line="252"/>
              <w:jc w:val="both"/>
            </w:pPr>
            <w:r>
              <w:rPr>
                <w:rFonts w:ascii="Times New Roman" w:cs="Times New Roman" w:eastAsia="Times New Roman" w:hAnsi="Times New Roman"/>
                <w:sz w:val="20"/>
                <w:szCs w:val="20"/>
              </w:rPr>
              <w:t xml:space="preserve">La crisis dejó más de 112.000 víctimas registradas por hechos de 2025 en el Catatumbo y dos municipios vecinos del Cesar, sobre todo por desplazamiento. En 2026, Norte de Santander sigue entre los departamentos con más desplazamiento masivo y es el segundo en reclutamiento de menores.</w:t>
            </w:r>
          </w:p>
        </w:tc>
      </w:tr>
    </w:tbl>
    <w:p>
      <w:pPr>
        <w:spacing w:after="160"/>
      </w:pP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A.	Mapa de actores armados</w:t>
      </w:r>
    </w:p>
    <w:p>
      <w:pPr>
        <w:pStyle w:val="ListParagraph"/>
        <w:numPr>
          <w:ilvl w:val="0"/>
          <w:numId w:val="2"/>
        </w:numPr>
        <w:spacing w:after="120" w:line="264"/>
        <w:jc w:val="both"/>
      </w:pPr>
      <w:r>
        <w:rPr>
          <w:rFonts w:ascii="Times New Roman" w:cs="Times New Roman" w:eastAsia="Times New Roman" w:hAnsi="Times New Roman"/>
        </w:rPr>
        <w:t xml:space="preserve">En el Catatumbo actúan dos grandes estructuras armadas en guerra entre sí, una constelación de grupos menores y estructuras urbanas en el área metropolitana, y la Fuerza Pública, que desde agosto de 2026 combate a ambos bandos sin canal de negociación. Los dos cuadros siguientes resumen sus rasgos y sus relaciones.</w:t>
      </w:r>
    </w:p>
    <w:p>
      <w:pPr>
        <w:keepNext/>
        <w:spacing w:after="0" w:before="200"/>
      </w:pPr>
      <w:r>
        <w:rPr>
          <w:rFonts w:ascii="Times New Roman" w:cs="Times New Roman" w:eastAsia="Times New Roman" w:hAnsi="Times New Roman"/>
          <w:sz w:val="20"/>
          <w:szCs w:val="20"/>
        </w:rPr>
        <w:t xml:space="preserve">Cuadro 2</w:t>
      </w:r>
    </w:p>
    <w:p>
      <w:pPr>
        <w:keepNext/>
        <w:spacing w:after="100"/>
      </w:pPr>
      <w:r>
        <w:rPr>
          <w:rFonts w:ascii="Times New Roman" w:cs="Times New Roman" w:eastAsia="Times New Roman" w:hAnsi="Times New Roman"/>
          <w:b/>
          <w:bCs/>
          <w:sz w:val="20"/>
          <w:szCs w:val="20"/>
        </w:rPr>
        <w:t xml:space="preserve">Actores armados ilegales con presencia en el Catatumbo y su entorno, octubre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100"/>
        <w:gridCol w:w="1650"/>
        <w:gridCol w:w="1350"/>
        <w:gridCol w:w="1000"/>
        <w:gridCol w:w="1470"/>
      </w:tblGrid>
      <w:tr>
        <w:trPr>
          <w:cantSplit/>
          <w:tblHeader/>
        </w:trPr>
        <w:tc>
          <w:tcPr>
            <w:tcW w:type="dxa" w:w="1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6"/>
                <w:szCs w:val="16"/>
              </w:rPr>
              <w:t xml:space="preserve">Actor</w:t>
            </w:r>
          </w:p>
        </w:tc>
        <w:tc>
          <w:tcPr>
            <w:tcW w:type="dxa" w:w="21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6"/>
                <w:szCs w:val="16"/>
              </w:rPr>
              <w:t xml:space="preserve">Mandos y estructuras</w:t>
            </w:r>
          </w:p>
        </w:tc>
        <w:tc>
          <w:tcPr>
            <w:tcW w:type="dxa" w:w="16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6"/>
                <w:szCs w:val="16"/>
              </w:rPr>
              <w:t xml:space="preserve">Zonas</w:t>
            </w:r>
          </w:p>
        </w:tc>
        <w:tc>
          <w:tcPr>
            <w:tcW w:type="dxa" w:w="13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6"/>
                <w:szCs w:val="16"/>
              </w:rPr>
              <w:t xml:space="preserve">Economías</w:t>
            </w:r>
          </w:p>
        </w:tc>
        <w:tc>
          <w:tcPr>
            <w:tcW w:type="dxa" w:w="10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6"/>
                <w:szCs w:val="16"/>
              </w:rPr>
              <w:t xml:space="preserve">Fuerza estimada</w:t>
            </w:r>
          </w:p>
        </w:tc>
        <w:tc>
          <w:tcPr>
            <w:tcW w:type="dxa" w:w="14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6"/>
                <w:szCs w:val="16"/>
              </w:rPr>
              <w:t xml:space="preserve">Postura ante la negociación</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ELN – Frente de Guerra Nororiental</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Mando nacional: «Antonio García» (Comando Central). Comandante del frente: Silvana Guerrero; mando histórico: «Alfred». Estructuras: frente urbano Carlos Germán Velasco Villamizar (Cúcuta, Villa del Rosario, Los Patios), frente Reinaldo Ardila Gómez (Cúcuta rural, Puerto Santander, El Zulia), frente Camilo Torres Restrepo (señalado en Ábrego), frente Juan Fernando Porras y compañía Luis Enrique León Guerra (escolta del Comando Central)</w:t>
            </w:r>
          </w:p>
        </w:tc>
        <w:tc>
          <w:tcPr>
            <w:tcW w:type="dxa" w:w="16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Los 11 municipios, el área metropolitana y retaguardia en Zulia y Táchira (Venezuela)</w:t>
            </w:r>
          </w:p>
        </w:tc>
        <w:tc>
          <w:tcPr>
            <w:tcW w:type="dxa" w:w="1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Regulación de la coca, pasos fronterizos, combustible, extorsión y secuestro</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Algo más de 2.000 en el frente; unos 1.000 en Norte de Santander</w:t>
            </w:r>
          </w:p>
        </w:tc>
        <w:tc>
          <w:tcPr>
            <w:tcW w:type="dxa" w:w="1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Diálogos suspendidos el 17 ene 2025; delegación del Gobierno revocada (Resolución 391 del 9 sep 2026)</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Frente 33 (EMBF, alias «Calarcá»)</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Mando nacional del EMBF: «Calarcá» (Alexander Díaz Mendoza). Mandos del frente: «Jhon Mechas», «Andrey Avendaño» y «Richard» (finanzas)</w:t>
            </w:r>
          </w:p>
        </w:tc>
        <w:tc>
          <w:tcPr>
            <w:tcW w:type="dxa" w:w="16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Perdió cerca del 90 % de su territorio en 2025; la confrontación se concentra en Tibú y El Tarra; avanza hacia El Zulia y Cúcuta (según Pares)</w:t>
            </w:r>
          </w:p>
        </w:tc>
        <w:tc>
          <w:tcPr>
            <w:tcW w:type="dxa" w:w="1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Laboratorios, extorsión, corredores fronterizos</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Unos 500 a 600</w:t>
            </w:r>
          </w:p>
        </w:tc>
        <w:tc>
          <w:tcPr>
            <w:tcW w:type="dxa" w:w="1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La Zona de Ubicación Temporal de Tibú «sigue sin concretarse» (FIP, enero de 2026); mesa cerrada en agosto de 2026; mandos declarados objetivo militar</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EPL residual («Los Pelusos»)</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Remanente del EPL</w:t>
            </w:r>
          </w:p>
        </w:tc>
        <w:tc>
          <w:tcPr>
            <w:tcW w:type="dxa" w:w="16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Provincia de Ocaña</w:t>
            </w:r>
          </w:p>
        </w:tc>
        <w:tc>
          <w:tcPr>
            <w:tcW w:type="dxa" w:w="1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Narcotráfico</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Sin dato</w:t>
            </w:r>
          </w:p>
        </w:tc>
        <w:tc>
          <w:tcPr>
            <w:tcW w:type="dxa" w:w="1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Posible alianza con el Frente 33 (Defensoría)</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ACSN y EGC (Clan del Golfo)</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Autodefensas Conquistadoras de la Sierra Nevada; Ejército Gaitanista de Colombia (mando nacional: «Chiquito Malo»)</w:t>
            </w:r>
          </w:p>
        </w:tc>
        <w:tc>
          <w:tcPr>
            <w:tcW w:type="dxa" w:w="16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Cáchira y La Esperanza (ACSN), tras el repliegue del EGC; presencia de ambos en Ocaña y Río de Oro (Cesar)</w:t>
            </w:r>
          </w:p>
        </w:tc>
        <w:tc>
          <w:tcPr>
            <w:tcW w:type="dxa" w:w="1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Rutas y extorsión</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Sin dato</w:t>
            </w:r>
          </w:p>
        </w:tc>
        <w:tc>
          <w:tcPr>
            <w:tcW w:type="dxa" w:w="1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Espacio de diálogo de las ACSN cerrado el 28 ago 2026</w:t>
            </w:r>
          </w:p>
        </w:tc>
      </w:tr>
      <w:tr>
        <w:trPr>
          <w:cantSplit/>
        </w:trPr>
        <w:tc>
          <w:tcPr>
            <w:tcW w:type="dxa" w:w="1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Estructuras urbanas del área metropolitana</w:t>
            </w:r>
          </w:p>
        </w:tc>
        <w:tc>
          <w:tcPr>
            <w:tcW w:type="dxa" w:w="21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Cerca de 20 estructuras; cuatro transnacionales: Tren de Aragua, AK-47, Autodefensas Unidas Colombo Venezolanas y La Línea</w:t>
            </w:r>
          </w:p>
        </w:tc>
        <w:tc>
          <w:tcPr>
            <w:tcW w:type="dxa" w:w="16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Cúcuta, Villa del Rosario, El Zulia</w:t>
            </w:r>
          </w:p>
        </w:tc>
        <w:tc>
          <w:tcPr>
            <w:tcW w:type="dxa" w:w="13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Microtráfico, extorsión, trochas, trata</w:t>
            </w:r>
          </w:p>
        </w:tc>
        <w:tc>
          <w:tcPr>
            <w:tcW w:type="dxa" w:w="10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Sin dato</w:t>
            </w:r>
          </w:p>
        </w:tc>
        <w:tc>
          <w:tcPr>
            <w:tcW w:type="dxa" w:w="14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Operan como brazos urbanos del ELN o del Frente 33</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Fundación Ideas para la Paz (16 de enero de 2026); Semana (17 de octubre de 2026); Pares; Defensoría del Pueblo (alerta temprana 006-26 y alerta de marzo de 2026 sobre las ACSN, vía Asuntos Legales); El Tiempo (8 de julio y 9 de junio de 2026); Infobae (12 y 23 de mayo, 12 de agosto, 11 de septiembre y 12 de octubre de 2026); El Colombiano.</w:t>
      </w:r>
    </w:p>
    <w:p>
      <w:pPr>
        <w:keepNext/>
        <w:spacing w:after="0" w:before="200"/>
      </w:pPr>
      <w:r>
        <w:rPr>
          <w:rFonts w:ascii="Times New Roman" w:cs="Times New Roman" w:eastAsia="Times New Roman" w:hAnsi="Times New Roman"/>
          <w:sz w:val="20"/>
          <w:szCs w:val="20"/>
        </w:rPr>
        <w:t xml:space="preserve">Cuadro 3</w:t>
      </w:r>
    </w:p>
    <w:p>
      <w:pPr>
        <w:keepNext/>
        <w:spacing w:after="100"/>
      </w:pPr>
      <w:r>
        <w:rPr>
          <w:rFonts w:ascii="Times New Roman" w:cs="Times New Roman" w:eastAsia="Times New Roman" w:hAnsi="Times New Roman"/>
          <w:b/>
          <w:bCs/>
          <w:sz w:val="20"/>
          <w:szCs w:val="20"/>
        </w:rPr>
        <w:t xml:space="preserve">Relaciones entre los actores del conflicto en el Catatumbo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700"/>
        <w:gridCol w:w="5070"/>
      </w:tblGrid>
      <w:tr>
        <w:trPr>
          <w:cantSplit/>
          <w:tblHeader/>
        </w:trPr>
        <w:tc>
          <w:tcPr>
            <w:tcW w:type="dxa" w:w="2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Relación</w:t>
            </w:r>
          </w:p>
        </w:tc>
        <w:tc>
          <w:tcPr>
            <w:tcW w:type="dxa" w:w="17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Tipo</w:t>
            </w:r>
          </w:p>
        </w:tc>
        <w:tc>
          <w:tcPr>
            <w:tcW w:type="dxa" w:w="50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Evidencia</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ELN ↔ Frente 33</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Guerra abierta</w:t>
            </w:r>
          </w:p>
        </w:tc>
        <w:tc>
          <w:tcPr>
            <w:tcW w:type="dxa" w:w="5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Ofensiva del ELN desde el 16 ene 2025; 25 muertes en combates entre grupos en el primer semestre de 2026, todas en Tibú, El Tarra y Convención; combates del 17 oct 2026 en Tibú y Sardinata</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Estado ↔ ELN</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Confrontación</w:t>
            </w:r>
          </w:p>
        </w:tc>
        <w:tc>
          <w:tcPr>
            <w:tcW w:type="dxa" w:w="5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Operaciones y bombardeos en febrero, abril y mayo de 2026 (gobierno Petro) y el 11 ago 2026 (gobierno De la Espriella); camión bomba en Cúcuta (1 ago) y carro bomba en Los Patios (31 ago); secuestro de policías (17 ago); drones contra Ocaña (4 sep)</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Estado ↔ Frente 33</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De la negociación a la confrontación</w:t>
            </w:r>
          </w:p>
        </w:tc>
        <w:tc>
          <w:tcPr>
            <w:tcW w:type="dxa" w:w="5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Zona de Ubicación Temporal en Tibú (mayo de 2025, prorrogada en diciembre); mesa cerrada en agosto de 2026; bombardeo del 10–11 oct 2026; órdenes de captura reactivadas</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Frente 33 ↔ Los Pelusos y Los Turcos</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Posible alianza</w:t>
            </w:r>
          </w:p>
        </w:tc>
        <w:tc>
          <w:tcPr>
            <w:tcW w:type="dxa" w:w="5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Advertida por la Defensoría (alerta temprana 006-26) y por Pares</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ELN ↔ ACSN y EGC</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Riesgo de choque</w:t>
            </w:r>
          </w:p>
        </w:tc>
        <w:tc>
          <w:tcPr>
            <w:tcW w:type="dxa" w:w="5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Expansión de las ACSN en el sur del departamento (Defensoría, marzo de 2026)</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Grupos rurales ↔ estructuras urbanas</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Subordinación o alianza</w:t>
            </w:r>
          </w:p>
        </w:tc>
        <w:tc>
          <w:tcPr>
            <w:tcW w:type="dxa" w:w="5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Bandas del área metropolitana funcionan como brazos urbanos para extorsión y control de trochas</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ELN ↔ Venezuela</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Retaguardia</w:t>
            </w:r>
          </w:p>
        </w:tc>
        <w:tc>
          <w:tcPr>
            <w:tcW w:type="dxa" w:w="5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Campamentos cerca de poblados del Zulia; al menos 93 pistas irregulares en Venezuela, no todas atribuidas al ELN (octubre de 2026, en verificación); bombardeo de mayo de 2026 con acuerdo del gobierno de Delcy Rodríguez</w:t>
            </w:r>
          </w:p>
        </w:tc>
      </w:tr>
      <w:tr>
        <w:trPr>
          <w:cantSplit/>
        </w:trPr>
        <w:tc>
          <w:tcPr>
            <w:tcW w:type="dxa" w:w="2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7"/>
                <w:szCs w:val="17"/>
              </w:rPr>
              <w:t xml:space="preserve">Todos ↔ población civil</w:t>
            </w:r>
          </w:p>
        </w:tc>
        <w:tc>
          <w:tcPr>
            <w:tcW w:type="dxa" w:w="17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Victimización</w:t>
            </w:r>
          </w:p>
        </w:tc>
        <w:tc>
          <w:tcPr>
            <w:tcW w:type="dxa" w:w="50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Desplazamiento, confinamiento, reclutamiento de menores, minas, drones, extorsión, homicidios de líderes y firmantes</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Elaboración propia con base en el documento [2], Defensoría del Pueblo, FIP, Pares e Infobae (12 de mayo, 1 de octubre y 18 de octubre de 2026).</w:t>
      </w:r>
    </w:p>
    <w:p>
      <w:pPr>
        <w:pStyle w:val="ListParagraph"/>
        <w:numPr>
          <w:ilvl w:val="0"/>
          <w:numId w:val="2"/>
        </w:numPr>
        <w:spacing w:after="120" w:line="264"/>
        <w:jc w:val="both"/>
      </w:pPr>
      <w:r>
        <w:rPr>
          <w:rFonts w:ascii="Times New Roman" w:cs="Times New Roman" w:eastAsia="Times New Roman" w:hAnsi="Times New Roman"/>
        </w:rPr>
        <w:t xml:space="preserve">El 3 de enero de 2026, fuerzas de Estados Unidos atacaron Venezuela y capturaron a Nicolás Maduro; Delcy Rodríguez gobierna desde entonces como presidenta encargada. El ELN había empezado a regresar al Catatumbo desde finales de diciembre de 2025, y Colombia desplegó 11.000 militares en la frontera. La caída de Maduro erosionó, sin eliminarla, la retaguardia venezolana del ELN: en mayo de 2026 el gobierno Petro bombardeó al ELN con la anuencia del gobierno de Rodríguez, y en octubre la prensa reportó al menos 93 pistas irregulares en Venezuela, no todas atribuidas al ELN y aún en verificación por las autoridades. La relación diplomática sigue activa: el embajador venezolano asistió al encuentro de la frontera celebrado en Cúcuta en octubre de 2026</w:t>
      </w:r>
      <w:r>
        <w:rPr>
          <w:rStyle w:val="FootnoteReference"/>
        </w:rPr>
        <w:footnoteReference w:id="1"/>
      </w:r>
      <w:r>
        <w:rPr>
          <w:rFonts w:ascii="Times New Roman" w:cs="Times New Roman" w:eastAsia="Times New Roman" w:hAnsi="Times New Roman"/>
        </w:rPr>
        <w:t xml:space="preserve">.</w:t>
      </w:r>
    </w:p>
    <w:p>
      <w:pPr>
        <w:pStyle w:val="Heading3"/>
        <w:keepNext/>
        <w:spacing w:after="80" w:before="160"/>
        <w:ind w:left="1134"/>
      </w:pPr>
      <w:r>
        <w:rPr>
          <w:rFonts w:ascii="Times New Roman" w:cs="Times New Roman" w:eastAsia="Times New Roman" w:hAnsi="Times New Roman"/>
          <w:b/>
          <w:bCs/>
          <w:i/>
          <w:iCs/>
          <w:sz w:val="22"/>
          <w:szCs w:val="22"/>
        </w:rPr>
        <w:t xml:space="preserve">El Estado como actor armado</w:t>
      </w:r>
    </w:p>
    <w:p>
      <w:pPr>
        <w:pStyle w:val="ListParagraph"/>
        <w:numPr>
          <w:ilvl w:val="0"/>
          <w:numId w:val="2"/>
        </w:numPr>
        <w:spacing w:after="120" w:line="264"/>
        <w:jc w:val="both"/>
      </w:pPr>
      <w:r>
        <w:rPr>
          <w:rFonts w:ascii="Times New Roman" w:cs="Times New Roman" w:eastAsia="Times New Roman" w:hAnsi="Times New Roman"/>
        </w:rPr>
        <w:t xml:space="preserve">La Fuerza Pública es el tercer actor de la guerra. En enero de 2026 el Gobierno anunció 11.000 militares «en esa área del Catatumbo»; en el bombardeo del 4 de febrero participó la Fuerza de Tarea Vulcano con apoyo aéreo, y en la operación de octubre contra el Frente 33, el Comando Conjunto de Operaciones Especiales. El costo para los uniformados creció: en el Catatumbo, 41 miembros de la Fuerza Pública resultaron heridos y 7 fueron asesinados en el primer semestre de 2026 (27 y 8 en el de 2025), y en julio y agosto otros 16 resultaron heridos y 3 murieron, sin contar los tres militares muertos en Ocaña el 4 de septiembre</w:t>
      </w:r>
      <w:r>
        <w:rPr>
          <w:rStyle w:val="FootnoteReference"/>
        </w:rPr>
        <w:footnoteReference w:id="2"/>
      </w:r>
      <w:r>
        <w:rPr>
          <w:rFonts w:ascii="Times New Roman" w:cs="Times New Roman" w:eastAsia="Times New Roman" w:hAnsi="Times New Roman"/>
        </w:rPr>
        <w:t xml:space="preserve">.</w:t>
      </w:r>
    </w:p>
    <w:p>
      <w:pPr>
        <w:pStyle w:val="Heading3"/>
        <w:keepNext/>
        <w:spacing w:after="80" w:before="160"/>
        <w:ind w:left="1134"/>
      </w:pPr>
      <w:r>
        <w:rPr>
          <w:rFonts w:ascii="Times New Roman" w:cs="Times New Roman" w:eastAsia="Times New Roman" w:hAnsi="Times New Roman"/>
          <w:b/>
          <w:bCs/>
          <w:i/>
          <w:iCs/>
          <w:sz w:val="22"/>
          <w:szCs w:val="22"/>
        </w:rPr>
        <w:t xml:space="preserve">Actores sociales y étnicos</w:t>
      </w:r>
    </w:p>
    <w:p>
      <w:pPr>
        <w:pStyle w:val="ListParagraph"/>
        <w:numPr>
          <w:ilvl w:val="0"/>
          <w:numId w:val="2"/>
        </w:numPr>
        <w:spacing w:after="120" w:line="264"/>
        <w:jc w:val="both"/>
      </w:pPr>
      <w:r>
        <w:rPr>
          <w:rFonts w:ascii="Times New Roman" w:cs="Times New Roman" w:eastAsia="Times New Roman" w:hAnsi="Times New Roman"/>
        </w:rPr>
        <w:t xml:space="preserve">Las organizaciones del territorio negociaron el Pacto Social y las zonas de reserva campesina, son el canal de participación en el Plan Nacional de Desarrollo y, al mismo tiempo, figuran entre las principales víctimas. En 2026, ASUNCAT, titular de la Zona de Reserva Campesina «Paz y Unión», perdió a su consejero de juventudes Freiman David Velásquez en la masacre de Oropoma (19 de mayo) y a Magnelley Pállares, de 17 años, pionero de su guardia campesina, asesinado en Tibú el 15 de septiembre (la organización atribuye el crimen al ELN).</w:t>
      </w:r>
    </w:p>
    <w:p>
      <w:pPr>
        <w:keepNext/>
        <w:spacing w:after="0" w:before="200"/>
      </w:pPr>
      <w:r>
        <w:rPr>
          <w:rFonts w:ascii="Times New Roman" w:cs="Times New Roman" w:eastAsia="Times New Roman" w:hAnsi="Times New Roman"/>
          <w:sz w:val="20"/>
          <w:szCs w:val="20"/>
        </w:rPr>
        <w:t xml:space="preserve">Cuadro 4</w:t>
      </w:r>
    </w:p>
    <w:p>
      <w:pPr>
        <w:keepNext/>
        <w:spacing w:after="100"/>
      </w:pPr>
      <w:r>
        <w:rPr>
          <w:rFonts w:ascii="Times New Roman" w:cs="Times New Roman" w:eastAsia="Times New Roman" w:hAnsi="Times New Roman"/>
          <w:b/>
          <w:bCs/>
          <w:sz w:val="20"/>
          <w:szCs w:val="20"/>
        </w:rPr>
        <w:t xml:space="preserve">Organizaciones sociales y étnicas del Catatumbo y sus posiciones públicas en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0"/>
        <w:gridCol w:w="6800"/>
      </w:tblGrid>
      <w:tr>
        <w:trPr>
          <w:cantSplit/>
          <w:tblHeader/>
        </w:trPr>
        <w:tc>
          <w:tcPr>
            <w:tcW w:type="dxa" w:w="22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Organización</w:t>
            </w:r>
          </w:p>
        </w:tc>
        <w:tc>
          <w:tcPr>
            <w:tcW w:type="dxa" w:w="68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Posición o demanda documentada</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ASCAMCAT</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Denunció el primer bombardeo del nuevo gobierno y exigió el cumplimiento del DIH; promueve la Zona de Reserva Campesina del Catatumbo, condicionada a la sentencia T-052 de 2017</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ASUNCAT</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Titular de la Zona de Reserva Campesina «Paz y Unión» (aprobada en 2025); dos integrantes asesinados en 2026</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COCCAM</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Rechaza la erradicación forzada y la aspersión; define la coca como «prenda de garantía» frente al incumplimiento estatal e invoca la sentencia SU-545 de 2023; no descarta movilizaciones</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Organizaciones comunitarias (comunicado difundido por el PCN)</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«Rechazo tajante» a los bombardeos en zona rural de El Tarra, San Calixto y Tibú</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Asociación Nacional de Víctimas</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«Primero seguridad, segundo inversión social»: atención humanitaria, retornos e indemnización</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Red de Mujeres del Catatumbo y Asociación de Madres del Catatumbo por la Paz</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Inclusión en el Plan Nacional de Desarrollo con proyectos con presupuesto y responsables</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Diócesis de Tibú</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Gestos de humanidad, diálogo y «signos más auténticos y reales de paz»</w:t>
            </w:r>
          </w:p>
        </w:tc>
      </w:tr>
      <w:tr>
        <w:trPr>
          <w:cantSplit/>
        </w:trPr>
        <w:tc>
          <w:tcPr>
            <w:tcW w:type="dxa" w:w="22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7"/>
                <w:szCs w:val="17"/>
              </w:rPr>
              <w:t xml:space="preserve">Pueblo Barí</w:t>
            </w:r>
          </w:p>
        </w:tc>
        <w:tc>
          <w:tcPr>
            <w:tcW w:type="dxa" w:w="68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Cumplimiento de la sentencia T-052 de 2017 y del plan de salvaguarda; ampliación de resguardos; rechazo a la explotación de hidrocarburos en su territorio</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Semana (11 de agosto de 2026); El Colombiano (16 de septiembre de 2026); Canal TRO (23 de agosto de 2026); Metropolitano; Renacientes; Infobae (8 y 10 de octubre de 2026); La Opinión (16 de octubre de 2026); PNUD (enero de 2026).</w:t>
      </w:r>
    </w:p>
    <w:p>
      <w:pPr>
        <w:pStyle w:val="Heading3"/>
        <w:keepNext/>
        <w:spacing w:after="80" w:before="160"/>
        <w:ind w:left="1134"/>
      </w:pPr>
      <w:r>
        <w:rPr>
          <w:rFonts w:ascii="Times New Roman" w:cs="Times New Roman" w:eastAsia="Times New Roman" w:hAnsi="Times New Roman"/>
          <w:b/>
          <w:bCs/>
          <w:i/>
          <w:iCs/>
          <w:sz w:val="22"/>
          <w:szCs w:val="22"/>
        </w:rPr>
        <w:t xml:space="preserve">Antecedentes: una región de guerras cíclicas</w:t>
      </w:r>
    </w:p>
    <w:p>
      <w:pPr>
        <w:pStyle w:val="ListParagraph"/>
        <w:numPr>
          <w:ilvl w:val="0"/>
          <w:numId w:val="2"/>
        </w:numPr>
        <w:spacing w:after="120" w:line="264"/>
        <w:jc w:val="both"/>
      </w:pPr>
      <w:r>
        <w:rPr>
          <w:rFonts w:ascii="Times New Roman" w:cs="Times New Roman" w:eastAsia="Times New Roman" w:hAnsi="Times New Roman"/>
        </w:rPr>
        <w:t xml:space="preserve">La crisis de 2025 no es una ruptura sin precedentes, sino el capítulo más reciente de una serie de guerras por la hegemonía que se repiten cada vez que un actor armado entra, sale o se debilita. Esa recurrencia explica la desconfianza campesina frente a las promesas estatales.</w:t>
      </w:r>
    </w:p>
    <w:p>
      <w:pPr>
        <w:keepNext/>
        <w:spacing w:after="0" w:before="200"/>
      </w:pPr>
      <w:r>
        <w:rPr>
          <w:rFonts w:ascii="Times New Roman" w:cs="Times New Roman" w:eastAsia="Times New Roman" w:hAnsi="Times New Roman"/>
          <w:sz w:val="20"/>
          <w:szCs w:val="20"/>
        </w:rPr>
        <w:t xml:space="preserve">Cuadro 5</w:t>
      </w:r>
    </w:p>
    <w:p>
      <w:pPr>
        <w:keepNext/>
        <w:spacing w:after="100"/>
      </w:pPr>
      <w:r>
        <w:rPr>
          <w:rFonts w:ascii="Times New Roman" w:cs="Times New Roman" w:eastAsia="Times New Roman" w:hAnsi="Times New Roman"/>
          <w:b/>
          <w:bCs/>
          <w:sz w:val="20"/>
          <w:szCs w:val="20"/>
        </w:rPr>
        <w:t xml:space="preserve">Hitos de las guerras por el Catatumbo antes de 2025</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70"/>
      </w:tblGrid>
      <w:tr>
        <w:trPr>
          <w:cantSplit/>
          <w:tblHeader/>
        </w:trPr>
        <w:tc>
          <w:tcPr>
            <w:tcW w:type="dxa" w:w="17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Periodo</w:t>
            </w:r>
          </w:p>
        </w:tc>
        <w:tc>
          <w:tcPr>
            <w:tcW w:type="dxa" w:w="73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Hecho</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1999</w:t>
            </w:r>
          </w:p>
        </w:tc>
        <w:tc>
          <w:tcPr>
            <w:tcW w:type="dxa" w:w="7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Incursión del Bloque Catatumbo de las AUC; masacre de La Gabarra (21 de agosto), con entre 35 y más de 100 víctimas según la fuente</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2004</w:t>
            </w:r>
          </w:p>
        </w:tc>
        <w:tc>
          <w:tcPr>
            <w:tcW w:type="dxa" w:w="7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Desmovilización del Bloque Catatumbo de las AUC en Campo Dos (Tibú)</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2007–2008</w:t>
            </w:r>
          </w:p>
        </w:tc>
        <w:tc>
          <w:tcPr>
            <w:tcW w:type="dxa" w:w="7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Ejecuciones extrajudiciales presentadas como bajas en combate en Ocaña y el Catatumbo, investigadas por la JEP en su caso 03</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2013</w:t>
            </w:r>
          </w:p>
        </w:tc>
        <w:tc>
          <w:tcPr>
            <w:tcW w:type="dxa" w:w="7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Paro campesino del Catatumbo, origen de la demanda de una Zona de Reserva Campesina</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2017</w:t>
            </w:r>
          </w:p>
        </w:tc>
        <w:tc>
          <w:tcPr>
            <w:tcW w:type="dxa" w:w="7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Salida de las FARC-EP tras el Acuerdo de Paz; espacio de reincorporación de Caño Indio (Tibú); lanzamiento del PNIS con unas 3.000 familias en Tibú y Sardinata</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2018–2022</w:t>
            </w:r>
          </w:p>
        </w:tc>
        <w:tc>
          <w:tcPr>
            <w:tcW w:type="dxa" w:w="7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Guerra entre el ELN y el EPL residual: más de 40.000 desplazados, 3.000 confinados y 12.500 personas con restricciones de movilidad</w:t>
            </w:r>
          </w:p>
        </w:tc>
      </w:tr>
      <w:tr>
        <w:trPr>
          <w:cantSplit/>
        </w:trPr>
        <w:tc>
          <w:tcPr>
            <w:tcW w:type="dxa" w:w="17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2023</w:t>
            </w:r>
          </w:p>
        </w:tc>
        <w:tc>
          <w:tcPr>
            <w:tcW w:type="dxa" w:w="73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Pacto de El Tarra con el gobierno nacional, que incluyó la promesa de una universidad para la región</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PNUD, «Más allá de la emergencia» (enero de 2026); Centro Nacional de Memoria Histórica y Rutas del Conflicto (vía Wikipedia, masacre de La Gabarra); UNODC, informe PNIS n.º 20; DNP; registro histórico.</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B.	Cronología de la guerra, diciembre de 2024 a julio de 2026</w:t>
      </w:r>
    </w:p>
    <w:p>
      <w:pPr>
        <w:keepNext/>
        <w:spacing w:after="0" w:before="200"/>
      </w:pPr>
      <w:r>
        <w:rPr>
          <w:rFonts w:ascii="Times New Roman" w:cs="Times New Roman" w:eastAsia="Times New Roman" w:hAnsi="Times New Roman"/>
          <w:sz w:val="20"/>
          <w:szCs w:val="20"/>
        </w:rPr>
        <w:t xml:space="preserve">Cuadro 6</w:t>
      </w:r>
    </w:p>
    <w:p>
      <w:pPr>
        <w:keepNext/>
        <w:spacing w:after="100"/>
      </w:pPr>
      <w:r>
        <w:rPr>
          <w:rFonts w:ascii="Times New Roman" w:cs="Times New Roman" w:eastAsia="Times New Roman" w:hAnsi="Times New Roman"/>
          <w:b/>
          <w:bCs/>
          <w:sz w:val="20"/>
          <w:szCs w:val="20"/>
        </w:rPr>
        <w:t xml:space="preserve">Cronología de la guerra en el Catatumbo, diciembre de 2024 a julio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570"/>
      </w:tblGrid>
      <w:tr>
        <w:trPr>
          <w:cantSplit/>
          <w:tblHeader/>
        </w:trPr>
        <w:tc>
          <w:tcPr>
            <w:tcW w:type="dxa" w:w="1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8"/>
                <w:szCs w:val="18"/>
              </w:rPr>
              <w:t xml:space="preserve">Fecha</w:t>
            </w:r>
          </w:p>
        </w:tc>
        <w:tc>
          <w:tcPr>
            <w:tcW w:type="dxa" w:w="75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8"/>
                <w:szCs w:val="18"/>
              </w:rPr>
              <w:t xml:space="preserve">Hecho</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2024</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Las alertas tempranas de la Defensoría (021-24 y 026-24) advierten el riesgo de confrontación; la última alerta de inminencia se envía el 12 de diciembre de 2024</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16 ene 2025</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El ELN lanza su ofensiva contra el Frente 33 en ocho municipios</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17 ene 2025</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El presidente Petro suspende los diálogos de paz con el ELN</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24 ene 2025</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Decreto 062: estado de conmoción interior por 90 días en el Catatumbo, el área metropolitana de Cúcuta y los municipios de Río de Oro y González (Cesar)</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16 ene – 25 feb 2025</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Firmantes de paz: 6 asesinados, 6 desaparecidos, 194 confinados en los antiguos espacios de reincorporación de Caño Indio y El Tarra y 223 desplazados con sus familias</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6 mar 2025</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Lanzamiento en Tibú del Pacto Social para la Transformación Territorial del Catatumbo</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Abr 2025</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Termina la conmoción interior; el Decreto 0467 prorroga once decretos de excepción</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29 abr 2025</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Sentencia C-148 de 2025: la Corte Constitucional declara la conmoción exequible solo en parte, para los enfrentamientos del ELN y la crisis humanitaria</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23 may 2025</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Resolución 161: Zona de Ubicación Temporal para el Frente 33 en Tibú, por siete meses</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20 jul 2025</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Un ataque con dron en las afueras de El Carmen mata a tres soldados y hiere a ocho; el Ejército lo atribuye al ELN</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14–17 dic 2025</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«Parada» armada del ELN</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23 dic 2025</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Resolución 474: prórroga de la Zona de Ubicación Temporal por siete meses</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Dic 2025 – ene 2026</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El ELN regresa desde Venezuela para recuperar territorio; desde el 22 de diciembre llegan a Cúcuta 2.048 desplazados, según la Alcaldía</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3 ene 2026</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Estados Unidos captura a Nicolás Maduro; Colombia despliega 11.000 militares en la frontera</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13 ene 2026</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Balance del Puesto de Mando Unificado de la Gobernación: 166 muertos en un año de guerra, entre ellos 6 firmantes de paz y 10 menores, más 19 miembros de la Fuerza Pública</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Feb–may 2026</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Bombardeos del gobierno Petro: 4 feb en zona de Tibú y El Tarra contra el ELN y el Frente 33 (7 integrantes del ELN muertos); abril en El Tarra (al menos 12 muertos, entre ellos alias «Yair», experto en drones); 11 may en Tibú (7 muertos)</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Mar 2026</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Alerta temprana 006-26 (Ocaña, Ábrego y sur del Cesar) y alerta de la Defensoría sobre la expansión de las ACSN en Cáchira y La Esperanza</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19 may 2026</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Masacre de Oropoma (Ábrego): seis muertos, entre ellos el líder de ASUNCAT Freiman David Velásquez y sus dos escoltas de la UNP. El ELN se atribuyó el hecho y acusó a tres víctimas de pertenecer al Frente 33; la Policía apuntó al frente Camilo Torres Restrepo</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22 may 2026</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La Misión de Verificación de la ONU, la MAPP-OEA y la Conferencia Episcopal advierten un «grave deterioro» de la situación</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2 jun 2026</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Ataque con drones en El Tarra: una persona muerta y 784 desplazados (293 familias). En lo corrido del año, 13 eventos de desplazamiento masivo y 2.447 desplazados</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19 jun 2026</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Un ataque con dron mata a un niño de 10 años en zona rural de Tibú</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29 jun 2026</w:t>
            </w:r>
          </w:p>
        </w:tc>
        <w:tc>
          <w:tcPr>
            <w:tcW w:type="dxa" w:w="75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Drones del ELN en El Tarra: un soldado muerto y cuatro heridos</w:t>
            </w:r>
          </w:p>
        </w:tc>
      </w:tr>
      <w:tr>
        <w:trPr>
          <w:cantSplit/>
        </w:trPr>
        <w:tc>
          <w:tcPr>
            <w:tcW w:type="dxa" w:w="1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8 jul 2026</w:t>
            </w:r>
          </w:p>
        </w:tc>
        <w:tc>
          <w:tcPr>
            <w:tcW w:type="dxa" w:w="75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Durante el empalme en Cúcuta, el equipo del presidente electo da un ultimátum de un mes a los mandos del ELN y del Frente 33</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PNUD, «Más allá de la emergencia» (enero de 2026); Unidad para las Víctimas (2026); Reuters; Presidencia de la República; El País; Asuntos Legales; AP; Indepaz; Noticias ONU (16 de enero y 22 de mayo de 2026); FIP; Defensoría del Pueblo (2 de junio de 2026); Infobae; Vanguardia; El Tiempo.</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C.	La violencia en las cifras oficiales del primer semestre de 2026</w:t>
      </w:r>
    </w:p>
    <w:p>
      <w:pPr>
        <w:pStyle w:val="ListParagraph"/>
        <w:numPr>
          <w:ilvl w:val="0"/>
          <w:numId w:val="2"/>
        </w:numPr>
        <w:spacing w:after="120" w:line="264"/>
        <w:jc w:val="both"/>
      </w:pPr>
      <w:r>
        <w:rPr>
          <w:rFonts w:ascii="Times New Roman" w:cs="Times New Roman" w:eastAsia="Times New Roman" w:hAnsi="Times New Roman"/>
        </w:rPr>
        <w:t xml:space="preserve">Las respuestas de la Policía Nacional a CORPOREDDEH permiten medir la violencia del primer semestre de 2026 (1 de enero a 30 de junio) en tres territorios del departamento: el Catatumbo (11 municipios), el resto del departamento fuera del área metropolitana (23 municipios) y el Área Metropolitana de Cúcuta (6 municipios). El anexo estadístico del Departamento de Policía Norte de Santander (documento [2]) trae 636 registros individuales, uno por hecho, con municipio, mes, edad, género, modalidad y arma o medio; es la única fuente del conjunto que permite ver el Catatumbo municipio por municipio</w:t>
      </w:r>
      <w:r>
        <w:rPr>
          <w:rStyle w:val="FootnoteReference"/>
        </w:rPr>
        <w:footnoteReference w:id="3"/>
      </w:r>
      <w:r>
        <w:rPr>
          <w:rFonts w:ascii="Times New Roman" w:cs="Times New Roman" w:eastAsia="Times New Roman" w:hAnsi="Times New Roman"/>
        </w:rPr>
        <w:t xml:space="preserve">.</w:t>
      </w:r>
    </w:p>
    <w:p>
      <w:pPr>
        <w:keepNext/>
        <w:spacing w:after="0" w:before="200"/>
      </w:pPr>
      <w:r>
        <w:rPr>
          <w:rFonts w:ascii="Times New Roman" w:cs="Times New Roman" w:eastAsia="Times New Roman" w:hAnsi="Times New Roman"/>
          <w:sz w:val="20"/>
          <w:szCs w:val="20"/>
        </w:rPr>
        <w:t xml:space="preserve">Cuadro 7</w:t>
      </w:r>
    </w:p>
    <w:p>
      <w:pPr>
        <w:keepNext/>
        <w:spacing w:after="100"/>
      </w:pPr>
      <w:r>
        <w:rPr>
          <w:rFonts w:ascii="Times New Roman" w:cs="Times New Roman" w:eastAsia="Times New Roman" w:hAnsi="Times New Roman"/>
          <w:b/>
          <w:bCs/>
          <w:sz w:val="20"/>
          <w:szCs w:val="20"/>
        </w:rPr>
        <w:t xml:space="preserve">Delitos y hechos de violencia registrados en Norte de Santander por territorio, enero a junio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0"/>
        <w:gridCol w:w="1550"/>
        <w:gridCol w:w="1550"/>
        <w:gridCol w:w="1550"/>
        <w:gridCol w:w="1550"/>
      </w:tblGrid>
      <w:tr>
        <w:trPr>
          <w:cantSplit/>
          <w:tblHeader/>
        </w:trPr>
        <w:tc>
          <w:tcPr>
            <w:tcW w:type="dxa" w:w="28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Conducta</w:t>
            </w:r>
          </w:p>
        </w:tc>
        <w:tc>
          <w:tcPr>
            <w:tcW w:type="dxa" w:w="15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Catatumbo</w:t>
            </w:r>
          </w:p>
          <w:p>
            <w:pPr>
              <w:keepNext/>
              <w:spacing w:after="0" w:line="240"/>
              <w:jc w:val="right"/>
            </w:pPr>
            <w:r>
              <w:rPr>
                <w:rFonts w:ascii="Times New Roman" w:cs="Times New Roman" w:eastAsia="Times New Roman" w:hAnsi="Times New Roman"/>
                <w:b w:val="false"/>
                <w:bCs w:val="false"/>
                <w:i/>
                <w:iCs/>
                <w:sz w:val="18"/>
                <w:szCs w:val="18"/>
              </w:rPr>
              <w:t xml:space="preserve">(11 municipios)</w:t>
            </w:r>
          </w:p>
        </w:tc>
        <w:tc>
          <w:tcPr>
            <w:tcW w:type="dxa" w:w="15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Resto del depto.</w:t>
            </w:r>
          </w:p>
          <w:p>
            <w:pPr>
              <w:keepNext/>
              <w:spacing w:after="0" w:line="240"/>
              <w:jc w:val="right"/>
            </w:pPr>
            <w:r>
              <w:rPr>
                <w:rFonts w:ascii="Times New Roman" w:cs="Times New Roman" w:eastAsia="Times New Roman" w:hAnsi="Times New Roman"/>
                <w:b w:val="false"/>
                <w:bCs w:val="false"/>
                <w:i/>
                <w:iCs/>
                <w:sz w:val="18"/>
                <w:szCs w:val="18"/>
              </w:rPr>
              <w:t xml:space="preserve">(23 municipios)</w:t>
            </w:r>
          </w:p>
        </w:tc>
        <w:tc>
          <w:tcPr>
            <w:tcW w:type="dxa" w:w="15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Área Metropolitana</w:t>
            </w:r>
          </w:p>
          <w:p>
            <w:pPr>
              <w:keepNext/>
              <w:spacing w:after="0" w:line="240"/>
              <w:jc w:val="right"/>
            </w:pPr>
            <w:r>
              <w:rPr>
                <w:rFonts w:ascii="Times New Roman" w:cs="Times New Roman" w:eastAsia="Times New Roman" w:hAnsi="Times New Roman"/>
                <w:b w:val="false"/>
                <w:bCs w:val="false"/>
                <w:i/>
                <w:iCs/>
                <w:sz w:val="18"/>
                <w:szCs w:val="18"/>
              </w:rPr>
              <w:t xml:space="preserve">(6 municipios)</w:t>
            </w:r>
          </w:p>
        </w:tc>
        <w:tc>
          <w:tcPr>
            <w:tcW w:type="dxa" w:w="15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Total</w:t>
            </w:r>
          </w:p>
          <w:p>
            <w:pPr>
              <w:keepNext/>
              <w:spacing w:after="0" w:line="240"/>
              <w:jc w:val="right"/>
            </w:pPr>
            <w:r>
              <w:rPr>
                <w:rFonts w:ascii="Times New Roman" w:cs="Times New Roman" w:eastAsia="Times New Roman" w:hAnsi="Times New Roman"/>
                <w:b w:val="false"/>
                <w:bCs w:val="false"/>
                <w:i/>
                <w:iCs/>
                <w:sz w:val="18"/>
                <w:szCs w:val="18"/>
              </w:rPr>
              <w:t xml:space="preserve">Norte de Santander</w:t>
            </w:r>
          </w:p>
        </w:tc>
      </w:tr>
      <w:tr>
        <w:trPr>
          <w:cantSplit/>
        </w:trPr>
        <w:tc>
          <w:tcPr>
            <w:tcW w:type="dxa" w:w="2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Homicidio</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108</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22</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209</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339</w:t>
            </w:r>
          </w:p>
        </w:tc>
      </w:tr>
      <w:tr>
        <w:trPr>
          <w:cantSplit/>
        </w:trPr>
        <w:tc>
          <w:tcPr>
            <w:tcW w:type="dxa" w:w="2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Amenazas</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230</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117</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546</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893</w:t>
            </w:r>
          </w:p>
        </w:tc>
      </w:tr>
      <w:tr>
        <w:trPr>
          <w:cantSplit/>
        </w:trPr>
        <w:tc>
          <w:tcPr>
            <w:tcW w:type="dxa" w:w="2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Extorsión</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70</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31</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186</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287</w:t>
            </w:r>
          </w:p>
        </w:tc>
      </w:tr>
      <w:tr>
        <w:trPr>
          <w:cantSplit/>
        </w:trPr>
        <w:tc>
          <w:tcPr>
            <w:tcW w:type="dxa" w:w="2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Terrorismo y actos de terrorismo</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27</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14</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44</w:t>
            </w:r>
          </w:p>
        </w:tc>
      </w:tr>
      <w:tr>
        <w:trPr>
          <w:cantSplit/>
        </w:trPr>
        <w:tc>
          <w:tcPr>
            <w:tcW w:type="dxa" w:w="2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Secuestro</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9</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24</w:t>
            </w:r>
          </w:p>
        </w:tc>
      </w:tr>
      <w:tr>
        <w:trPr>
          <w:cantSplit/>
        </w:trPr>
        <w:tc>
          <w:tcPr>
            <w:tcW w:type="dxa" w:w="2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Desaparición forzada</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18</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19</w:t>
            </w:r>
          </w:p>
        </w:tc>
      </w:tr>
      <w:tr>
        <w:trPr>
          <w:cantSplit/>
        </w:trPr>
        <w:tc>
          <w:tcPr>
            <w:tcW w:type="dxa" w:w="2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Feminicidio</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n. d.</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 o más</w:t>
            </w:r>
          </w:p>
        </w:tc>
      </w:tr>
      <w:tr>
        <w:trPr>
          <w:cantSplit/>
        </w:trPr>
        <w:tc>
          <w:tcPr>
            <w:tcW w:type="dxa" w:w="2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Suicidio</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n. d.</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n. d.</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w:t>
            </w:r>
          </w:p>
        </w:tc>
        <w:tc>
          <w:tcPr>
            <w:tcW w:type="dxa" w:w="15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n. d.</w:t>
            </w:r>
          </w:p>
        </w:tc>
      </w:tr>
      <w:tr>
        <w:trPr>
          <w:cantSplit/>
        </w:trPr>
        <w:tc>
          <w:tcPr>
            <w:tcW w:type="dxa" w:w="28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Víctimas de minas antipersonal y municiones sin explosionar</w:t>
            </w:r>
          </w:p>
        </w:tc>
        <w:tc>
          <w:tcPr>
            <w:tcW w:type="dxa" w:w="15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17</w:t>
            </w:r>
          </w:p>
        </w:tc>
        <w:tc>
          <w:tcPr>
            <w:tcW w:type="dxa" w:w="15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0</w:t>
            </w:r>
          </w:p>
        </w:tc>
        <w:tc>
          <w:tcPr>
            <w:tcW w:type="dxa" w:w="15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0</w:t>
            </w:r>
          </w:p>
        </w:tc>
        <w:tc>
          <w:tcPr>
            <w:tcW w:type="dxa" w:w="15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17</w:t>
            </w:r>
          </w:p>
        </w:tc>
      </w:tr>
    </w:tbl>
    <w:p>
      <w:pPr>
        <w:spacing w:after="40" w:before="60"/>
      </w:pPr>
      <w:r>
        <w:rPr>
          <w:rFonts w:ascii="Times New Roman" w:cs="Times New Roman" w:eastAsia="Times New Roman" w:hAnsi="Times New Roman"/>
          <w:i w:val="false"/>
          <w:iCs w:val="false"/>
          <w:sz w:val="16"/>
          <w:szCs w:val="16"/>
        </w:rPr>
        <w:t xml:space="preserve">Nota: «Resto del departamento» es el total del DENOR menos los 11 municipios del Catatumbo. Terrorismo incluye los artículos 343 (terrorismo) y 144 (actos de terrorismo, infracción al DIH) del Código Penal; en el área metropolitana corresponde a la hoja «atentados». Secuestro: en el DENOR solo hay secuestro extorsivo; en el área metropolitana, 8 extorsivos y 1 simple. n. d.: no disponible en la respuesta.</w:t>
      </w:r>
    </w:p>
    <w:p>
      <w:pPr>
        <w:spacing w:after="220" w:before="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Cálculos propios con base en los documentos [1] a [4] (Policía Nacional, SIEDCO) y [6] (Consejería Comisionada de Paz, AICMA).</w:t>
      </w:r>
    </w:p>
    <w:p>
      <w:pPr>
        <w:pStyle w:val="Heading3"/>
        <w:keepNext/>
        <w:spacing w:after="80" w:before="160"/>
        <w:ind w:left="1134"/>
      </w:pPr>
      <w:r>
        <w:rPr>
          <w:rFonts w:ascii="Times New Roman" w:cs="Times New Roman" w:eastAsia="Times New Roman" w:hAnsi="Times New Roman"/>
          <w:b/>
          <w:bCs/>
          <w:i/>
          <w:iCs/>
          <w:sz w:val="22"/>
          <w:szCs w:val="22"/>
        </w:rPr>
        <w:t xml:space="preserve">Concentración</w:t>
      </w:r>
    </w:p>
    <w:p>
      <w:pPr>
        <w:pStyle w:val="ListParagraph"/>
        <w:numPr>
          <w:ilvl w:val="0"/>
          <w:numId w:val="2"/>
        </w:numPr>
        <w:spacing w:after="120" w:line="264"/>
        <w:jc w:val="both"/>
      </w:pPr>
      <w:r>
        <w:rPr>
          <w:rFonts w:ascii="Times New Roman" w:cs="Times New Roman" w:eastAsia="Times New Roman" w:hAnsi="Times New Roman"/>
        </w:rPr>
        <w:t xml:space="preserve">El Catatumbo registra 108 de los 130 homicidios del departamento fuera del área metropolitana (83 %), 70 de las 101 extorsiones (69 %), 230 de las 347 amenazas (66 %), 27 de los 41 hechos de terrorismo (66 %) y las 17 víctimas de minas del semestre, con el 61,1 % de la población de ese territorio. Tibú, con 52 homicidios, concentra por sí solo el 40 % de los homicidios del departamento fuera del área metropolitana, con el 10,9 % de su población.</w:t>
      </w:r>
    </w:p>
    <w:p>
      <w:pPr>
        <w:keepNext/>
        <w:spacing w:after="0" w:before="200"/>
      </w:pPr>
      <w:r>
        <w:rPr>
          <w:rFonts w:ascii="Times New Roman" w:cs="Times New Roman" w:eastAsia="Times New Roman" w:hAnsi="Times New Roman"/>
          <w:sz w:val="20"/>
          <w:szCs w:val="20"/>
        </w:rPr>
        <w:t xml:space="preserve">Gráfico I</w:t>
      </w:r>
    </w:p>
    <w:p>
      <w:pPr>
        <w:keepNext/>
        <w:spacing w:after="120"/>
      </w:pPr>
      <w:r>
        <w:rPr>
          <w:rFonts w:ascii="Times New Roman" w:cs="Times New Roman" w:eastAsia="Times New Roman" w:hAnsi="Times New Roman"/>
          <w:b/>
          <w:bCs/>
          <w:sz w:val="20"/>
          <w:szCs w:val="20"/>
        </w:rPr>
        <w:t xml:space="preserve">Homicidios por municipio del Catatumbo, enero a junio de 2026 (mapa esquemático)</w:t>
      </w:r>
    </w:p>
    <w:p>
      <w:pPr>
        <w:keepNext/>
        <w:spacing w:after="60"/>
        <w:jc w:val="center"/>
      </w:pPr>
      <w:r>
        <w:drawing>
          <wp:inline distT="0" distB="0" distL="0" distR="0">
            <wp:extent cx="5219700" cy="2895600"/>
            <wp:effectExtent t="0" r="0" b="0" l="0"/>
            <wp:docPr id="1" name="mapa_homicidios.png" descr="Mapa esquemático: Tibú 52, El Tarra 18, Ocaña 14, Ábrego 11, El Carmen 4, Convención 3, Teorama 3, La Playa 2, Sardinata 1, Hacarí 0, San Calixto 0." title="Homicidios por municipio del Catatumbo, enero a junio de 2026 (mapa esque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9700" cy="2895600"/>
                    </a:xfrm>
                    <a:prstGeom prst="rect">
                      <a:avLst/>
                    </a:prstGeom>
                  </pic:spPr>
                </pic:pic>
              </a:graphicData>
            </a:graphic>
          </wp:inline>
        </w:drawing>
      </w:r>
    </w:p>
    <w:p>
      <w:pPr>
        <w:spacing w:after="0"/>
      </w:pPr>
      <w:r>
        <w:rPr>
          <w:rFonts w:ascii="Times New Roman" w:cs="Times New Roman" w:eastAsia="Times New Roman" w:hAnsi="Times New Roman"/>
          <w:sz w:val="16"/>
          <w:szCs w:val="16"/>
        </w:rPr>
        <w:t xml:space="preserve">Nota: representación esquemática; cada recuadro es un municipio y su posición aproxima la ubicación real. Tibú y Sardinata ocupan dos filas por su extensión. «PDET»: municipio de la subregión del Programa de Desarrollo con Enfoque Territorial del Catatumbo.</w:t>
      </w:r>
    </w:p>
    <w:p>
      <w:pPr>
        <w:spacing w:after="22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Cálculos propios con base en el documento [2] (Policía Nacional, DENOR, SIEDCO).</w:t>
      </w:r>
    </w:p>
    <w:p>
      <w:pPr>
        <w:keepNext/>
        <w:spacing w:after="0" w:before="200"/>
      </w:pPr>
      <w:r>
        <w:rPr>
          <w:rFonts w:ascii="Times New Roman" w:cs="Times New Roman" w:eastAsia="Times New Roman" w:hAnsi="Times New Roman"/>
          <w:sz w:val="20"/>
          <w:szCs w:val="20"/>
        </w:rPr>
        <w:t xml:space="preserve">Cuadro 8</w:t>
      </w:r>
    </w:p>
    <w:p>
      <w:pPr>
        <w:keepNext/>
        <w:spacing w:after="100"/>
      </w:pPr>
      <w:r>
        <w:rPr>
          <w:rFonts w:ascii="Times New Roman" w:cs="Times New Roman" w:eastAsia="Times New Roman" w:hAnsi="Times New Roman"/>
          <w:b/>
          <w:bCs/>
          <w:sz w:val="20"/>
          <w:szCs w:val="20"/>
        </w:rPr>
        <w:t xml:space="preserve">Tasas de homicidio por 100.000 habitantes, primer semestre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1400"/>
        <w:gridCol w:w="1500"/>
        <w:gridCol w:w="1400"/>
        <w:gridCol w:w="1400"/>
      </w:tblGrid>
      <w:tr>
        <w:trPr>
          <w:cantSplit/>
          <w:tblHeader/>
        </w:trPr>
        <w:tc>
          <w:tcPr>
            <w:tcW w:type="dxa" w:w="33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Territorio</w:t>
            </w:r>
          </w:p>
        </w:tc>
        <w:tc>
          <w:tcPr>
            <w:tcW w:type="dxa" w:w="14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Homicidios</w:t>
            </w:r>
          </w:p>
          <w:p>
            <w:pPr>
              <w:keepNext/>
              <w:spacing w:after="0" w:line="240"/>
              <w:jc w:val="right"/>
            </w:pPr>
            <w:r>
              <w:rPr>
                <w:rFonts w:ascii="Times New Roman" w:cs="Times New Roman" w:eastAsia="Times New Roman" w:hAnsi="Times New Roman"/>
                <w:b w:val="false"/>
                <w:bCs w:val="false"/>
                <w:i/>
                <w:iCs/>
                <w:sz w:val="18"/>
                <w:szCs w:val="18"/>
              </w:rPr>
              <w:t xml:space="preserve">ene–jun 2026</w:t>
            </w:r>
          </w:p>
        </w:tc>
        <w:tc>
          <w:tcPr>
            <w:tcW w:type="dxa" w:w="1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Población</w:t>
            </w:r>
          </w:p>
          <w:p>
            <w:pPr>
              <w:keepNext/>
              <w:spacing w:after="0" w:line="240"/>
              <w:jc w:val="right"/>
            </w:pPr>
            <w:r>
              <w:rPr>
                <w:rFonts w:ascii="Times New Roman" w:cs="Times New Roman" w:eastAsia="Times New Roman" w:hAnsi="Times New Roman"/>
                <w:b w:val="false"/>
                <w:bCs w:val="false"/>
                <w:i/>
                <w:iCs/>
                <w:sz w:val="18"/>
                <w:szCs w:val="18"/>
              </w:rPr>
              <w:t xml:space="preserve">2026</w:t>
            </w:r>
          </w:p>
        </w:tc>
        <w:tc>
          <w:tcPr>
            <w:tcW w:type="dxa" w:w="14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Tasa del</w:t>
            </w:r>
          </w:p>
          <w:p>
            <w:pPr>
              <w:keepNext/>
              <w:spacing w:after="0" w:line="240"/>
              <w:jc w:val="right"/>
            </w:pPr>
            <w:r>
              <w:rPr>
                <w:rFonts w:ascii="Times New Roman" w:cs="Times New Roman" w:eastAsia="Times New Roman" w:hAnsi="Times New Roman"/>
                <w:b w:val="false"/>
                <w:bCs w:val="false"/>
                <w:i/>
                <w:iCs/>
                <w:sz w:val="18"/>
                <w:szCs w:val="18"/>
              </w:rPr>
              <w:t xml:space="preserve">semestre</w:t>
            </w:r>
          </w:p>
        </w:tc>
        <w:tc>
          <w:tcPr>
            <w:tcW w:type="dxa" w:w="14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Tasa</w:t>
            </w:r>
          </w:p>
          <w:p>
            <w:pPr>
              <w:keepNext/>
              <w:spacing w:after="0" w:line="240"/>
              <w:jc w:val="right"/>
            </w:pPr>
            <w:r>
              <w:rPr>
                <w:rFonts w:ascii="Times New Roman" w:cs="Times New Roman" w:eastAsia="Times New Roman" w:hAnsi="Times New Roman"/>
                <w:b w:val="false"/>
                <w:bCs w:val="false"/>
                <w:i/>
                <w:iCs/>
                <w:sz w:val="18"/>
                <w:szCs w:val="18"/>
              </w:rPr>
              <w:t xml:space="preserve">anualizada</w:t>
            </w:r>
          </w:p>
        </w:tc>
      </w:tr>
      <w:tr>
        <w:trPr>
          <w:cantSplit/>
        </w:trPr>
        <w:tc>
          <w:tcPr>
            <w:tcW w:type="dxa" w:w="3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Tibú</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52</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70.336</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73,9</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147,9</w:t>
            </w:r>
          </w:p>
        </w:tc>
      </w:tr>
      <w:tr>
        <w:trPr>
          <w:cantSplit/>
        </w:trPr>
        <w:tc>
          <w:tcPr>
            <w:tcW w:type="dxa" w:w="3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El Tarra</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18</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28.561</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63,0</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126,0</w:t>
            </w:r>
          </w:p>
        </w:tc>
      </w:tr>
      <w:tr>
        <w:trPr>
          <w:cantSplit/>
        </w:trPr>
        <w:tc>
          <w:tcPr>
            <w:tcW w:type="dxa" w:w="3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Ábrego</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36.622</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30,0</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60,1</w:t>
            </w:r>
          </w:p>
        </w:tc>
      </w:tr>
      <w:tr>
        <w:trPr>
          <w:cantSplit/>
        </w:trPr>
        <w:tc>
          <w:tcPr>
            <w:tcW w:type="dxa" w:w="3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Ocaña</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14</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139.932</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10,0</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20,0</w:t>
            </w:r>
          </w:p>
        </w:tc>
      </w:tr>
      <w:tr>
        <w:trPr>
          <w:cantSplit/>
        </w:trPr>
        <w:tc>
          <w:tcPr>
            <w:tcW w:type="dxa" w:w="3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Catatumbo PDET (8 municipios)</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81</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207.863</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39,0</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77,9</w:t>
            </w:r>
          </w:p>
        </w:tc>
      </w:tr>
      <w:tr>
        <w:trPr>
          <w:cantSplit/>
        </w:trPr>
        <w:tc>
          <w:tcPr>
            <w:tcW w:type="dxa" w:w="337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Catatumbo (11 municipios)</w:t>
            </w:r>
          </w:p>
        </w:tc>
        <w:tc>
          <w:tcPr>
            <w:tcW w:type="dxa" w:w="140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108</w:t>
            </w:r>
          </w:p>
        </w:tc>
        <w:tc>
          <w:tcPr>
            <w:tcW w:type="dxa" w:w="150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393.160</w:t>
            </w:r>
          </w:p>
        </w:tc>
        <w:tc>
          <w:tcPr>
            <w:tcW w:type="dxa" w:w="140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27,5</w:t>
            </w:r>
          </w:p>
        </w:tc>
        <w:tc>
          <w:tcPr>
            <w:tcW w:type="dxa" w:w="140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54,9</w:t>
            </w:r>
          </w:p>
        </w:tc>
      </w:tr>
      <w:tr>
        <w:trPr>
          <w:cantSplit/>
        </w:trPr>
        <w:tc>
          <w:tcPr>
            <w:tcW w:type="dxa" w:w="3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Resto del departamento (23)</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22</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249.845</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8,8</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17,6</w:t>
            </w:r>
          </w:p>
        </w:tc>
      </w:tr>
      <w:tr>
        <w:trPr>
          <w:cantSplit/>
        </w:trPr>
        <w:tc>
          <w:tcPr>
            <w:tcW w:type="dxa" w:w="3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Área Metropolitana de Cúcuta (6)</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209</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1.074.787</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19,4</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38,9</w:t>
            </w:r>
          </w:p>
        </w:tc>
      </w:tr>
      <w:tr>
        <w:trPr>
          <w:cantSplit/>
        </w:trPr>
        <w:tc>
          <w:tcPr>
            <w:tcW w:type="dxa" w:w="3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Norte de Santander</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339</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1.717.792</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19,7</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39,5</w:t>
            </w:r>
          </w:p>
        </w:tc>
      </w:tr>
      <w:tr>
        <w:trPr>
          <w:cantSplit/>
        </w:trPr>
        <w:tc>
          <w:tcPr>
            <w:tcW w:type="dxa" w:w="33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Colombia</w:t>
            </w:r>
          </w:p>
        </w:tc>
        <w:tc>
          <w:tcPr>
            <w:tcW w:type="dxa" w:w="14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7.015</w:t>
            </w:r>
          </w:p>
        </w:tc>
        <w:tc>
          <w:tcPr>
            <w:tcW w:type="dxa" w:w="1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53.399.171</w:t>
            </w:r>
          </w:p>
        </w:tc>
        <w:tc>
          <w:tcPr>
            <w:tcW w:type="dxa" w:w="14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13,1</w:t>
            </w:r>
          </w:p>
        </w:tc>
        <w:tc>
          <w:tcPr>
            <w:tcW w:type="dxa" w:w="14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26,3</w:t>
            </w:r>
          </w:p>
        </w:tc>
      </w:tr>
    </w:tbl>
    <w:p>
      <w:pPr>
        <w:spacing w:after="40" w:before="60"/>
      </w:pPr>
      <w:r>
        <w:rPr>
          <w:rFonts w:ascii="Times New Roman" w:cs="Times New Roman" w:eastAsia="Times New Roman" w:hAnsi="Times New Roman"/>
          <w:i w:val="false"/>
          <w:iCs w:val="false"/>
          <w:sz w:val="16"/>
          <w:szCs w:val="16"/>
        </w:rPr>
        <w:t xml:space="preserve">Nota: la tasa anualizada duplica la del semestre y supone que el segundo semestre repite el primero; es una aproximación. La tasa nacional de 2025 fue de 26,5 por 100.000 habitantes; la anualizada de Tibú es 5,6 veces la nacional y la del Catatumbo, 2,1 veces.</w:t>
      </w:r>
    </w:p>
    <w:p>
      <w:pPr>
        <w:spacing w:after="220" w:before="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Cálculos propios con base en los documentos [2] y [4] (homicidios), la serie de homicidios de la Policía publicada por el Ministerio de Defensa en datos.gov.co (Colombia) y DANE, proyecciones de población municipal 2018-2042, actualización de julio de 2025 (población 2026).</w:t>
      </w:r>
    </w:p>
    <w:p>
      <w:pPr>
        <w:pStyle w:val="Heading3"/>
        <w:keepNext/>
        <w:spacing w:after="80" w:before="160"/>
        <w:ind w:left="1134"/>
      </w:pPr>
      <w:r>
        <w:rPr>
          <w:rFonts w:ascii="Times New Roman" w:cs="Times New Roman" w:eastAsia="Times New Roman" w:hAnsi="Times New Roman"/>
          <w:b/>
          <w:bCs/>
          <w:i/>
          <w:iCs/>
          <w:sz w:val="22"/>
          <w:szCs w:val="22"/>
        </w:rPr>
        <w:t xml:space="preserve">La huella de la guerra</w:t>
      </w:r>
    </w:p>
    <w:p>
      <w:pPr>
        <w:pStyle w:val="ListParagraph"/>
        <w:numPr>
          <w:ilvl w:val="0"/>
          <w:numId w:val="2"/>
        </w:numPr>
        <w:spacing w:after="120" w:line="264"/>
        <w:jc w:val="both"/>
      </w:pPr>
      <w:r>
        <w:rPr>
          <w:rFonts w:ascii="Times New Roman" w:cs="Times New Roman" w:eastAsia="Times New Roman" w:hAnsi="Times New Roman"/>
        </w:rPr>
        <w:t xml:space="preserve">La Policía clasifica 71 de los 108 homicidios del Catatumbo en la modalidad «atacados por GAO o GAO-R» (grupos armados organizados y grupos armados organizados residuales) y 25 en «enfrentamiento entre subversivos». En total, 96 homicidios (89 %) quedan asociados por la propia autoridad a la acción de grupos armados. Solo 12 corresponden a modalidades que la Policía no atribuye a esos grupos: riñas (5), sicariato (3), atraco (1) y casos por establecer (3).</w:t>
      </w:r>
    </w:p>
    <w:p>
      <w:pPr>
        <w:pStyle w:val="ListParagraph"/>
        <w:numPr>
          <w:ilvl w:val="0"/>
          <w:numId w:val="2"/>
        </w:numPr>
        <w:spacing w:after="120" w:line="264"/>
        <w:jc w:val="both"/>
      </w:pPr>
      <w:r>
        <w:rPr>
          <w:rFonts w:ascii="Times New Roman" w:cs="Times New Roman" w:eastAsia="Times New Roman" w:hAnsi="Times New Roman"/>
        </w:rPr>
        <w:t xml:space="preserve">Veintidós homicidios (20 %) se cometieron con artefactos explosivos (12) o con drones cargados con explosivos (10). Ninguno de los 209 homicidios del área metropolitana se cometió con esos medios: allí fueron con arma de fuego (186), arma blanca (18) o elementos contundentes (5). El explosivo lanzado desde el aire es una marca propia de la guerra rural del Catatumbo.</w:t>
      </w:r>
    </w:p>
    <w:p>
      <w:pPr>
        <w:keepNext/>
        <w:spacing w:after="0" w:before="200"/>
      </w:pPr>
      <w:r>
        <w:rPr>
          <w:rFonts w:ascii="Times New Roman" w:cs="Times New Roman" w:eastAsia="Times New Roman" w:hAnsi="Times New Roman"/>
          <w:sz w:val="20"/>
          <w:szCs w:val="20"/>
        </w:rPr>
        <w:t xml:space="preserve">Gráfico II</w:t>
      </w:r>
    </w:p>
    <w:p>
      <w:pPr>
        <w:keepNext/>
        <w:spacing w:after="120"/>
      </w:pPr>
      <w:r>
        <w:rPr>
          <w:rFonts w:ascii="Times New Roman" w:cs="Times New Roman" w:eastAsia="Times New Roman" w:hAnsi="Times New Roman"/>
          <w:b/>
          <w:bCs/>
          <w:sz w:val="20"/>
          <w:szCs w:val="20"/>
        </w:rPr>
        <w:t xml:space="preserve">Homicidios en el Catatumbo según modalidad y medio, enero a junio de 2026</w:t>
      </w:r>
    </w:p>
    <w:p>
      <w:pPr>
        <w:keepNext/>
        <w:spacing w:after="60"/>
        <w:jc w:val="center"/>
      </w:pPr>
      <w:r>
        <w:drawing>
          <wp:inline distT="0" distB="0" distL="0" distR="0">
            <wp:extent cx="5581650" cy="1343025"/>
            <wp:effectExtent t="0" r="0" b="0" l="0"/>
            <wp:docPr id="1" name="modalidad_medio.png" descr="Homicidios en el Catatumbo según modalidad y medio, enero a junio de 2026" title="Homicidios en el Catatumbo según modalidad y medio, enero a junio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1343025"/>
                    </a:xfrm>
                    <a:prstGeom prst="rect">
                      <a:avLst/>
                    </a:prstGeom>
                  </pic:spPr>
                </pic:pic>
              </a:graphicData>
            </a:graphic>
          </wp:inline>
        </w:drawing>
      </w:r>
    </w:p>
    <w:p>
      <w:pPr>
        <w:spacing w:after="0"/>
      </w:pPr>
      <w:r>
        <w:rPr>
          <w:rFonts w:ascii="Times New Roman" w:cs="Times New Roman" w:eastAsia="Times New Roman" w:hAnsi="Times New Roman"/>
          <w:sz w:val="16"/>
          <w:szCs w:val="16"/>
        </w:rPr>
        <w:t xml:space="preserve">Nota: n = 108 homicidios. Los porcentajes se calculan sobre ese total. «Ataque de grupo armado» corresponde a la modalidad policial «atacados por GAO o GAO-R»; «combate entre grupos armados», a «enfrentamiento entre subversivos».</w:t>
      </w:r>
    </w:p>
    <w:p>
      <w:pPr>
        <w:spacing w:after="22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Cálculos propios con base en el documento [2].</w:t>
      </w:r>
    </w:p>
    <w:p>
      <w:pPr>
        <w:pStyle w:val="Heading3"/>
        <w:keepNext/>
        <w:spacing w:after="80" w:before="160"/>
        <w:ind w:left="1134"/>
      </w:pPr>
      <w:r>
        <w:rPr>
          <w:rFonts w:ascii="Times New Roman" w:cs="Times New Roman" w:eastAsia="Times New Roman" w:hAnsi="Times New Roman"/>
          <w:b/>
          <w:bCs/>
          <w:i/>
          <w:iCs/>
          <w:sz w:val="22"/>
          <w:szCs w:val="22"/>
        </w:rPr>
        <w:t xml:space="preserve">El corredor Tibú–El Tarra</w:t>
      </w:r>
    </w:p>
    <w:p>
      <w:pPr>
        <w:pStyle w:val="ListParagraph"/>
        <w:numPr>
          <w:ilvl w:val="0"/>
          <w:numId w:val="2"/>
        </w:numPr>
        <w:spacing w:after="120" w:line="264"/>
        <w:jc w:val="both"/>
      </w:pPr>
      <w:r>
        <w:rPr>
          <w:rFonts w:ascii="Times New Roman" w:cs="Times New Roman" w:eastAsia="Times New Roman" w:hAnsi="Times New Roman"/>
        </w:rPr>
        <w:t xml:space="preserve">Los dos municipios del norte del Catatumbo, donde desde enero de 2025 se libra la guerra entre el ELN y el Frente 33, concentran la violencia más letal y más tecnificada del semestre.</w:t>
      </w:r>
    </w:p>
    <w:p>
      <w:pPr>
        <w:keepNext/>
        <w:spacing w:after="0" w:before="200"/>
      </w:pPr>
      <w:r>
        <w:rPr>
          <w:rFonts w:ascii="Times New Roman" w:cs="Times New Roman" w:eastAsia="Times New Roman" w:hAnsi="Times New Roman"/>
          <w:sz w:val="20"/>
          <w:szCs w:val="20"/>
        </w:rPr>
        <w:t xml:space="preserve">Cuadro 9</w:t>
      </w:r>
    </w:p>
    <w:p>
      <w:pPr>
        <w:keepNext/>
        <w:spacing w:after="100"/>
      </w:pPr>
      <w:r>
        <w:rPr>
          <w:rFonts w:ascii="Times New Roman" w:cs="Times New Roman" w:eastAsia="Times New Roman" w:hAnsi="Times New Roman"/>
          <w:b/>
          <w:bCs/>
          <w:sz w:val="20"/>
          <w:szCs w:val="20"/>
        </w:rPr>
        <w:t xml:space="preserve">Peso de Tibú y El Tarra en la violencia del Catatumbo, enero a junio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70"/>
        <w:gridCol w:w="1400"/>
        <w:gridCol w:w="1400"/>
        <w:gridCol w:w="1400"/>
      </w:tblGrid>
      <w:tr>
        <w:trPr>
          <w:cantSplit/>
          <w:tblHeader/>
        </w:trPr>
        <w:tc>
          <w:tcPr>
            <w:tcW w:type="dxa" w:w="48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Indicador</w:t>
            </w:r>
          </w:p>
        </w:tc>
        <w:tc>
          <w:tcPr>
            <w:tcW w:type="dxa" w:w="14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Tibú y El Tarra</w:t>
            </w:r>
          </w:p>
        </w:tc>
        <w:tc>
          <w:tcPr>
            <w:tcW w:type="dxa" w:w="14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Catatumbo</w:t>
            </w:r>
          </w:p>
        </w:tc>
        <w:tc>
          <w:tcPr>
            <w:tcW w:type="dxa" w:w="14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Proporción</w:t>
            </w:r>
          </w:p>
        </w:tc>
      </w:tr>
      <w:tr>
        <w:trPr>
          <w:cantSplit/>
        </w:trPr>
        <w:tc>
          <w:tcPr>
            <w:tcW w:type="dxa" w:w="4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Homicidios</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70</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108</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65 %</w:t>
            </w:r>
          </w:p>
        </w:tc>
      </w:tr>
      <w:tr>
        <w:trPr>
          <w:cantSplit/>
        </w:trPr>
        <w:tc>
          <w:tcPr>
            <w:tcW w:type="dxa" w:w="4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Homicidios en combates entre grupos armados</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22</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25</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88 %</w:t>
            </w:r>
          </w:p>
        </w:tc>
      </w:tr>
      <w:tr>
        <w:trPr>
          <w:cantSplit/>
        </w:trPr>
        <w:tc>
          <w:tcPr>
            <w:tcW w:type="dxa" w:w="4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Homicidios por ataques de grupos armados</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43</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71</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61 %</w:t>
            </w:r>
          </w:p>
        </w:tc>
      </w:tr>
      <w:tr>
        <w:trPr>
          <w:cantSplit/>
        </w:trPr>
        <w:tc>
          <w:tcPr>
            <w:tcW w:type="dxa" w:w="4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Homicidios con dron cargado de explosivos</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100 %</w:t>
            </w:r>
          </w:p>
        </w:tc>
      </w:tr>
      <w:tr>
        <w:trPr>
          <w:cantSplit/>
        </w:trPr>
        <w:tc>
          <w:tcPr>
            <w:tcW w:type="dxa" w:w="4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Homicidios con artefacto explosivo</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92 %</w:t>
            </w:r>
          </w:p>
        </w:tc>
      </w:tr>
      <w:tr>
        <w:trPr>
          <w:cantSplit/>
        </w:trPr>
        <w:tc>
          <w:tcPr>
            <w:tcW w:type="dxa" w:w="4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Hechos de terrorismo (art. 343)</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15</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16</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94 %</w:t>
            </w:r>
          </w:p>
        </w:tc>
      </w:tr>
      <w:tr>
        <w:trPr>
          <w:cantSplit/>
        </w:trPr>
        <w:tc>
          <w:tcPr>
            <w:tcW w:type="dxa" w:w="4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Víctimas de minas (solo Tibú)</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17</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17</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100 %</w:t>
            </w:r>
          </w:p>
        </w:tc>
      </w:tr>
      <w:tr>
        <w:trPr>
          <w:cantSplit/>
        </w:trPr>
        <w:tc>
          <w:tcPr>
            <w:tcW w:type="dxa" w:w="4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Amenazas</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56</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230</w:t>
            </w:r>
          </w:p>
        </w:tc>
        <w:tc>
          <w:tcPr>
            <w:tcW w:type="dxa" w:w="14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24 %</w:t>
            </w:r>
          </w:p>
        </w:tc>
      </w:tr>
      <w:tr>
        <w:trPr>
          <w:cantSplit/>
        </w:trPr>
        <w:tc>
          <w:tcPr>
            <w:tcW w:type="dxa" w:w="48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Extorsiones</w:t>
            </w:r>
          </w:p>
        </w:tc>
        <w:tc>
          <w:tcPr>
            <w:tcW w:type="dxa" w:w="14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20</w:t>
            </w:r>
          </w:p>
        </w:tc>
        <w:tc>
          <w:tcPr>
            <w:tcW w:type="dxa" w:w="14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70</w:t>
            </w:r>
          </w:p>
        </w:tc>
        <w:tc>
          <w:tcPr>
            <w:tcW w:type="dxa" w:w="14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29 %</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Cálculos propios con base en los documentos [2] y [6].</w:t>
      </w:r>
    </w:p>
    <w:p>
      <w:pPr>
        <w:pStyle w:val="Heading3"/>
        <w:keepNext/>
        <w:spacing w:after="80" w:before="160"/>
        <w:ind w:left="1134"/>
      </w:pPr>
      <w:r>
        <w:rPr>
          <w:rFonts w:ascii="Times New Roman" w:cs="Times New Roman" w:eastAsia="Times New Roman" w:hAnsi="Times New Roman"/>
          <w:b/>
          <w:bCs/>
          <w:i/>
          <w:iCs/>
          <w:sz w:val="22"/>
          <w:szCs w:val="22"/>
        </w:rPr>
        <w:t xml:space="preserve">La escalada de mayo y junio</w:t>
      </w:r>
    </w:p>
    <w:p>
      <w:pPr>
        <w:pStyle w:val="ListParagraph"/>
        <w:numPr>
          <w:ilvl w:val="0"/>
          <w:numId w:val="2"/>
        </w:numPr>
        <w:spacing w:after="120" w:line="264"/>
        <w:jc w:val="both"/>
      </w:pPr>
      <w:r>
        <w:rPr>
          <w:rFonts w:ascii="Times New Roman" w:cs="Times New Roman" w:eastAsia="Times New Roman" w:hAnsi="Times New Roman"/>
        </w:rPr>
        <w:t xml:space="preserve">Mayo fue el mes más violento del semestre: 32 homicidios en el Catatumbo y 36 en el departamento fuera del área metropolitana. Tibú pasó de entre 3 y 6 homicidios mensuales de enero a abril a 16 en mayo y 16 en junio: 32 muertes en dos meses, el 62 % de su total semestral. Ábrego registró 9 homicidios en mayo, todos clasificados como ataques de grupos armados, y Ocaña concentró ese mes 4 actos de terrorismo con artefactos explosivos. El pico de mayo coincide con la masacre de Oropoma, en Ábrego (19 de mayo, seis muertos), que explica la mayor parte de los nueve homicidios de ese municipio en el mes, y con la escalada de drones en El Tarra, Teorama y Tibú. El bombardeo del 11 de mayo contra el ELN pudo actuar como detonante de retaliaciones, hipótesis que los datos no permiten comprobar.</w:t>
      </w:r>
    </w:p>
    <w:p>
      <w:pPr>
        <w:keepNext/>
        <w:spacing w:after="0" w:before="200"/>
      </w:pPr>
      <w:r>
        <w:rPr>
          <w:rFonts w:ascii="Times New Roman" w:cs="Times New Roman" w:eastAsia="Times New Roman" w:hAnsi="Times New Roman"/>
          <w:sz w:val="20"/>
          <w:szCs w:val="20"/>
        </w:rPr>
        <w:t xml:space="preserve">Gráfico III</w:t>
      </w:r>
    </w:p>
    <w:p>
      <w:pPr>
        <w:keepNext/>
        <w:spacing w:after="120"/>
      </w:pPr>
      <w:r>
        <w:rPr>
          <w:rFonts w:ascii="Times New Roman" w:cs="Times New Roman" w:eastAsia="Times New Roman" w:hAnsi="Times New Roman"/>
          <w:b/>
          <w:bCs/>
          <w:sz w:val="20"/>
          <w:szCs w:val="20"/>
        </w:rPr>
        <w:t xml:space="preserve">Homicidios por mes en el Catatumbo: Tibú y resto de la subregión, enero a junio de 2026</w:t>
      </w:r>
    </w:p>
    <w:p>
      <w:pPr>
        <w:keepNext/>
        <w:spacing w:after="60"/>
        <w:jc w:val="center"/>
      </w:pPr>
      <w:r>
        <w:drawing>
          <wp:inline distT="0" distB="0" distL="0" distR="0">
            <wp:extent cx="5219700" cy="2447925"/>
            <wp:effectExtent t="0" r="0" b="0" l="0"/>
            <wp:docPr id="1" name="homicidios_mes.png" descr="Homicidios por mes en el Catatumbo: Tibú y resto de la subregión, enero a junio de 2026" title="Homicidios por mes en el Catatumbo: Tibú y resto de la subregión, enero a junio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9700" cy="2447925"/>
                    </a:xfrm>
                    <a:prstGeom prst="rect">
                      <a:avLst/>
                    </a:prstGeom>
                  </pic:spPr>
                </pic:pic>
              </a:graphicData>
            </a:graphic>
          </wp:inline>
        </w:drawing>
      </w:r>
    </w:p>
    <w:p>
      <w:pPr>
        <w:spacing w:after="22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Cálculos propios con base en el documento [2].</w:t>
      </w:r>
    </w:p>
    <w:p>
      <w:pPr>
        <w:pStyle w:val="Heading3"/>
        <w:keepNext/>
        <w:spacing w:after="80" w:before="160"/>
        <w:ind w:left="1134"/>
      </w:pPr>
      <w:r>
        <w:rPr>
          <w:rFonts w:ascii="Times New Roman" w:cs="Times New Roman" w:eastAsia="Times New Roman" w:hAnsi="Times New Roman"/>
          <w:b/>
          <w:bCs/>
          <w:i/>
          <w:iCs/>
          <w:sz w:val="22"/>
          <w:szCs w:val="22"/>
        </w:rPr>
        <w:t xml:space="preserve">Evolución frente a 2024 y 2025</w:t>
      </w:r>
    </w:p>
    <w:p>
      <w:pPr>
        <w:pStyle w:val="ListParagraph"/>
        <w:numPr>
          <w:ilvl w:val="0"/>
          <w:numId w:val="2"/>
        </w:numPr>
        <w:spacing w:after="120" w:line="264"/>
        <w:jc w:val="both"/>
      </w:pPr>
      <w:r>
        <w:rPr>
          <w:rFonts w:ascii="Times New Roman" w:cs="Times New Roman" w:eastAsia="Times New Roman" w:hAnsi="Times New Roman"/>
        </w:rPr>
        <w:t xml:space="preserve">La serie de homicidios de la Policía que el Ministerio de Defensa publica en datos abiertos reproduce las cifras de los oficios (340 homicidios en el departamento frente a 339; la diferencia es el feminicidio de El Tarra, que la serie abierta cuenta como homicidio y el DENOR reporta aparte), lo que permite comparar con los mismos criterios los primeros semestres de 2024, 2025 y 2026</w:t>
      </w:r>
      <w:r>
        <w:rPr>
          <w:rStyle w:val="FootnoteReference"/>
        </w:rPr>
        <w:footnoteReference w:id="4"/>
      </w:r>
      <w:r>
        <w:rPr>
          <w:rFonts w:ascii="Times New Roman" w:cs="Times New Roman" w:eastAsia="Times New Roman" w:hAnsi="Times New Roman"/>
        </w:rPr>
        <w:t xml:space="preserve">.</w:t>
      </w:r>
    </w:p>
    <w:p>
      <w:pPr>
        <w:keepNext/>
        <w:spacing w:after="0" w:before="200"/>
      </w:pPr>
      <w:r>
        <w:rPr>
          <w:rFonts w:ascii="Times New Roman" w:cs="Times New Roman" w:eastAsia="Times New Roman" w:hAnsi="Times New Roman"/>
          <w:sz w:val="20"/>
          <w:szCs w:val="20"/>
        </w:rPr>
        <w:t xml:space="preserve">Cuadro 10</w:t>
      </w:r>
    </w:p>
    <w:p>
      <w:pPr>
        <w:keepNext/>
        <w:spacing w:after="100"/>
      </w:pPr>
      <w:r>
        <w:rPr>
          <w:rFonts w:ascii="Times New Roman" w:cs="Times New Roman" w:eastAsia="Times New Roman" w:hAnsi="Times New Roman"/>
          <w:b/>
          <w:bCs/>
          <w:sz w:val="20"/>
          <w:szCs w:val="20"/>
        </w:rPr>
        <w:t xml:space="preserve">Homicidios en el primer semestre, 2024 a 2026, y año 2025</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0"/>
        <w:gridCol w:w="1150"/>
        <w:gridCol w:w="1150"/>
        <w:gridCol w:w="1150"/>
        <w:gridCol w:w="1350"/>
        <w:gridCol w:w="1300"/>
      </w:tblGrid>
      <w:tr>
        <w:trPr>
          <w:cantSplit/>
          <w:tblHeader/>
        </w:trPr>
        <w:tc>
          <w:tcPr>
            <w:tcW w:type="dxa" w:w="29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Territorio</w:t>
            </w:r>
          </w:p>
        </w:tc>
        <w:tc>
          <w:tcPr>
            <w:tcW w:type="dxa" w:w="11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1.er sem.</w:t>
            </w:r>
          </w:p>
          <w:p>
            <w:pPr>
              <w:keepNext/>
              <w:spacing w:after="0" w:line="240"/>
              <w:jc w:val="right"/>
            </w:pPr>
            <w:r>
              <w:rPr>
                <w:rFonts w:ascii="Times New Roman" w:cs="Times New Roman" w:eastAsia="Times New Roman" w:hAnsi="Times New Roman"/>
                <w:b w:val="false"/>
                <w:bCs w:val="false"/>
                <w:i/>
                <w:iCs/>
                <w:sz w:val="18"/>
                <w:szCs w:val="18"/>
              </w:rPr>
              <w:t xml:space="preserve">2024</w:t>
            </w:r>
          </w:p>
        </w:tc>
        <w:tc>
          <w:tcPr>
            <w:tcW w:type="dxa" w:w="11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1.er sem.</w:t>
            </w:r>
          </w:p>
          <w:p>
            <w:pPr>
              <w:keepNext/>
              <w:spacing w:after="0" w:line="240"/>
              <w:jc w:val="right"/>
            </w:pPr>
            <w:r>
              <w:rPr>
                <w:rFonts w:ascii="Times New Roman" w:cs="Times New Roman" w:eastAsia="Times New Roman" w:hAnsi="Times New Roman"/>
                <w:b w:val="false"/>
                <w:bCs w:val="false"/>
                <w:i/>
                <w:iCs/>
                <w:sz w:val="18"/>
                <w:szCs w:val="18"/>
              </w:rPr>
              <w:t xml:space="preserve">2025</w:t>
            </w:r>
          </w:p>
        </w:tc>
        <w:tc>
          <w:tcPr>
            <w:tcW w:type="dxa" w:w="11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1.er sem.</w:t>
            </w:r>
          </w:p>
          <w:p>
            <w:pPr>
              <w:keepNext/>
              <w:spacing w:after="0" w:line="240"/>
              <w:jc w:val="right"/>
            </w:pPr>
            <w:r>
              <w:rPr>
                <w:rFonts w:ascii="Times New Roman" w:cs="Times New Roman" w:eastAsia="Times New Roman" w:hAnsi="Times New Roman"/>
                <w:b w:val="false"/>
                <w:bCs w:val="false"/>
                <w:i/>
                <w:iCs/>
                <w:sz w:val="18"/>
                <w:szCs w:val="18"/>
              </w:rPr>
              <w:t xml:space="preserve">2026</w:t>
            </w:r>
          </w:p>
        </w:tc>
        <w:tc>
          <w:tcPr>
            <w:tcW w:type="dxa" w:w="13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Variación</w:t>
            </w:r>
          </w:p>
          <w:p>
            <w:pPr>
              <w:keepNext/>
              <w:spacing w:after="0" w:line="240"/>
              <w:jc w:val="right"/>
            </w:pPr>
            <w:r>
              <w:rPr>
                <w:rFonts w:ascii="Times New Roman" w:cs="Times New Roman" w:eastAsia="Times New Roman" w:hAnsi="Times New Roman"/>
                <w:b w:val="false"/>
                <w:bCs w:val="false"/>
                <w:i/>
                <w:iCs/>
                <w:sz w:val="18"/>
                <w:szCs w:val="18"/>
              </w:rPr>
              <w:t xml:space="preserve">2026/2025</w:t>
            </w:r>
          </w:p>
        </w:tc>
        <w:tc>
          <w:tcPr>
            <w:tcW w:type="dxa" w:w="1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Año</w:t>
            </w:r>
          </w:p>
          <w:p>
            <w:pPr>
              <w:keepNext/>
              <w:spacing w:after="0" w:line="240"/>
              <w:jc w:val="right"/>
            </w:pPr>
            <w:r>
              <w:rPr>
                <w:rFonts w:ascii="Times New Roman" w:cs="Times New Roman" w:eastAsia="Times New Roman" w:hAnsi="Times New Roman"/>
                <w:b w:val="false"/>
                <w:bCs w:val="false"/>
                <w:i/>
                <w:iCs/>
                <w:sz w:val="18"/>
                <w:szCs w:val="18"/>
              </w:rPr>
              <w:t xml:space="preserve">2025</w:t>
            </w:r>
          </w:p>
        </w:tc>
      </w:tr>
      <w:tr>
        <w:trPr>
          <w:cantSplit/>
        </w:trPr>
        <w:tc>
          <w:tcPr>
            <w:tcW w:type="dxa" w:w="2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Tibú</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15</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98</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52</w:t>
            </w:r>
          </w:p>
        </w:tc>
        <w:tc>
          <w:tcPr>
            <w:tcW w:type="dxa" w:w="1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−47 %</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157</w:t>
            </w:r>
          </w:p>
        </w:tc>
      </w:tr>
      <w:tr>
        <w:trPr>
          <w:cantSplit/>
        </w:trPr>
        <w:tc>
          <w:tcPr>
            <w:tcW w:type="dxa" w:w="2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El Tarra</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19</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19</w:t>
            </w:r>
          </w:p>
        </w:tc>
        <w:tc>
          <w:tcPr>
            <w:tcW w:type="dxa" w:w="1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0 %</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24</w:t>
            </w:r>
          </w:p>
        </w:tc>
      </w:tr>
      <w:tr>
        <w:trPr>
          <w:cantSplit/>
        </w:trPr>
        <w:tc>
          <w:tcPr>
            <w:tcW w:type="dxa" w:w="2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Teorama</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25</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w:t>
            </w:r>
          </w:p>
        </w:tc>
        <w:tc>
          <w:tcPr>
            <w:tcW w:type="dxa" w:w="1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−88 %</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27</w:t>
            </w:r>
          </w:p>
        </w:tc>
      </w:tr>
      <w:tr>
        <w:trPr>
          <w:cantSplit/>
        </w:trPr>
        <w:tc>
          <w:tcPr>
            <w:tcW w:type="dxa" w:w="2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Ocaña</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14</w:t>
            </w:r>
          </w:p>
        </w:tc>
        <w:tc>
          <w:tcPr>
            <w:tcW w:type="dxa" w:w="1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−53 %</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49</w:t>
            </w:r>
          </w:p>
        </w:tc>
      </w:tr>
      <w:tr>
        <w:trPr>
          <w:cantSplit/>
        </w:trPr>
        <w:tc>
          <w:tcPr>
            <w:tcW w:type="dxa" w:w="2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Ábrego</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w:t>
            </w:r>
          </w:p>
        </w:tc>
        <w:tc>
          <w:tcPr>
            <w:tcW w:type="dxa" w:w="1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+57 %</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w:t>
            </w:r>
          </w:p>
        </w:tc>
      </w:tr>
      <w:tr>
        <w:trPr>
          <w:cantSplit/>
        </w:trPr>
        <w:tc>
          <w:tcPr>
            <w:tcW w:type="dxa" w:w="297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Catatumbo (11 municipios)</w:t>
            </w:r>
          </w:p>
        </w:tc>
        <w:tc>
          <w:tcPr>
            <w:tcW w:type="dxa" w:w="115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41</w:t>
            </w:r>
          </w:p>
        </w:tc>
        <w:tc>
          <w:tcPr>
            <w:tcW w:type="dxa" w:w="115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206</w:t>
            </w:r>
          </w:p>
        </w:tc>
        <w:tc>
          <w:tcPr>
            <w:tcW w:type="dxa" w:w="115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109</w:t>
            </w:r>
          </w:p>
        </w:tc>
        <w:tc>
          <w:tcPr>
            <w:tcW w:type="dxa" w:w="135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−47 %</w:t>
            </w:r>
          </w:p>
        </w:tc>
        <w:tc>
          <w:tcPr>
            <w:tcW w:type="dxa" w:w="130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311</w:t>
            </w:r>
          </w:p>
        </w:tc>
      </w:tr>
      <w:tr>
        <w:trPr>
          <w:cantSplit/>
        </w:trPr>
        <w:tc>
          <w:tcPr>
            <w:tcW w:type="dxa" w:w="2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Área Metropolitana (6)</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204</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197</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209</w:t>
            </w:r>
          </w:p>
        </w:tc>
        <w:tc>
          <w:tcPr>
            <w:tcW w:type="dxa" w:w="1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+6 %</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444</w:t>
            </w:r>
          </w:p>
        </w:tc>
      </w:tr>
      <w:tr>
        <w:trPr>
          <w:cantSplit/>
        </w:trPr>
        <w:tc>
          <w:tcPr>
            <w:tcW w:type="dxa" w:w="2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Norte de Santander</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261</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420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340</w:t>
            </w:r>
          </w:p>
        </w:tc>
        <w:tc>
          <w:tcPr>
            <w:tcW w:type="dxa" w:w="1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−19 %</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793</w:t>
            </w:r>
          </w:p>
        </w:tc>
      </w:tr>
      <w:tr>
        <w:trPr>
          <w:cantSplit/>
        </w:trPr>
        <w:tc>
          <w:tcPr>
            <w:tcW w:type="dxa" w:w="29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Colombia</w:t>
            </w:r>
          </w:p>
        </w:tc>
        <w:tc>
          <w:tcPr>
            <w:tcW w:type="dxa" w:w="11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6.442</w:t>
            </w:r>
          </w:p>
        </w:tc>
        <w:tc>
          <w:tcPr>
            <w:tcW w:type="dxa" w:w="11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6.832</w:t>
            </w:r>
          </w:p>
        </w:tc>
        <w:tc>
          <w:tcPr>
            <w:tcW w:type="dxa" w:w="11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7.015</w:t>
            </w:r>
          </w:p>
        </w:tc>
        <w:tc>
          <w:tcPr>
            <w:tcW w:type="dxa" w:w="13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+3 %</w:t>
            </w:r>
          </w:p>
        </w:tc>
        <w:tc>
          <w:tcPr>
            <w:tcW w:type="dxa" w:w="1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14.038</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Policía Nacional (SIEDCO), serie publicada por el Ministerio de Defensa en datos.gov.co; cálculos propios.</w:t>
      </w:r>
    </w:p>
    <w:p>
      <w:pPr>
        <w:pStyle w:val="ListParagraph"/>
        <w:numPr>
          <w:ilvl w:val="0"/>
          <w:numId w:val="2"/>
        </w:numPr>
        <w:spacing w:after="120" w:line="264"/>
        <w:jc w:val="both"/>
      </w:pPr>
      <w:r>
        <w:rPr>
          <w:rFonts w:ascii="Times New Roman" w:cs="Times New Roman" w:eastAsia="Times New Roman" w:hAnsi="Times New Roman"/>
        </w:rPr>
        <w:t xml:space="preserve">La violencia bajó frente al primer semestre de 2025, el de la ofensiva del ELN, pero no volvió a la normalidad: el Catatumbo registra 109 homicidios frente a 206 (−47 %), aunque sigue 2,7 veces por encima del primer semestre de 2024 (41), y Tibú 3,5 veces (52 frente a 15). El Tarra no bajó (19 y 19) y Ábrego subió (de 7 a 11). En el departamento, 2025 cerró con 793 homicidios, frente a 520 en 2024 (+53 %), la cifra más alta desde 2004. En julio y agosto de 2026 hubo otros 43 homicidios en el Catatumbo, 19 de ellos en Tibú. Entre enero y agosto suman 152 (Tibú 71, Ocaña 27, El Tarra 20, Ábrego 16, El Carmen 7, Sardinata, Teorama y Convención 3 cada uno, La Playa 2), frente a 249 en el mismo periodo de 2025 (−39 %); en Tibú, 71 frente a 125 (−43 %).</w:t>
      </w:r>
    </w:p>
    <w:p>
      <w:pPr>
        <w:pStyle w:val="ListParagraph"/>
        <w:numPr>
          <w:ilvl w:val="0"/>
          <w:numId w:val="2"/>
        </w:numPr>
        <w:spacing w:after="120" w:line="264"/>
        <w:jc w:val="both"/>
      </w:pPr>
      <w:r>
        <w:rPr>
          <w:rFonts w:ascii="Times New Roman" w:cs="Times New Roman" w:eastAsia="Times New Roman" w:hAnsi="Times New Roman"/>
        </w:rPr>
        <w:t xml:space="preserve">La guerra también cambió de forma. En el primer semestre de 2025 la violencia de guerra ya representaba el 71 % de los homicidios del Catatumbo, pero dominada por los combates entre grupos (56 %); en 2026 llega al 88 % y la dominan los ataques de los grupos armados. Crecieron además el uso de explosivos y drones, el terrorismo y el secuestro:</w:t>
      </w:r>
    </w:p>
    <w:p>
      <w:pPr>
        <w:keepNext/>
        <w:spacing w:after="0" w:before="200"/>
      </w:pPr>
      <w:r>
        <w:rPr>
          <w:rFonts w:ascii="Times New Roman" w:cs="Times New Roman" w:eastAsia="Times New Roman" w:hAnsi="Times New Roman"/>
          <w:sz w:val="20"/>
          <w:szCs w:val="20"/>
        </w:rPr>
        <w:t xml:space="preserve">Cuadro 11</w:t>
      </w:r>
    </w:p>
    <w:p>
      <w:pPr>
        <w:keepNext/>
        <w:spacing w:after="100"/>
      </w:pPr>
      <w:r>
        <w:rPr>
          <w:rFonts w:ascii="Times New Roman" w:cs="Times New Roman" w:eastAsia="Times New Roman" w:hAnsi="Times New Roman"/>
          <w:b/>
          <w:bCs/>
          <w:sz w:val="20"/>
          <w:szCs w:val="20"/>
        </w:rPr>
        <w:t xml:space="preserve">Cambio en la forma de la violencia en el Catatumbo, primer semestre de 2025 y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70"/>
        <w:gridCol w:w="1300"/>
        <w:gridCol w:w="1300"/>
        <w:gridCol w:w="1700"/>
      </w:tblGrid>
      <w:tr>
        <w:trPr>
          <w:cantSplit/>
          <w:tblHeader/>
        </w:trPr>
        <w:tc>
          <w:tcPr>
            <w:tcW w:type="dxa" w:w="47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Indicador</w:t>
            </w:r>
          </w:p>
        </w:tc>
        <w:tc>
          <w:tcPr>
            <w:tcW w:type="dxa" w:w="1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1.er sem.</w:t>
            </w:r>
          </w:p>
          <w:p>
            <w:pPr>
              <w:keepNext/>
              <w:spacing w:after="0" w:line="240"/>
              <w:jc w:val="right"/>
            </w:pPr>
            <w:r>
              <w:rPr>
                <w:rFonts w:ascii="Times New Roman" w:cs="Times New Roman" w:eastAsia="Times New Roman" w:hAnsi="Times New Roman"/>
                <w:b w:val="false"/>
                <w:bCs w:val="false"/>
                <w:i/>
                <w:iCs/>
                <w:sz w:val="18"/>
                <w:szCs w:val="18"/>
              </w:rPr>
              <w:t xml:space="preserve">2025</w:t>
            </w:r>
          </w:p>
        </w:tc>
        <w:tc>
          <w:tcPr>
            <w:tcW w:type="dxa" w:w="1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1.er sem.</w:t>
            </w:r>
          </w:p>
          <w:p>
            <w:pPr>
              <w:keepNext/>
              <w:spacing w:after="0" w:line="240"/>
              <w:jc w:val="right"/>
            </w:pPr>
            <w:r>
              <w:rPr>
                <w:rFonts w:ascii="Times New Roman" w:cs="Times New Roman" w:eastAsia="Times New Roman" w:hAnsi="Times New Roman"/>
                <w:b w:val="false"/>
                <w:bCs w:val="false"/>
                <w:i/>
                <w:iCs/>
                <w:sz w:val="18"/>
                <w:szCs w:val="18"/>
              </w:rPr>
              <w:t xml:space="preserve">2026</w:t>
            </w:r>
          </w:p>
        </w:tc>
        <w:tc>
          <w:tcPr>
            <w:tcW w:type="dxa" w:w="17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Variación</w:t>
            </w:r>
          </w:p>
        </w:tc>
      </w:tr>
      <w:tr>
        <w:trPr>
          <w:cantSplit/>
        </w:trPr>
        <w:tc>
          <w:tcPr>
            <w:tcW w:type="dxa" w:w="4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Homicidios en combates entre grupos armados</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116</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25</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−78 %</w:t>
            </w:r>
          </w:p>
        </w:tc>
      </w:tr>
      <w:tr>
        <w:trPr>
          <w:cantSplit/>
        </w:trPr>
        <w:tc>
          <w:tcPr>
            <w:tcW w:type="dxa" w:w="4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Homicidios por ataques de grupos armados</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31</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71</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+129 %</w:t>
            </w:r>
          </w:p>
        </w:tc>
      </w:tr>
      <w:tr>
        <w:trPr>
          <w:cantSplit/>
        </w:trPr>
        <w:tc>
          <w:tcPr>
            <w:tcW w:type="dxa" w:w="4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Homicidios con dron o artefacto explosivo (Policía)</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22</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+175 %</w:t>
            </w:r>
          </w:p>
        </w:tc>
      </w:tr>
      <w:tr>
        <w:trPr>
          <w:cantSplit/>
        </w:trPr>
        <w:tc>
          <w:tcPr>
            <w:tcW w:type="dxa" w:w="4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Muertes por mecanismo explosivo (Medicina Legal)</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37</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+236 %</w:t>
            </w:r>
          </w:p>
        </w:tc>
      </w:tr>
      <w:tr>
        <w:trPr>
          <w:cantSplit/>
        </w:trPr>
        <w:tc>
          <w:tcPr>
            <w:tcW w:type="dxa" w:w="4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Terrorismo, artículo 343 (casos)</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33</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71</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+115 %</w:t>
            </w:r>
          </w:p>
        </w:tc>
      </w:tr>
      <w:tr>
        <w:trPr>
          <w:cantSplit/>
        </w:trPr>
        <w:tc>
          <w:tcPr>
            <w:tcW w:type="dxa" w:w="4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Terrorismo, artículo 343, solo en Tibú (casos)</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32</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+167 %</w:t>
            </w:r>
          </w:p>
        </w:tc>
      </w:tr>
      <w:tr>
        <w:trPr>
          <w:cantSplit/>
        </w:trPr>
        <w:tc>
          <w:tcPr>
            <w:tcW w:type="dxa" w:w="4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Secuestro simple y extorsivo</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17</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+55 %</w:t>
            </w:r>
          </w:p>
        </w:tc>
      </w:tr>
      <w:tr>
        <w:trPr>
          <w:cantSplit/>
        </w:trPr>
        <w:tc>
          <w:tcPr>
            <w:tcW w:type="dxa" w:w="4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Extorsión (víctimas)</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58</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63</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+9 %</w:t>
            </w:r>
          </w:p>
        </w:tc>
      </w:tr>
      <w:tr>
        <w:trPr>
          <w:cantSplit/>
        </w:trPr>
        <w:tc>
          <w:tcPr>
            <w:tcW w:type="dxa" w:w="4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Masacres (casos; víctimas: 17 en 2025 y 9 en 2026)</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−60 %</w:t>
            </w:r>
          </w:p>
        </w:tc>
      </w:tr>
      <w:tr>
        <w:trPr>
          <w:cantSplit/>
        </w:trPr>
        <w:tc>
          <w:tcPr>
            <w:tcW w:type="dxa" w:w="47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Miembros de la Fuerza Pública muertos o heridos</w:t>
            </w:r>
          </w:p>
        </w:tc>
        <w:tc>
          <w:tcPr>
            <w:tcW w:type="dxa" w:w="1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35</w:t>
            </w:r>
          </w:p>
        </w:tc>
        <w:tc>
          <w:tcPr>
            <w:tcW w:type="dxa" w:w="1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48</w:t>
            </w:r>
          </w:p>
        </w:tc>
        <w:tc>
          <w:tcPr>
            <w:tcW w:type="dxa" w:w="17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+37 %</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Ministerio de Defensa, series de la Policía en datos.gov.co (homicidio, terrorismo, secuestro, extorsión, masacres y afectaciones a la Fuerza Pública); INMLCF, lesiones fatales de causa externa, datos preliminares en datos.gov.co (actualizados el 21 de septiembre de 2026). Cálculos propios.</w:t>
      </w:r>
    </w:p>
    <w:p>
      <w:pPr>
        <w:pStyle w:val="Heading3"/>
        <w:keepNext/>
        <w:spacing w:after="80" w:before="160"/>
        <w:ind w:left="1134"/>
      </w:pPr>
      <w:r>
        <w:rPr>
          <w:rFonts w:ascii="Times New Roman" w:cs="Times New Roman" w:eastAsia="Times New Roman" w:hAnsi="Times New Roman"/>
          <w:b/>
          <w:bCs/>
          <w:i/>
          <w:iCs/>
          <w:sz w:val="22"/>
          <w:szCs w:val="22"/>
        </w:rPr>
        <w:t xml:space="preserve">La provincia de Ocaña: otra violencia</w:t>
      </w:r>
    </w:p>
    <w:p>
      <w:pPr>
        <w:pStyle w:val="ListParagraph"/>
        <w:numPr>
          <w:ilvl w:val="0"/>
          <w:numId w:val="2"/>
        </w:numPr>
        <w:spacing w:after="120" w:line="264"/>
        <w:jc w:val="both"/>
      </w:pPr>
      <w:r>
        <w:rPr>
          <w:rFonts w:ascii="Times New Roman" w:cs="Times New Roman" w:eastAsia="Times New Roman" w:hAnsi="Times New Roman"/>
        </w:rPr>
        <w:t xml:space="preserve">Ocaña, Ábrego y La Playa suman 27 homicidios, pero concentran 121 amenazas (53 % de las del Catatumbo) y 40 extorsiones (57 %). En Ocaña predominan la extorsión «clásica» (20 de 33) y la ciberextorsión (6); en Tibú, en cambio, 8 de las 20 extorsiones se registran como «extorsión GAO», es decir, cobrada por grupos armados. Es una violencia de perfil más urbano y comercial, conectada con la economía de guerra pero distinta de la del corredor norte.</w:t>
      </w:r>
    </w:p>
    <w:p>
      <w:pPr>
        <w:pStyle w:val="Heading3"/>
        <w:keepNext/>
        <w:spacing w:after="80" w:before="160"/>
        <w:ind w:left="1134"/>
      </w:pPr>
      <w:r>
        <w:rPr>
          <w:rFonts w:ascii="Times New Roman" w:cs="Times New Roman" w:eastAsia="Times New Roman" w:hAnsi="Times New Roman"/>
          <w:b/>
          <w:bCs/>
          <w:i/>
          <w:iCs/>
          <w:sz w:val="22"/>
          <w:szCs w:val="22"/>
        </w:rPr>
        <w:t xml:space="preserve">Quiénes son las víctimas</w:t>
      </w:r>
    </w:p>
    <w:p>
      <w:pPr>
        <w:pStyle w:val="ListParagraph"/>
        <w:numPr>
          <w:ilvl w:val="0"/>
          <w:numId w:val="2"/>
        </w:numPr>
        <w:spacing w:after="120" w:line="264"/>
        <w:jc w:val="both"/>
      </w:pPr>
      <w:r>
        <w:rPr>
          <w:rFonts w:ascii="Times New Roman" w:cs="Times New Roman" w:eastAsia="Times New Roman" w:hAnsi="Times New Roman"/>
        </w:rPr>
        <w:t xml:space="preserve">De las 108 personas asesinadas, 101 eran hombres y 7 mujeres; 102 adultos, 4 adolescentes y 2 niños o niñas. Hubo un feminicidio en El Tarra (marzo, en contexto de violencia intrafamiliar). De las 230 amenazas, 147 se dirigieron contra hombres y 82 contra mujeres; 157 fueron directas, 50 por redes sociales, 12 por mensaje de texto y 5 por panfleto.</w:t>
      </w:r>
    </w:p>
    <w:p>
      <w:pPr>
        <w:pStyle w:val="ListParagraph"/>
        <w:numPr>
          <w:ilvl w:val="0"/>
          <w:numId w:val="2"/>
        </w:numPr>
        <w:spacing w:after="120" w:line="264"/>
        <w:jc w:val="both"/>
      </w:pPr>
      <w:r>
        <w:rPr>
          <w:rFonts w:ascii="Times New Roman" w:cs="Times New Roman" w:eastAsia="Times New Roman" w:hAnsi="Times New Roman"/>
        </w:rPr>
        <w:t xml:space="preserve">Las 17 víctimas de minas antipersonal y municiones sin explosionar del departamento fueron civiles heridos en Tibú: 14 adultos (13 hombres y 1 mujer) y 3 menores de edad (2 niños y 1 niña). No hubo víctimas mortales ni víctimas de la Fuerza Pública. Febrero fue el mes más grave (6 víctimas). AICMA registró además 78 eventos en el departamento: 64 operaciones de destrucción de artefactos explosivos (EOD) de la Fuerza Pública, 13 accidentes y 1 sospecha de área minada</w:t>
      </w:r>
      <w:r>
        <w:rPr>
          <w:rStyle w:val="FootnoteReference"/>
        </w:rPr>
        <w:footnoteReference w:id="5"/>
      </w:r>
      <w:r>
        <w:rPr>
          <w:rFonts w:ascii="Times New Roman" w:cs="Times New Roman" w:eastAsia="Times New Roman" w:hAnsi="Times New Roman"/>
        </w:rPr>
        <w:t xml:space="preserve">.</w:t>
      </w:r>
    </w:p>
    <w:p>
      <w:pPr>
        <w:keepNext/>
        <w:spacing w:after="0" w:before="200"/>
      </w:pPr>
      <w:r>
        <w:rPr>
          <w:rFonts w:ascii="Times New Roman" w:cs="Times New Roman" w:eastAsia="Times New Roman" w:hAnsi="Times New Roman"/>
          <w:sz w:val="20"/>
          <w:szCs w:val="20"/>
        </w:rPr>
        <w:t xml:space="preserve">Cuadro 12</w:t>
      </w:r>
    </w:p>
    <w:p>
      <w:pPr>
        <w:keepNext/>
        <w:spacing w:after="100"/>
      </w:pPr>
      <w:r>
        <w:rPr>
          <w:rFonts w:ascii="Times New Roman" w:cs="Times New Roman" w:eastAsia="Times New Roman" w:hAnsi="Times New Roman"/>
          <w:b/>
          <w:bCs/>
          <w:sz w:val="20"/>
          <w:szCs w:val="20"/>
        </w:rPr>
        <w:t xml:space="preserve">Víctimas y eventos de minas antipersonal y municiones sin explosionar en Norte de Santander, enero a junio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0"/>
        <w:gridCol w:w="1800"/>
        <w:gridCol w:w="1800"/>
        <w:gridCol w:w="1800"/>
        <w:gridCol w:w="1800"/>
      </w:tblGrid>
      <w:tr>
        <w:trPr>
          <w:cantSplit/>
          <w:tblHeader/>
        </w:trPr>
        <w:tc>
          <w:tcPr>
            <w:tcW w:type="dxa" w:w="18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Mes</w:t>
            </w:r>
          </w:p>
        </w:tc>
        <w:tc>
          <w:tcPr>
            <w:tcW w:type="dxa" w:w="18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Víctimas</w:t>
            </w:r>
          </w:p>
          <w:p>
            <w:pPr>
              <w:keepNext/>
              <w:spacing w:after="0" w:line="240"/>
              <w:jc w:val="right"/>
            </w:pPr>
            <w:r>
              <w:rPr>
                <w:rFonts w:ascii="Times New Roman" w:cs="Times New Roman" w:eastAsia="Times New Roman" w:hAnsi="Times New Roman"/>
                <w:b w:val="false"/>
                <w:bCs w:val="false"/>
                <w:i/>
                <w:iCs/>
                <w:sz w:val="18"/>
                <w:szCs w:val="18"/>
              </w:rPr>
              <w:t xml:space="preserve">(civiles heridas, Tibú)</w:t>
            </w:r>
          </w:p>
        </w:tc>
        <w:tc>
          <w:tcPr>
            <w:tcW w:type="dxa" w:w="18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Accidentes</w:t>
            </w:r>
          </w:p>
        </w:tc>
        <w:tc>
          <w:tcPr>
            <w:tcW w:type="dxa" w:w="18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Incidentes</w:t>
            </w:r>
          </w:p>
        </w:tc>
        <w:tc>
          <w:tcPr>
            <w:tcW w:type="dxa" w:w="18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Total eventos</w:t>
            </w:r>
          </w:p>
        </w:tc>
      </w:tr>
      <w:tr>
        <w:trPr>
          <w:cantSplit/>
        </w:trPr>
        <w:tc>
          <w:tcPr>
            <w:tcW w:type="dxa" w:w="1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Enero</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22</w:t>
            </w:r>
          </w:p>
        </w:tc>
      </w:tr>
      <w:tr>
        <w:trPr>
          <w:cantSplit/>
        </w:trPr>
        <w:tc>
          <w:tcPr>
            <w:tcW w:type="dxa" w:w="1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Febrero</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13</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17</w:t>
            </w:r>
          </w:p>
        </w:tc>
      </w:tr>
      <w:tr>
        <w:trPr>
          <w:cantSplit/>
        </w:trPr>
        <w:tc>
          <w:tcPr>
            <w:tcW w:type="dxa" w:w="1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Marzo</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w:t>
            </w:r>
          </w:p>
        </w:tc>
      </w:tr>
      <w:tr>
        <w:trPr>
          <w:cantSplit/>
        </w:trPr>
        <w:tc>
          <w:tcPr>
            <w:tcW w:type="dxa" w:w="1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Abril</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9</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w:t>
            </w:r>
          </w:p>
        </w:tc>
      </w:tr>
      <w:tr>
        <w:trPr>
          <w:cantSplit/>
        </w:trPr>
        <w:tc>
          <w:tcPr>
            <w:tcW w:type="dxa" w:w="1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Mayo</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w:t>
            </w:r>
          </w:p>
        </w:tc>
      </w:tr>
      <w:tr>
        <w:trPr>
          <w:cantSplit/>
        </w:trPr>
        <w:tc>
          <w:tcPr>
            <w:tcW w:type="dxa" w:w="1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Junio</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15</w:t>
            </w:r>
          </w:p>
        </w:tc>
      </w:tr>
      <w:tr>
        <w:trPr>
          <w:cantSplit/>
        </w:trPr>
        <w:tc>
          <w:tcPr>
            <w:tcW w:type="dxa" w:w="18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Total</w:t>
            </w:r>
          </w:p>
        </w:tc>
        <w:tc>
          <w:tcPr>
            <w:tcW w:type="dxa" w:w="18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17</w:t>
            </w:r>
          </w:p>
        </w:tc>
        <w:tc>
          <w:tcPr>
            <w:tcW w:type="dxa" w:w="18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13</w:t>
            </w:r>
          </w:p>
        </w:tc>
        <w:tc>
          <w:tcPr>
            <w:tcW w:type="dxa" w:w="18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65</w:t>
            </w:r>
          </w:p>
        </w:tc>
        <w:tc>
          <w:tcPr>
            <w:tcW w:type="dxa" w:w="18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78</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Documento [6] (AICMA).</w:t>
      </w:r>
    </w:p>
    <w:p>
      <w:pPr>
        <w:pStyle w:val="Heading3"/>
        <w:keepNext/>
        <w:spacing w:after="80" w:before="160"/>
        <w:ind w:left="1134"/>
      </w:pPr>
      <w:r>
        <w:rPr>
          <w:rFonts w:ascii="Times New Roman" w:cs="Times New Roman" w:eastAsia="Times New Roman" w:hAnsi="Times New Roman"/>
          <w:b/>
          <w:bCs/>
          <w:i/>
          <w:iCs/>
          <w:sz w:val="22"/>
          <w:szCs w:val="22"/>
        </w:rPr>
        <w:t xml:space="preserve">Lo que las cifras no dicen</w:t>
      </w:r>
    </w:p>
    <w:p>
      <w:pPr>
        <w:pStyle w:val="ListParagraph"/>
        <w:numPr>
          <w:ilvl w:val="0"/>
          <w:numId w:val="2"/>
        </w:numPr>
        <w:spacing w:after="120" w:line="264"/>
        <w:jc w:val="both"/>
      </w:pPr>
      <w:r>
        <w:rPr>
          <w:rFonts w:ascii="Times New Roman" w:cs="Times New Roman" w:eastAsia="Times New Roman" w:hAnsi="Times New Roman"/>
        </w:rPr>
        <w:t xml:space="preserve">Los documentos tienen vacíos que limitan su lectura y que deben tenerse en cuenta antes de usarlos en incidencia:</w:t>
      </w:r>
    </w:p>
    <w:p>
      <w:pPr>
        <w:keepNext/>
        <w:spacing w:after="0" w:before="200"/>
      </w:pPr>
      <w:r>
        <w:rPr>
          <w:rFonts w:ascii="Times New Roman" w:cs="Times New Roman" w:eastAsia="Times New Roman" w:hAnsi="Times New Roman"/>
          <w:sz w:val="20"/>
          <w:szCs w:val="20"/>
        </w:rPr>
        <w:t xml:space="preserve">Cuadro 13</w:t>
      </w:r>
    </w:p>
    <w:p>
      <w:pPr>
        <w:keepNext/>
        <w:spacing w:after="100"/>
      </w:pPr>
      <w:r>
        <w:rPr>
          <w:rFonts w:ascii="Times New Roman" w:cs="Times New Roman" w:eastAsia="Times New Roman" w:hAnsi="Times New Roman"/>
          <w:b/>
          <w:bCs/>
          <w:sz w:val="20"/>
          <w:szCs w:val="20"/>
        </w:rPr>
        <w:t xml:space="preserve">Contraste entre las fuentes oficiales recibidas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50"/>
        <w:gridCol w:w="2450"/>
        <w:gridCol w:w="2470"/>
      </w:tblGrid>
      <w:tr>
        <w:trPr>
          <w:cantSplit/>
          <w:tblHeader/>
        </w:trPr>
        <w:tc>
          <w:tcPr>
            <w:tcW w:type="dxa" w:w="17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Tema</w:t>
            </w:r>
          </w:p>
        </w:tc>
        <w:tc>
          <w:tcPr>
            <w:tcW w:type="dxa" w:w="24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Lo que dice una fuente</w:t>
            </w:r>
          </w:p>
        </w:tc>
        <w:tc>
          <w:tcPr>
            <w:tcW w:type="dxa" w:w="24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Lo que dice la otra</w:t>
            </w:r>
          </w:p>
        </w:tc>
        <w:tc>
          <w:tcPr>
            <w:tcW w:type="dxa" w:w="24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Lectura</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Minas antipersonal</w:t>
            </w:r>
          </w:p>
        </w:tc>
        <w:tc>
          <w:tcPr>
            <w:tcW w:type="dxa" w:w="24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AICMA [6]: 17 víctimas civiles en Tibú y 78 eventos</w:t>
            </w:r>
          </w:p>
        </w:tc>
        <w:tc>
          <w:tcPr>
            <w:tcW w:type="dxa" w:w="24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Policía [2]: 4 hechos con mina como medio (Tibú); MECUC [3]: ninguno en el área metropolitana</w:t>
            </w:r>
          </w:p>
        </w:tc>
        <w:tc>
          <w:tcPr>
            <w:tcW w:type="dxa" w:w="2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La Policía registra el delito, no la víctima ni el evento; AICMA es la fuente de referencia</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Desaparición forzada</w:t>
            </w:r>
          </w:p>
        </w:tc>
        <w:tc>
          <w:tcPr>
            <w:tcW w:type="dxa" w:w="24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MECUC [4]: 18 casos en el área metropolitana</w:t>
            </w:r>
          </w:p>
        </w:tc>
        <w:tc>
          <w:tcPr>
            <w:tcW w:type="dxa" w:w="24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DENOR [1]: 1 caso (Cáchira) en 34 municipios; 0 en el Catatumbo</w:t>
            </w:r>
          </w:p>
        </w:tc>
        <w:tc>
          <w:tcPr>
            <w:tcW w:type="dxa" w:w="2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Problema de clasificación: Medicina Legal (SIRDEC) registra 30 personas desaparecidas en el departamento en el semestre, 5 en el Catatumbo, ninguna clasificada como desaparición forzada</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Autor de los homicidios</w:t>
            </w:r>
          </w:p>
        </w:tc>
        <w:tc>
          <w:tcPr>
            <w:tcW w:type="dxa" w:w="24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DENOR [2]: 96 homicidios atribuidos a grupos armados</w:t>
            </w:r>
          </w:p>
        </w:tc>
        <w:tc>
          <w:tcPr>
            <w:tcW w:type="dxa" w:w="24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Ningún documento identifica el grupo; tampoco Medicina Legal: de sus 130 casos en el Catatumbo, 109 tienen agresor «sin información» o «desconocido»</w:t>
            </w:r>
          </w:p>
        </w:tc>
        <w:tc>
          <w:tcPr>
            <w:tcW w:type="dxa" w:w="2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La atribución exige otras fuentes: Defensoría, Fiscalía, prensa</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Homicidios</w:t>
            </w:r>
          </w:p>
        </w:tc>
        <w:tc>
          <w:tcPr>
            <w:tcW w:type="dxa" w:w="24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Policía [1] y [3]: 339 en el departamento</w:t>
            </w:r>
          </w:p>
        </w:tc>
        <w:tc>
          <w:tcPr>
            <w:tcW w:type="dxa" w:w="24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Medicina Legal [5]: no entregó cifras; remitió a datos abiertos</w:t>
            </w:r>
          </w:p>
        </w:tc>
        <w:tc>
          <w:tcPr>
            <w:tcW w:type="dxa" w:w="2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Falta el contraste forense (SIRDEC), que suele registrar más casos</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Cobertura de la petición</w:t>
            </w:r>
          </w:p>
        </w:tc>
        <w:tc>
          <w:tcPr>
            <w:tcW w:type="dxa" w:w="24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MECUC [3]: incluye suicidios y ataques a la Fuerza Pública</w:t>
            </w:r>
          </w:p>
        </w:tc>
        <w:tc>
          <w:tcPr>
            <w:tcW w:type="dxa" w:w="24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DENOR [1]: no los reporta en su tabla</w:t>
            </w:r>
          </w:p>
        </w:tc>
        <w:tc>
          <w:tcPr>
            <w:tcW w:type="dxa" w:w="2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8"/>
                <w:szCs w:val="18"/>
              </w:rPr>
              <w:t xml:space="preserve">Las dos policías no respondieron con el mismo alcance</w:t>
            </w:r>
          </w:p>
        </w:tc>
      </w:tr>
      <w:tr>
        <w:trPr>
          <w:cantSplit/>
        </w:trPr>
        <w:tc>
          <w:tcPr>
            <w:tcW w:type="dxa" w:w="17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Firmeza de los datos</w:t>
            </w:r>
          </w:p>
        </w:tc>
        <w:tc>
          <w:tcPr>
            <w:tcW w:type="dxa" w:w="24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Policía: «sujetas a variación» y en integración con la Fiscalía</w:t>
            </w:r>
          </w:p>
        </w:tc>
        <w:tc>
          <w:tcPr>
            <w:tcW w:type="dxa" w:w="24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Medicina Legal: datos de 2026 preliminares</w:t>
            </w:r>
          </w:p>
        </w:tc>
        <w:tc>
          <w:tcPr>
            <w:tcW w:type="dxa" w:w="24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Son cifras de trabajo, no cierres oficiales</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Elaboración propia con base en los documentos [1] a [6].</w:t>
      </w:r>
    </w:p>
    <w:p>
      <w:pPr>
        <w:pStyle w:val="ListParagraph"/>
        <w:numPr>
          <w:ilvl w:val="0"/>
          <w:numId w:val="2"/>
        </w:numPr>
        <w:spacing w:after="120" w:line="264"/>
        <w:jc w:val="both"/>
      </w:pPr>
      <w:r>
        <w:rPr>
          <w:rFonts w:ascii="Times New Roman" w:cs="Times New Roman" w:eastAsia="Times New Roman" w:hAnsi="Times New Roman"/>
        </w:rPr>
        <w:t xml:space="preserve">Aunque Medicina Legal no entregó cifras en su respuesta, sus datos preliminares están publicados en datos.gov.co, como indicó el propio oficio. Para el primer semestre de 2026 registran más homicidios que la Policía, y la diferencia se concentra en la zona de guerra: 366 frente a 340 en el departamento (+8 %), 130 frente a 109 en el Catatumbo (+19 %) y 63 frente a 52 en Tibú (+21 %), mientras en el área metropolitana las cifras casi coinciden (214 frente a 209). Una explicación plausible, que no pudo confirmarse documentalmente, es que Medicina Legal clasifica como homicidio toda muerte causada por otra persona, incluidas las ocurridas en operaciones militares y combates, mientras que la Policía no las registraría como homicidio. Medicina Legal registra además 32 suicidios en el departamento en el semestre</w:t>
      </w:r>
      <w:r>
        <w:rPr>
          <w:rStyle w:val="FootnoteReference"/>
        </w:rPr>
        <w:footnoteReference w:id="6"/>
      </w:r>
      <w:r>
        <w:rPr>
          <w:rFonts w:ascii="Times New Roman" w:cs="Times New Roman" w:eastAsia="Times New Roman" w:hAnsi="Times New Roman"/>
        </w:rPr>
        <w:t xml:space="preserve">.</w:t>
      </w:r>
    </w:p>
    <w:p>
      <w:pPr>
        <w:pStyle w:val="ListParagraph"/>
        <w:numPr>
          <w:ilvl w:val="0"/>
          <w:numId w:val="2"/>
        </w:numPr>
        <w:spacing w:after="120" w:line="264"/>
        <w:jc w:val="both"/>
      </w:pPr>
      <w:r>
        <w:rPr>
          <w:rFonts w:ascii="Times New Roman" w:cs="Times New Roman" w:eastAsia="Times New Roman" w:hAnsi="Times New Roman"/>
        </w:rPr>
        <w:t xml:space="preserve">Ninguna de las peticiones incluyó desplazamiento forzado, confinamiento, reclutamiento de niños, niñas y adolescentes, ni agresiones contra personas defensoras y firmantes de paz, que son los impactos humanitarios más extendidos en el Catatumbo. Esas variables se abordan con fuentes abiertas en la sección D.</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D.	Impacto humanitario</w:t>
      </w:r>
    </w:p>
    <w:p>
      <w:pPr>
        <w:pStyle w:val="ListParagraph"/>
        <w:numPr>
          <w:ilvl w:val="0"/>
          <w:numId w:val="2"/>
        </w:numPr>
        <w:spacing w:after="120" w:line="264"/>
        <w:jc w:val="both"/>
      </w:pPr>
      <w:r>
        <w:rPr>
          <w:rFonts w:ascii="Times New Roman" w:cs="Times New Roman" w:eastAsia="Times New Roman" w:hAnsi="Times New Roman"/>
        </w:rPr>
        <w:t xml:space="preserve">La guerra produjo la mayor crisis humanitaria reciente del país. El Registro Único de Víctimas contabiliza 112.140 víctimas por hechos ocurridos en 2025 en el marco de la crisis del Catatumbo (cifra que incluye los municipios de Río de Oro y González, en el Cesar), la gran mayoría por desplazamiento forzado, y en 2026 el desplazamiento masivo continúa</w:t>
      </w:r>
      <w:r>
        <w:rPr>
          <w:rStyle w:val="FootnoteReference"/>
        </w:rPr>
        <w:footnoteReference w:id="7"/>
      </w:r>
      <w:r>
        <w:rPr>
          <w:rFonts w:ascii="Times New Roman" w:cs="Times New Roman" w:eastAsia="Times New Roman" w:hAnsi="Times New Roman"/>
        </w:rPr>
        <w:t xml:space="preserve">.</w:t>
      </w:r>
    </w:p>
    <w:p>
      <w:pPr>
        <w:keepNext/>
        <w:spacing w:after="0" w:before="200"/>
      </w:pPr>
      <w:r>
        <w:rPr>
          <w:rFonts w:ascii="Times New Roman" w:cs="Times New Roman" w:eastAsia="Times New Roman" w:hAnsi="Times New Roman"/>
          <w:sz w:val="20"/>
          <w:szCs w:val="20"/>
        </w:rPr>
        <w:t xml:space="preserve">Cuadro 14</w:t>
      </w:r>
    </w:p>
    <w:p>
      <w:pPr>
        <w:keepNext/>
        <w:spacing w:after="100"/>
      </w:pPr>
      <w:r>
        <w:rPr>
          <w:rFonts w:ascii="Times New Roman" w:cs="Times New Roman" w:eastAsia="Times New Roman" w:hAnsi="Times New Roman"/>
          <w:b/>
          <w:bCs/>
          <w:sz w:val="20"/>
          <w:szCs w:val="20"/>
        </w:rPr>
        <w:t xml:space="preserve">Indicadores humanitarios de la crisis del Catatumbo, 2025 y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470"/>
        <w:gridCol w:w="2100"/>
      </w:tblGrid>
      <w:tr>
        <w:trPr>
          <w:cantSplit/>
          <w:tblHeader/>
        </w:trPr>
        <w:tc>
          <w:tcPr>
            <w:tcW w:type="dxa" w:w="2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Indicador</w:t>
            </w:r>
          </w:p>
        </w:tc>
        <w:tc>
          <w:tcPr>
            <w:tcW w:type="dxa" w:w="44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Dato</w:t>
            </w:r>
          </w:p>
        </w:tc>
        <w:tc>
          <w:tcPr>
            <w:tcW w:type="dxa" w:w="21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Periodo y fuente</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Víctimas registradas</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112.140 víctimas: 106.327 por desplazamiento, 7.989 por amenazas y 6.405 por confinamiento. Tibú 53.145, Teorama 18.755, El Tarra 16.793</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Hechos de 2025, corte a 1 feb 2026; incluye Río de Oro y González (Cesar); UARIV</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Confinamiento</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Más de 30.000 personas en las primeras semanas; 19.468 confinados al 17 de marzo de 2025</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2025; PMU (vía PNUD)</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Desplazamiento masivo</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3.854 personas en Norte de Santander; el primer departamento del país según Blu Radio, entre los seis primeros según El Espectador (mismo informe de la Defensoría)</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Enero a junio de 2026; Defensoría</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Eventos masivos</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13 eventos y 2.447 desplazados hasta el 2 de junio</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2026; Defensoría</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Reclutamiento de menores</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64 casos en enero a septiembre de 2025; en 2026, Norte de Santander es el segundo departamento del país, con 25 casos (con subregistro). El 23 % de los menores reclutados verificados por la ONU en 2025 eran migrantes</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2025 y enero a agosto de 2026; UARIV, FIP, ONU, La Opinión</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Líderes y firmantes</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8 líderes sociales asesinados en Norte de Santander y 10 firmantes de paz en todo el país. ASUNCAT perdió a su líder Freiman David Velásquez (19 may) y a Magnelley Pállares Franco, de 17 años, en Tibú (15 sep)</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Enero a agosto de 2026; Defensoría; El Colombiano</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Drones</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9 muertos y 11 heridos por explosivos lanzados desde drones</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Balance de la Defensoría publicado en enero de 2026</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Desvinculación de menores</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El ICBF registró 49 niños, niñas y adolescentes desvinculados de grupos armados en el Catatumbo</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Enero a noviembre de 2025; ICBF</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Gobernanza armada</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Toques de queda, horarios de movilidad, retenes con revisión de celulares y suspensión del transporte en veredas de Tibú (2025); retenes, requisas y «normas de conducta» en Ocaña y Ábrego (2026)</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Alertas tempranas 017-25 y 006-26; PNUD</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Violencia sexual</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299 personas la reportaron; el epicentro es Tibú</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Enero a septiembre de 2025; FIP</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Minas antipersonal</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17 civiles heridos, todos en Tibú, en el primer semestre. En septiembre, dos hechos más en Tibú: un campo minado en la vereda Km 25 de La Gabarra mató a un joven e hirió a otros dos, y un adolescente murió en la vereda Unión Vetas</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Documento [6]; La Opinión (11 sep 2026); NTN24 (15 sep 2026)</w:t>
            </w:r>
          </w:p>
        </w:tc>
      </w:tr>
      <w:tr>
        <w:trPr>
          <w:cantSplit/>
        </w:trPr>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Población migrante</w:t>
            </w:r>
          </w:p>
        </w:tc>
        <w:tc>
          <w:tcPr>
            <w:tcW w:type="dxa" w:w="4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Más de 42.000 personas venezolanas registradas en el Catatumbo; en el primer semestre de 2026, 22 de las 130 víctimas de homicidio registradas por Medicina Legal en la región (17 %) habían nacido en Venezuela, frente al 11 % en 2025; en Tibú, el 24 %</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2025 y 2026; PNUD; Medicina Legal (cálculos propios)</w:t>
            </w:r>
          </w:p>
        </w:tc>
      </w:tr>
      <w:tr>
        <w:trPr>
          <w:cantSplit/>
        </w:trPr>
        <w:tc>
          <w:tcPr>
            <w:tcW w:type="dxa" w:w="2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7"/>
                <w:szCs w:val="17"/>
              </w:rPr>
              <w:t xml:space="preserve">Pueblo Barí</w:t>
            </w:r>
          </w:p>
        </w:tc>
        <w:tc>
          <w:tcPr>
            <w:tcW w:type="dxa" w:w="44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3.018 personas; resguardos Motilón Barí y Catalaura (Tibú) afectados; la JEP reconoció en 2024 al resguardo Motilón Barí como víctima de reclutamiento</w:t>
            </w:r>
          </w:p>
        </w:tc>
        <w:tc>
          <w:tcPr>
            <w:tcW w:type="dxa" w:w="21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PNUD (con datos del DANE); El Heraldo (28 abr 2024)</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Las indicadas en cada fila.</w:t>
      </w:r>
    </w:p>
    <w:p>
      <w:pPr>
        <w:pStyle w:val="ListParagraph"/>
        <w:numPr>
          <w:ilvl w:val="0"/>
          <w:numId w:val="2"/>
        </w:numPr>
        <w:spacing w:after="120" w:line="264"/>
        <w:jc w:val="both"/>
      </w:pPr>
      <w:r>
        <w:rPr>
          <w:rFonts w:ascii="Times New Roman" w:cs="Times New Roman" w:eastAsia="Times New Roman" w:hAnsi="Times New Roman"/>
        </w:rPr>
        <w:t xml:space="preserve">La Asociación Nacional de Víctimas estima en más de 140.000 los desplazados en 21 meses de confrontación, cifra no oficial. Su consigna resume la demanda del territorio: «primero seguridad, segundo inversión social»</w:t>
      </w:r>
      <w:r>
        <w:rPr>
          <w:rStyle w:val="FootnoteReference"/>
        </w:rPr>
        <w:footnoteReference w:id="8"/>
      </w:r>
      <w:r>
        <w:rPr>
          <w:rFonts w:ascii="Times New Roman" w:cs="Times New Roman" w:eastAsia="Times New Roman" w:hAnsi="Times New Roman"/>
        </w:rPr>
        <w:t xml:space="preserve">.</w:t>
      </w:r>
    </w:p>
    <w:p>
      <w:pPr>
        <w:keepNext/>
        <w:spacing w:after="0" w:before="200"/>
      </w:pPr>
      <w:r>
        <w:rPr>
          <w:rFonts w:ascii="Times New Roman" w:cs="Times New Roman" w:eastAsia="Times New Roman" w:hAnsi="Times New Roman"/>
          <w:sz w:val="20"/>
          <w:szCs w:val="20"/>
        </w:rPr>
        <w:t xml:space="preserve">Cuadro 15</w:t>
      </w:r>
    </w:p>
    <w:p>
      <w:pPr>
        <w:keepNext/>
        <w:spacing w:after="100"/>
      </w:pPr>
      <w:r>
        <w:rPr>
          <w:rFonts w:ascii="Times New Roman" w:cs="Times New Roman" w:eastAsia="Times New Roman" w:hAnsi="Times New Roman"/>
          <w:b/>
          <w:bCs/>
          <w:sz w:val="20"/>
          <w:szCs w:val="20"/>
        </w:rPr>
        <w:t xml:space="preserve">Cifras de desplazamiento por la crisis de 2025: qué mide cada una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870"/>
        <w:gridCol w:w="2100"/>
        <w:gridCol w:w="1800"/>
      </w:tblGrid>
      <w:tr>
        <w:trPr>
          <w:cantSplit/>
          <w:tblHeader/>
        </w:trPr>
        <w:tc>
          <w:tcPr>
            <w:tcW w:type="dxa" w:w="1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Cifra</w:t>
            </w:r>
          </w:p>
        </w:tc>
        <w:tc>
          <w:tcPr>
            <w:tcW w:type="dxa" w:w="38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Qué mide</w:t>
            </w:r>
          </w:p>
        </w:tc>
        <w:tc>
          <w:tcPr>
            <w:tcW w:type="dxa" w:w="21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Periodo o corte</w:t>
            </w:r>
          </w:p>
        </w:tc>
        <w:tc>
          <w:tcPr>
            <w:tcW w:type="dxa" w:w="18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Fuente</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115.069</w:t>
            </w:r>
          </w:p>
        </w:tc>
        <w:tc>
          <w:tcPr>
            <w:tcW w:type="dxa" w:w="3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Declaraciones de desplazamiento ante el Ministerio Público</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16 ene a 7 dic 2025</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UARIV, vía PNUD</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101.587</w:t>
            </w:r>
          </w:p>
        </w:tc>
        <w:tc>
          <w:tcPr>
            <w:tcW w:type="dxa" w:w="3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Personas incluidas en el Registro Único de Víctimas por desplazamiento</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Al 7 dic 2025</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FIP</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106.327</w:t>
            </w:r>
          </w:p>
        </w:tc>
        <w:tc>
          <w:tcPr>
            <w:tcW w:type="dxa" w:w="3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Personas incluidas por desplazamiento (de 112.140 víctimas), con Río de Oro y González</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Corte a 1 feb 2026</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UARIV</w:t>
            </w:r>
          </w:p>
        </w:tc>
      </w:tr>
      <w:tr>
        <w:trPr>
          <w:cantSplit/>
        </w:trPr>
        <w:tc>
          <w:tcPr>
            <w:tcW w:type="dxa" w:w="1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~100.000</w:t>
            </w:r>
          </w:p>
        </w:tc>
        <w:tc>
          <w:tcPr>
            <w:tcW w:type="dxa" w:w="38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Redondeo de referencia</w:t>
            </w:r>
          </w:p>
        </w:tc>
        <w:tc>
          <w:tcPr>
            <w:tcW w:type="dxa" w:w="21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2025</w:t>
            </w:r>
          </w:p>
        </w:tc>
        <w:tc>
          <w:tcPr>
            <w:tcW w:type="dxa" w:w="18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Naciones Unidas</w:t>
            </w:r>
          </w:p>
        </w:tc>
      </w:tr>
    </w:tbl>
    <w:p>
      <w:pPr>
        <w:spacing w:after="40" w:before="60"/>
      </w:pPr>
      <w:r>
        <w:rPr>
          <w:rFonts w:ascii="Times New Roman" w:cs="Times New Roman" w:eastAsia="Times New Roman" w:hAnsi="Times New Roman"/>
          <w:i w:val="false"/>
          <w:iCs w:val="false"/>
          <w:sz w:val="16"/>
          <w:szCs w:val="16"/>
        </w:rPr>
        <w:t xml:space="preserve">Nota: este informe usa como referencia la cifra de 106.327, indicando siempre que incluye dos municipios del Cesar.</w:t>
      </w:r>
    </w:p>
    <w:p>
      <w:pPr>
        <w:spacing w:after="220" w:before="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Las indicadas en cada fila.</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E.	El giro de la política de seguridad desde agosto de 2026</w:t>
      </w:r>
    </w:p>
    <w:p>
      <w:pPr>
        <w:pStyle w:val="ListParagraph"/>
        <w:numPr>
          <w:ilvl w:val="0"/>
          <w:numId w:val="2"/>
        </w:numPr>
        <w:spacing w:after="120" w:line="264"/>
        <w:jc w:val="both"/>
      </w:pPr>
      <w:r>
        <w:rPr>
          <w:rFonts w:ascii="Times New Roman" w:cs="Times New Roman" w:eastAsia="Times New Roman" w:hAnsi="Times New Roman"/>
        </w:rPr>
        <w:t xml:space="preserve">El gobierno de Abelardo de la Espriella, posesionado el 7 de agosto de 2026, desmontó la política de «paz total». El 28 de agosto, nueve resoluciones cerraron las mesas con el EMBF, la Coordinadora Nacional Ejército Bolivariano y las ACSN, y la Resolución 391 del 9 de septiembre revocó la delegación de diálogo con el ELN. Solo se ofrece sometimiento a la justicia. Tras el ataque con drones contra Ocaña, el Gobierno ordenó activar la campaña militar «Esparta» y se decretó toque de queda en Cúcuta; y el plazo de 90 días que el presidente se fijó en campaña para mostrar resultados vence hacia el 5 de noviembre</w:t>
      </w:r>
      <w:r>
        <w:rPr>
          <w:rStyle w:val="FootnoteReference"/>
        </w:rPr>
        <w:footnoteReference w:id="9"/>
      </w:r>
      <w:r>
        <w:rPr>
          <w:rFonts w:ascii="Times New Roman" w:cs="Times New Roman" w:eastAsia="Times New Roman" w:hAnsi="Times New Roman"/>
        </w:rPr>
        <w:t xml:space="preserve">.</w:t>
      </w:r>
    </w:p>
    <w:p>
      <w:pPr>
        <w:keepNext/>
        <w:spacing w:after="0" w:before="200"/>
      </w:pPr>
      <w:r>
        <w:rPr>
          <w:rFonts w:ascii="Times New Roman" w:cs="Times New Roman" w:eastAsia="Times New Roman" w:hAnsi="Times New Roman"/>
          <w:sz w:val="20"/>
          <w:szCs w:val="20"/>
        </w:rPr>
        <w:t xml:space="preserve">Cuadro 16</w:t>
      </w:r>
    </w:p>
    <w:p>
      <w:pPr>
        <w:keepNext/>
        <w:spacing w:after="100"/>
      </w:pPr>
      <w:r>
        <w:rPr>
          <w:rFonts w:ascii="Times New Roman" w:cs="Times New Roman" w:eastAsia="Times New Roman" w:hAnsi="Times New Roman"/>
          <w:b/>
          <w:bCs/>
          <w:sz w:val="20"/>
          <w:szCs w:val="20"/>
        </w:rPr>
        <w:t xml:space="preserve">Acción y reacción en el Catatumbo y su entorno, agosto a octubre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500"/>
        <w:gridCol w:w="6270"/>
      </w:tblGrid>
      <w:tr>
        <w:trPr>
          <w:cantSplit/>
          <w:tblHeader/>
        </w:trPr>
        <w:tc>
          <w:tcPr>
            <w:tcW w:type="dxa" w:w="1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Fecha</w:t>
            </w:r>
          </w:p>
        </w:tc>
        <w:tc>
          <w:tcPr>
            <w:tcW w:type="dxa" w:w="1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Actor</w:t>
            </w:r>
          </w:p>
        </w:tc>
        <w:tc>
          <w:tcPr>
            <w:tcW w:type="dxa" w:w="62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Hecho</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1 ago</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ELN (atribuido)</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Camión bomba con 15 artefactos junto al Comando de Policía de Norte de Santander, en Cúcuta: 14 heridos (11 policías y 3 civiles)</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10–11 ago</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Estado</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Primer bombardeo del nuevo gobierno («Operación Beta») contra el ELN, en zona rural de San Calixto, en el límite con El Tarra y Tibú: 8 muertos según El Tiempo (2 en el balance oficial preliminar), entre ellos un menor de 16 años. La Defensoría reportó tres campesinos heridos en la vereda El Sinaí y hubo desplazamientos hacia El Tarra</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17 ago</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ELN</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Secuestro en la vía Ocaña–Cúcuta de un mayor y dos patrulleros de la Dijín y de una civil</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28 ago</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Estado</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Cierre de las mesas con el EMBF, la CNEB y las ACSN</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31 ago</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ELN (atribuido)</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Carro bomba contra la estación de Policía de Los Patios: un taxista venezolano muerto y 11 heridos; la Policía lo atribuyó al frente urbano Carlos Germán Velasco del ELN</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3 sep</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Rama Judicial</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Un juzgado de Bogotá suspende los bombardeos donde pueda haber menores; la medida se levanta después con un estándar reforzado de precaución</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4 sep</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ELN</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Ataque con drones contra el Cantón Militar El Trapiche (Ocaña) e instalaciones en Guamalito: tres militares muertos y cuatro o cinco heridos</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5 sep</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Estado</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Activación de la campaña militar «Esparta» y toque de queda en Cúcuta</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9 sep</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Estado</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Resolución 391: revocatoria de la delegación de diálogo con el ELN</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15 sep</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Estado</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Operación en zona rural de Convención: ocho personas secuestradas por el ELN liberadas; los policías de la Dijín siguen en cautiverio</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17 sep</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Estado</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El presidente rechaza un intercambio por los policías secuestrados: «No habrá canje»</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10–11 oct</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Estado</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Bombardeo contra el Frente 33 entre Tibú y El Tarra: cuatro muertos, entre ellos una adolescente de 16 años. En la fase terrestre, un campo minado hirió a tres soldados, uno de los cuales murió después</w:t>
            </w:r>
          </w:p>
        </w:tc>
      </w:tr>
      <w:tr>
        <w:trPr>
          <w:cantSplit/>
        </w:trPr>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13 oct</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Gobierno</w:t>
            </w:r>
          </w:p>
        </w:tc>
        <w:tc>
          <w:tcPr>
            <w:tcW w:type="dxa" w:w="6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Se cancela la visita presidencial a Cúcuta en la que víctimas del Catatumbo esperaban presentar sus peticiones</w:t>
            </w:r>
          </w:p>
        </w:tc>
      </w:tr>
      <w:tr>
        <w:trPr>
          <w:cantSplit/>
        </w:trPr>
        <w:tc>
          <w:tcPr>
            <w:tcW w:type="dxa" w:w="1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7"/>
                <w:szCs w:val="17"/>
              </w:rPr>
              <w:t xml:space="preserve">17 oct</w:t>
            </w:r>
          </w:p>
        </w:tc>
        <w:tc>
          <w:tcPr>
            <w:tcW w:type="dxa" w:w="1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7"/>
                <w:szCs w:val="17"/>
              </w:rPr>
              <w:t xml:space="preserve">ELN y Frente 33</w:t>
            </w:r>
          </w:p>
        </w:tc>
        <w:tc>
          <w:tcPr>
            <w:tcW w:type="dxa" w:w="62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7"/>
                <w:szCs w:val="17"/>
              </w:rPr>
              <w:t xml:space="preserve">Combates en Tibú (La Galicia, Campo Tres) y Sardinata (Corinto), con ataque de dron cerca de niños y desplazamiento en caravana</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El Espectador (1 de agosto de 2026); El Tiempo (31 de agosto y 17 de septiembre de 2026); Infobae (11 y 12 de agosto, 5 de septiembre, 12, 13 y 18 de octubre de 2026); Noticias RCN; Semana; NTN24; El Colombiano.</w:t>
      </w:r>
    </w:p>
    <w:p>
      <w:pPr>
        <w:pStyle w:val="ListParagraph"/>
        <w:numPr>
          <w:ilvl w:val="0"/>
          <w:numId w:val="2"/>
        </w:numPr>
        <w:spacing w:after="120" w:line="264"/>
        <w:jc w:val="both"/>
      </w:pPr>
      <w:r>
        <w:rPr>
          <w:rFonts w:ascii="Times New Roman" w:cs="Times New Roman" w:eastAsia="Times New Roman" w:hAnsi="Times New Roman"/>
        </w:rPr>
        <w:t xml:space="preserve">En los cuatro bombardeos ordenados por el nuevo gobierno en todo el país han muerto siete menores de edad; dos de esas operaciones fueron en el Catatumbo. La Defensoría del Pueblo pidió al Gobierno «replantear» los bombardeos contra grupos que reclutan niños. La Zona de Ubicación Temporal, prorrogada en diciembre de 2025 por siete meses, nunca llegó a concretarse, y el Gobierno revocó la suspensión de las órdenes de captura de los mandos del Frente 33</w:t>
      </w:r>
      <w:r>
        <w:rPr>
          <w:rStyle w:val="FootnoteReference"/>
        </w:rPr>
        <w:footnoteReference w:id="10"/>
      </w:r>
      <w:r>
        <w:rPr>
          <w:rFonts w:ascii="Times New Roman" w:cs="Times New Roman" w:eastAsia="Times New Roman" w:hAnsi="Times New Roman"/>
        </w:rPr>
        <w:t xml:space="preserve">.</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F.	Escenarios de riesgo, finales de 2026 a 2027</w:t>
      </w:r>
    </w:p>
    <w:p>
      <w:pPr>
        <w:keepNext/>
        <w:spacing w:after="0" w:before="200"/>
      </w:pPr>
      <w:r>
        <w:rPr>
          <w:rFonts w:ascii="Times New Roman" w:cs="Times New Roman" w:eastAsia="Times New Roman" w:hAnsi="Times New Roman"/>
          <w:sz w:val="20"/>
          <w:szCs w:val="20"/>
        </w:rPr>
        <w:t xml:space="preserve">Cuadro 17</w:t>
      </w:r>
    </w:p>
    <w:p>
      <w:pPr>
        <w:keepNext/>
        <w:spacing w:after="100"/>
      </w:pPr>
      <w:r>
        <w:rPr>
          <w:rFonts w:ascii="Times New Roman" w:cs="Times New Roman" w:eastAsia="Times New Roman" w:hAnsi="Times New Roman"/>
          <w:b/>
          <w:bCs/>
          <w:sz w:val="20"/>
          <w:szCs w:val="20"/>
        </w:rPr>
        <w:t xml:space="preserve">Escenarios de riesgo y señales que conviene vigilar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070"/>
      </w:tblGrid>
      <w:tr>
        <w:trPr>
          <w:cantSplit/>
          <w:tblHeader/>
        </w:trPr>
        <w:tc>
          <w:tcPr>
            <w:tcW w:type="dxa" w:w="2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Escenario</w:t>
            </w:r>
          </w:p>
        </w:tc>
        <w:tc>
          <w:tcPr>
            <w:tcW w:type="dxa" w:w="37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Descripción</w:t>
            </w:r>
          </w:p>
        </w:tc>
        <w:tc>
          <w:tcPr>
            <w:tcW w:type="dxa" w:w="30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Señales a vigilar</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Base: guerra triangular de desgaste</w:t>
            </w:r>
          </w:p>
        </w:tc>
        <w:tc>
          <w:tcPr>
            <w:tcW w:type="dxa" w:w="3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ELN, Frente 33 y Estado combaten en Tibú, El Tarra y Sardinata, con drones, minas y bombardeos</w:t>
            </w:r>
          </w:p>
        </w:tc>
        <w:tc>
          <w:tcPr>
            <w:tcW w:type="dxa" w:w="3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Eventos de desplazamiento masivo; víctimas de minas en Tibú; menores muertos en operaciones; homicidios por modalidad</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Retaliación urbana del ELN</w:t>
            </w:r>
          </w:p>
        </w:tc>
        <w:tc>
          <w:tcPr>
            <w:tcW w:type="dxa" w:w="3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Atentados en Cúcuta, Los Patios y Ocaña, empujados por la presión militar y el plazo de 90 días</w:t>
            </w:r>
          </w:p>
        </w:tc>
        <w:tc>
          <w:tcPr>
            <w:tcW w:type="dxa" w:w="3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Carros bomba, drones contra instalaciones, paros armados</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Fragmentación del Frente 33</w:t>
            </w:r>
          </w:p>
        </w:tc>
        <w:tc>
          <w:tcPr>
            <w:tcW w:type="dxa" w:w="3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Si caen sus mandos, alianzas con Los Pelusos o Los Turcos y más extorsión en el área metropolitana</w:t>
            </w:r>
          </w:p>
        </w:tc>
        <w:tc>
          <w:tcPr>
            <w:tcW w:type="dxa" w:w="3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Capturas o muertes de mandos; extorsión «GAO» en el área metropolitana</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Entrada de las ACSN o el EGC</w:t>
            </w:r>
          </w:p>
        </w:tc>
        <w:tc>
          <w:tcPr>
            <w:tcW w:type="dxa" w:w="3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Expansión desde Cáchira, La Esperanza y Río de Oro</w:t>
            </w:r>
          </w:p>
        </w:tc>
        <w:tc>
          <w:tcPr>
            <w:tcW w:type="dxa" w:w="3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Alertas tempranas; homicidios en el sur del departamento</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Factor Venezuela</w:t>
            </w:r>
          </w:p>
        </w:tc>
        <w:tc>
          <w:tcPr>
            <w:tcW w:type="dxa" w:w="3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La presión de Estados Unidos puede empujar al ELN hacia Colombia o consolidar santuarios en el Zulia</w:t>
            </w:r>
          </w:p>
        </w:tc>
        <w:tc>
          <w:tcPr>
            <w:tcW w:type="dxa" w:w="3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Movimientos de mandos; operaciones binacionales</w:t>
            </w:r>
          </w:p>
        </w:tc>
      </w:tr>
      <w:tr>
        <w:trPr>
          <w:cantSplit/>
        </w:trPr>
        <w:tc>
          <w:tcPr>
            <w:tcW w:type="dxa" w:w="2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7"/>
                <w:szCs w:val="17"/>
              </w:rPr>
              <w:t xml:space="preserve">Rehenes de la Dijín</w:t>
            </w:r>
          </w:p>
        </w:tc>
        <w:tc>
          <w:tcPr>
            <w:tcW w:type="dxa" w:w="37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Su muerte llevaría probablemente a una escalada; un rescate fortalecería la línea dura</w:t>
            </w:r>
          </w:p>
        </w:tc>
        <w:tc>
          <w:tcPr>
            <w:tcW w:type="dxa" w:w="30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Pruebas de supervivencia; mediación humanitaria</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Elaboración propia.</w:t>
      </w:r>
    </w:p>
    <w:p>
      <w:r>
        <w:br w:type="page"/>
      </w:r>
    </w:p>
    <w:p>
      <w:pPr>
        <w:pStyle w:val="Heading1"/>
        <w:keepNext/>
        <w:tabs>
          <w:tab w:val="left" w:pos="1134"/>
        </w:tabs>
        <w:spacing w:after="240" w:before="120"/>
        <w:ind w:left="1134" w:hanging="1134"/>
      </w:pPr>
      <w:r>
        <w:rPr>
          <w:rFonts w:ascii="Times New Roman" w:cs="Times New Roman" w:eastAsia="Times New Roman" w:hAnsi="Times New Roman"/>
          <w:b/>
          <w:bCs/>
          <w:sz w:val="28"/>
          <w:szCs w:val="28"/>
        </w:rPr>
        <w:t xml:space="preserve">III.	Eje 2. Economía y prioridades del territorio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40"/>
              <w:left w:type="dxa" w:w="200"/>
              <w:bottom w:type="dxa" w:w="120"/>
              <w:right w:type="dxa" w:w="200"/>
            </w:tcMar>
          </w:tcPr>
          <w:p>
            <w:pPr>
              <w:keepNext/>
              <w:spacing w:after="100"/>
            </w:pPr>
            <w:r>
              <w:rPr>
                <w:rFonts w:ascii="Times New Roman" w:cs="Times New Roman" w:eastAsia="Times New Roman" w:hAnsi="Times New Roman"/>
                <w:b/>
                <w:bCs/>
                <w:sz w:val="21"/>
                <w:szCs w:val="21"/>
              </w:rPr>
              <w:t xml:space="preserve">Mensajes clave del eje 2</w:t>
            </w:r>
          </w:p>
          <w:p>
            <w:pPr>
              <w:pStyle w:val="ListParagraph"/>
              <w:numPr>
                <w:ilvl w:val="0"/>
                <w:numId w:val="4"/>
              </w:numPr>
              <w:spacing w:after="60" w:line="252"/>
              <w:jc w:val="both"/>
            </w:pPr>
            <w:r>
              <w:rPr>
                <w:rFonts w:ascii="Times New Roman" w:cs="Times New Roman" w:eastAsia="Times New Roman" w:hAnsi="Times New Roman"/>
                <w:sz w:val="20"/>
                <w:szCs w:val="20"/>
              </w:rPr>
              <w:t xml:space="preserve">El Catatumbo es la tercera región cocalera de Colombia, con 48.739 hectáreas en 2024 (el 18,7 % del país), a solo 451 hectáreas de Putumayo–Caquetá; Norte de Santander es el segundo departamento con más coca, después de Nariño. Tibú es el segundo municipio con más coca del país y El Tarra el octavo. La guerra entre el ELN y el Frente 33 es también una disputa por esa renta y por la frontera.</w:t>
            </w:r>
          </w:p>
          <w:p>
            <w:pPr>
              <w:pStyle w:val="ListParagraph"/>
              <w:numPr>
                <w:ilvl w:val="0"/>
                <w:numId w:val="4"/>
              </w:numPr>
              <w:spacing w:after="60" w:line="252"/>
              <w:jc w:val="both"/>
            </w:pPr>
            <w:r>
              <w:rPr>
                <w:rFonts w:ascii="Times New Roman" w:cs="Times New Roman" w:eastAsia="Times New Roman" w:hAnsi="Times New Roman"/>
                <w:sz w:val="20"/>
                <w:szCs w:val="20"/>
              </w:rPr>
              <w:t xml:space="preserve">Las economías legales existen y son grandes (petróleo y gas, palma, carbón, cebolla y frijol de la provincia de Ocaña), pero están cercadas por el hurto de crudo, la extorsión y el desplazamiento de la mano de obra.</w:t>
            </w:r>
          </w:p>
          <w:p>
            <w:pPr>
              <w:pStyle w:val="ListParagraph"/>
              <w:numPr>
                <w:ilvl w:val="0"/>
                <w:numId w:val="4"/>
              </w:numPr>
              <w:spacing w:after="60" w:line="252"/>
              <w:jc w:val="both"/>
            </w:pPr>
            <w:r>
              <w:rPr>
                <w:rFonts w:ascii="Times New Roman" w:cs="Times New Roman" w:eastAsia="Times New Roman" w:hAnsi="Times New Roman"/>
                <w:sz w:val="20"/>
                <w:szCs w:val="20"/>
              </w:rPr>
              <w:t xml:space="preserve">La pobreza rural es extrema: en 2018 el índice de pobreza multidimensional rural superaba el 65 % en 10 de los 11 municipios y la informalidad laboral iba del 89 % al 96 %.</w:t>
            </w:r>
          </w:p>
          <w:p>
            <w:pPr>
              <w:pStyle w:val="ListParagraph"/>
              <w:numPr>
                <w:ilvl w:val="0"/>
                <w:numId w:val="4"/>
              </w:numPr>
              <w:spacing w:after="60" w:line="252"/>
              <w:jc w:val="both"/>
            </w:pPr>
            <w:r>
              <w:rPr>
                <w:rFonts w:ascii="Times New Roman" w:cs="Times New Roman" w:eastAsia="Times New Roman" w:hAnsi="Times New Roman"/>
                <w:sz w:val="20"/>
                <w:szCs w:val="20"/>
              </w:rPr>
              <w:t xml:space="preserve">Sobre el papel hay una arquitectura de inversión amplia (PATR, Pacto Social por el Catatumbo, Transversal del Catatumbo), pero su ejecución es parcial y el nuevo gobierno no ha dicho si la mantendrá.</w:t>
            </w:r>
          </w:p>
        </w:tc>
      </w:tr>
    </w:tbl>
    <w:p>
      <w:pPr>
        <w:spacing w:after="160"/>
      </w:pP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A.	Perfil socioeconómico</w:t>
      </w:r>
    </w:p>
    <w:p>
      <w:pPr>
        <w:pStyle w:val="ListParagraph"/>
        <w:numPr>
          <w:ilvl w:val="0"/>
          <w:numId w:val="2"/>
        </w:numPr>
        <w:spacing w:after="120" w:line="264"/>
        <w:jc w:val="both"/>
      </w:pPr>
      <w:r>
        <w:rPr>
          <w:rFonts w:ascii="Times New Roman" w:cs="Times New Roman" w:eastAsia="Times New Roman" w:hAnsi="Times New Roman"/>
        </w:rPr>
        <w:t xml:space="preserve">Los 11 municipios suman 393.160 habitantes en 2026, el 22,9 % de Norte de Santander (1.717.792), con un 45,7 % de población rural. Los 8 municipios PDET suman 207.863 habitantes, de los cuales el 67,3 % vive en zonas rurales. Ocaña, con 139.932 habitantes, es el centro urbano y comercial de la región; Tibú, con 70.336, es el municipio más extenso y el epicentro de la guerra</w:t>
      </w:r>
      <w:r>
        <w:rPr>
          <w:rStyle w:val="FootnoteReference"/>
        </w:rPr>
        <w:footnoteReference w:id="11"/>
      </w:r>
      <w:r>
        <w:rPr>
          <w:rFonts w:ascii="Times New Roman" w:cs="Times New Roman" w:eastAsia="Times New Roman" w:hAnsi="Times New Roman"/>
        </w:rPr>
        <w:t xml:space="preserve">.</w:t>
      </w:r>
    </w:p>
    <w:p>
      <w:pPr>
        <w:keepNext/>
        <w:spacing w:after="0" w:before="200"/>
      </w:pPr>
      <w:r>
        <w:rPr>
          <w:rFonts w:ascii="Times New Roman" w:cs="Times New Roman" w:eastAsia="Times New Roman" w:hAnsi="Times New Roman"/>
          <w:sz w:val="20"/>
          <w:szCs w:val="20"/>
        </w:rPr>
        <w:t xml:space="preserve">Cuadro 18</w:t>
      </w:r>
    </w:p>
    <w:p>
      <w:pPr>
        <w:keepNext/>
        <w:spacing w:after="100"/>
      </w:pPr>
      <w:r>
        <w:rPr>
          <w:rFonts w:ascii="Times New Roman" w:cs="Times New Roman" w:eastAsia="Times New Roman" w:hAnsi="Times New Roman"/>
          <w:b/>
          <w:bCs/>
          <w:sz w:val="20"/>
          <w:szCs w:val="20"/>
        </w:rPr>
        <w:t xml:space="preserve">Población, ruralidad y pobreza en los municipios del Catatumbo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0"/>
        <w:gridCol w:w="1500"/>
        <w:gridCol w:w="1500"/>
        <w:gridCol w:w="2000"/>
        <w:gridCol w:w="1700"/>
      </w:tblGrid>
      <w:tr>
        <w:trPr>
          <w:cantSplit/>
          <w:tblHeader/>
        </w:trPr>
        <w:tc>
          <w:tcPr>
            <w:tcW w:type="dxa" w:w="23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Municipio</w:t>
            </w:r>
          </w:p>
        </w:tc>
        <w:tc>
          <w:tcPr>
            <w:tcW w:type="dxa" w:w="1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Población</w:t>
            </w:r>
          </w:p>
          <w:p>
            <w:pPr>
              <w:keepNext/>
              <w:spacing w:after="0" w:line="240"/>
              <w:jc w:val="right"/>
            </w:pPr>
            <w:r>
              <w:rPr>
                <w:rFonts w:ascii="Times New Roman" w:cs="Times New Roman" w:eastAsia="Times New Roman" w:hAnsi="Times New Roman"/>
                <w:b w:val="false"/>
                <w:bCs w:val="false"/>
                <w:i/>
                <w:iCs/>
                <w:sz w:val="18"/>
                <w:szCs w:val="18"/>
              </w:rPr>
              <w:t xml:space="preserve">2026</w:t>
            </w:r>
          </w:p>
        </w:tc>
        <w:tc>
          <w:tcPr>
            <w:tcW w:type="dxa" w:w="1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Población</w:t>
            </w:r>
          </w:p>
          <w:p>
            <w:pPr>
              <w:keepNext/>
              <w:spacing w:after="0" w:line="240"/>
              <w:jc w:val="right"/>
            </w:pPr>
            <w:r>
              <w:rPr>
                <w:rFonts w:ascii="Times New Roman" w:cs="Times New Roman" w:eastAsia="Times New Roman" w:hAnsi="Times New Roman"/>
                <w:b w:val="false"/>
                <w:bCs w:val="false"/>
                <w:i/>
                <w:iCs/>
                <w:sz w:val="18"/>
                <w:szCs w:val="18"/>
              </w:rPr>
              <w:t xml:space="preserve">rural (%)</w:t>
            </w:r>
          </w:p>
        </w:tc>
        <w:tc>
          <w:tcPr>
            <w:tcW w:type="dxa" w:w="20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IPM 2018 (%)</w:t>
            </w:r>
          </w:p>
          <w:p>
            <w:pPr>
              <w:keepNext/>
              <w:spacing w:after="0" w:line="240"/>
              <w:jc w:val="right"/>
            </w:pPr>
            <w:r>
              <w:rPr>
                <w:rFonts w:ascii="Times New Roman" w:cs="Times New Roman" w:eastAsia="Times New Roman" w:hAnsi="Times New Roman"/>
                <w:b w:val="false"/>
                <w:bCs w:val="false"/>
                <w:i/>
                <w:iCs/>
                <w:sz w:val="18"/>
                <w:szCs w:val="18"/>
              </w:rPr>
              <w:t xml:space="preserve">total / rural</w:t>
            </w:r>
          </w:p>
        </w:tc>
        <w:tc>
          <w:tcPr>
            <w:tcW w:type="dxa" w:w="17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NBI 2018</w:t>
            </w:r>
          </w:p>
          <w:p>
            <w:pPr>
              <w:keepNext/>
              <w:spacing w:after="0" w:line="240"/>
              <w:jc w:val="right"/>
            </w:pPr>
            <w:r>
              <w:rPr>
                <w:rFonts w:ascii="Times New Roman" w:cs="Times New Roman" w:eastAsia="Times New Roman" w:hAnsi="Times New Roman"/>
                <w:b w:val="false"/>
                <w:bCs w:val="false"/>
                <w:i/>
                <w:iCs/>
                <w:sz w:val="18"/>
                <w:szCs w:val="18"/>
              </w:rPr>
              <w:t xml:space="preserve">(%)</w:t>
            </w:r>
          </w:p>
        </w:tc>
      </w:tr>
      <w:tr>
        <w:trPr>
          <w:cantSplit/>
        </w:trPr>
        <w:tc>
          <w:tcPr>
            <w:tcW w:type="dxa" w:w="2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Ocaña</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139.932</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10,2</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31,4 / 57,4</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12,6</w:t>
            </w:r>
          </w:p>
        </w:tc>
      </w:tr>
      <w:tr>
        <w:trPr>
          <w:cantSplit/>
        </w:trPr>
        <w:tc>
          <w:tcPr>
            <w:tcW w:type="dxa" w:w="2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Tibú (PDET)</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70.336</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63,1</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57,6 / 65,2</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46,2</w:t>
            </w:r>
          </w:p>
        </w:tc>
      </w:tr>
      <w:tr>
        <w:trPr>
          <w:cantSplit/>
        </w:trPr>
        <w:tc>
          <w:tcPr>
            <w:tcW w:type="dxa" w:w="2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Ábrego</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36.622</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48,3</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55,8 / 72,9</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27,9</w:t>
            </w:r>
          </w:p>
        </w:tc>
      </w:tr>
      <w:tr>
        <w:trPr>
          <w:cantSplit/>
        </w:trPr>
        <w:tc>
          <w:tcPr>
            <w:tcW w:type="dxa" w:w="2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Sardinata (PDET)</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29.088</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61,5</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53,8 / 67,6</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37,2</w:t>
            </w:r>
          </w:p>
        </w:tc>
      </w:tr>
      <w:tr>
        <w:trPr>
          <w:cantSplit/>
        </w:trPr>
        <w:tc>
          <w:tcPr>
            <w:tcW w:type="dxa" w:w="2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El Tarra (PDET)</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28.561</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56,7</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71,2 / 77,6</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50,6</w:t>
            </w:r>
          </w:p>
        </w:tc>
      </w:tr>
      <w:tr>
        <w:trPr>
          <w:cantSplit/>
        </w:trPr>
        <w:tc>
          <w:tcPr>
            <w:tcW w:type="dxa" w:w="2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Convención (PDET)</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21.428</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59,8</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64,0 / 79,3</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31,2</w:t>
            </w:r>
          </w:p>
        </w:tc>
      </w:tr>
      <w:tr>
        <w:trPr>
          <w:cantSplit/>
        </w:trPr>
        <w:tc>
          <w:tcPr>
            <w:tcW w:type="dxa" w:w="2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Teorama (PDET)</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18.671</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83,5</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67,1 / 73,6</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38,2</w:t>
            </w:r>
          </w:p>
        </w:tc>
      </w:tr>
      <w:tr>
        <w:trPr>
          <w:cantSplit/>
        </w:trPr>
        <w:tc>
          <w:tcPr>
            <w:tcW w:type="dxa" w:w="2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El Carmen (PDET)</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15.140</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83,0</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68,9 / 75,9</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48,7</w:t>
            </w:r>
          </w:p>
        </w:tc>
      </w:tr>
      <w:tr>
        <w:trPr>
          <w:cantSplit/>
        </w:trPr>
        <w:tc>
          <w:tcPr>
            <w:tcW w:type="dxa" w:w="2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San Calixto (PDET)</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13.849</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81,4</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73,5 / 80,7</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38,5</w:t>
            </w:r>
          </w:p>
        </w:tc>
      </w:tr>
      <w:tr>
        <w:trPr>
          <w:cantSplit/>
        </w:trPr>
        <w:tc>
          <w:tcPr>
            <w:tcW w:type="dxa" w:w="2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Hacarí (PDET)</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10.790</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85,4</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73,4 / 78,0</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42,4</w:t>
            </w:r>
          </w:p>
        </w:tc>
      </w:tr>
      <w:tr>
        <w:trPr>
          <w:cantSplit/>
        </w:trPr>
        <w:tc>
          <w:tcPr>
            <w:tcW w:type="dxa" w:w="2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La Playa</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8.743</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87,9</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67,9 / 74,0</w:t>
            </w:r>
          </w:p>
        </w:tc>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24,4</w:t>
            </w:r>
          </w:p>
        </w:tc>
      </w:tr>
      <w:tr>
        <w:trPr>
          <w:cantSplit/>
        </w:trPr>
        <w:tc>
          <w:tcPr>
            <w:tcW w:type="dxa" w:w="237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Catatumbo (11 municipios)</w:t>
            </w:r>
          </w:p>
        </w:tc>
        <w:tc>
          <w:tcPr>
            <w:tcW w:type="dxa" w:w="150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393.160</w:t>
            </w:r>
          </w:p>
        </w:tc>
        <w:tc>
          <w:tcPr>
            <w:tcW w:type="dxa" w:w="150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45,7</w:t>
            </w:r>
          </w:p>
        </w:tc>
        <w:tc>
          <w:tcPr>
            <w:tcW w:type="dxa" w:w="200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p>
        </w:tc>
        <w:tc>
          <w:tcPr>
            <w:tcW w:type="dxa" w:w="170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p>
        </w:tc>
      </w:tr>
      <w:tr>
        <w:trPr>
          <w:cantSplit/>
        </w:trPr>
        <w:tc>
          <w:tcPr>
            <w:tcW w:type="dxa" w:w="23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Norte de Santander</w:t>
            </w:r>
          </w:p>
        </w:tc>
        <w:tc>
          <w:tcPr>
            <w:tcW w:type="dxa" w:w="1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1.717.792</w:t>
            </w:r>
          </w:p>
        </w:tc>
        <w:tc>
          <w:tcPr>
            <w:tcW w:type="dxa" w:w="1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p>
        </w:tc>
        <w:tc>
          <w:tcPr>
            <w:tcW w:type="dxa" w:w="20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p>
        </w:tc>
        <w:tc>
          <w:tcPr>
            <w:tcW w:type="dxa" w:w="17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18,4</w:t>
            </w:r>
          </w:p>
        </w:tc>
      </w:tr>
    </w:tbl>
    <w:p>
      <w:pPr>
        <w:spacing w:after="40" w:before="60"/>
      </w:pPr>
      <w:r>
        <w:rPr>
          <w:rFonts w:ascii="Times New Roman" w:cs="Times New Roman" w:eastAsia="Times New Roman" w:hAnsi="Times New Roman"/>
          <w:i w:val="false"/>
          <w:iCs w:val="false"/>
          <w:sz w:val="16"/>
          <w:szCs w:val="16"/>
        </w:rPr>
        <w:t xml:space="preserve">Nota: IPM = índice de pobreza multidimensional; NBI = necesidades básicas insatisfechas. Ambos provienen del Censo Nacional de Población y Vivienda de 2018, la última medición municipal disponible. El NBI nacional de 2018 fue 14,3 %.</w:t>
      </w:r>
    </w:p>
    <w:p>
      <w:pPr>
        <w:spacing w:after="220" w:before="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DANE, proyecciones de población 2018-2042 (actualización de julio de 2025); DANE, CNPV 2018, anexos de pobreza multidimensional y NBI municipal.</w:t>
      </w:r>
    </w:p>
    <w:p>
      <w:pPr>
        <w:pStyle w:val="ListParagraph"/>
        <w:numPr>
          <w:ilvl w:val="0"/>
          <w:numId w:val="2"/>
        </w:numPr>
        <w:spacing w:after="120" w:line="264"/>
        <w:jc w:val="both"/>
      </w:pPr>
      <w:r>
        <w:rPr>
          <w:rFonts w:ascii="Times New Roman" w:cs="Times New Roman" w:eastAsia="Times New Roman" w:hAnsi="Times New Roman"/>
        </w:rPr>
        <w:t xml:space="preserve">Las privaciones del IPM muestran brechas de las más profundas del país</w:t>
      </w:r>
      <w:r>
        <w:rPr>
          <w:rStyle w:val="FootnoteReference"/>
        </w:rPr>
        <w:footnoteReference w:id="12"/>
      </w:r>
      <w:r>
        <w:rPr>
          <w:rFonts w:ascii="Times New Roman" w:cs="Times New Roman" w:eastAsia="Times New Roman" w:hAnsi="Times New Roman"/>
        </w:rPr>
        <w:t xml:space="preserve">:</w:t>
      </w:r>
    </w:p>
    <w:p>
      <w:pPr>
        <w:pStyle w:val="ListParagraph"/>
        <w:numPr>
          <w:ilvl w:val="0"/>
          <w:numId w:val="3"/>
        </w:numPr>
        <w:spacing w:after="80" w:line="252"/>
        <w:jc w:val="both"/>
      </w:pPr>
      <w:r>
        <w:rPr>
          <w:rFonts w:ascii="Times New Roman" w:cs="Times New Roman" w:eastAsia="Times New Roman" w:hAnsi="Times New Roman"/>
          <w:b/>
          <w:bCs/>
        </w:rPr>
        <w:t xml:space="preserve">Empleo:</w:t>
      </w:r>
      <w:r>
        <w:rPr>
          <w:rFonts w:ascii="Times New Roman" w:cs="Times New Roman" w:eastAsia="Times New Roman" w:hAnsi="Times New Roman"/>
        </w:rPr>
        <w:t xml:space="preserve"> entre el 89,3 % (Ocaña) y el 96,2 % (El Tarra) de los hogares tienen privación por trabajo informal.</w:t>
      </w:r>
    </w:p>
    <w:p>
      <w:pPr>
        <w:pStyle w:val="ListParagraph"/>
        <w:numPr>
          <w:ilvl w:val="0"/>
          <w:numId w:val="3"/>
        </w:numPr>
        <w:spacing w:after="80" w:line="252"/>
        <w:jc w:val="both"/>
      </w:pPr>
      <w:r>
        <w:rPr>
          <w:rFonts w:ascii="Times New Roman" w:cs="Times New Roman" w:eastAsia="Times New Roman" w:hAnsi="Times New Roman"/>
          <w:b/>
          <w:bCs/>
        </w:rPr>
        <w:t xml:space="preserve">Agua:</w:t>
      </w:r>
      <w:r>
        <w:rPr>
          <w:rFonts w:ascii="Times New Roman" w:cs="Times New Roman" w:eastAsia="Times New Roman" w:hAnsi="Times New Roman"/>
        </w:rPr>
        <w:t xml:space="preserve"> carecen de fuente de agua mejorada el 72,9 % de los hogares de Hacarí, el 67,9 % de La Playa, el 55,3 % de El Carmen y el 54,7 % de Teorama, frente al 7,0 % de Ocaña.</w:t>
      </w:r>
    </w:p>
    <w:p>
      <w:pPr>
        <w:pStyle w:val="ListParagraph"/>
        <w:numPr>
          <w:ilvl w:val="0"/>
          <w:numId w:val="3"/>
        </w:numPr>
        <w:spacing w:after="80" w:line="252"/>
        <w:jc w:val="both"/>
      </w:pPr>
      <w:r>
        <w:rPr>
          <w:rFonts w:ascii="Times New Roman" w:cs="Times New Roman" w:eastAsia="Times New Roman" w:hAnsi="Times New Roman"/>
          <w:b/>
          <w:bCs/>
        </w:rPr>
        <w:t xml:space="preserve">Educación y niñez:</w:t>
      </w:r>
      <w:r>
        <w:rPr>
          <w:rFonts w:ascii="Times New Roman" w:cs="Times New Roman" w:eastAsia="Times New Roman" w:hAnsi="Times New Roman"/>
        </w:rPr>
        <w:t xml:space="preserve"> Hacarí (88,5 %) y San Calixto (86,1 %) tienen el segundo y el tercer peor indicador de bajo logro educativo del país; Hacarí registra la tasa de trabajo infantil más alta del país (11,3 %) y San Calixto la tercera (8,5 %).</w:t>
      </w:r>
    </w:p>
    <w:p>
      <w:pPr>
        <w:pStyle w:val="ListParagraph"/>
        <w:numPr>
          <w:ilvl w:val="0"/>
          <w:numId w:val="3"/>
        </w:numPr>
        <w:spacing w:after="80" w:line="252"/>
        <w:jc w:val="both"/>
      </w:pPr>
      <w:r>
        <w:rPr>
          <w:rFonts w:ascii="Times New Roman" w:cs="Times New Roman" w:eastAsia="Times New Roman" w:hAnsi="Times New Roman"/>
          <w:b/>
          <w:bCs/>
        </w:rPr>
        <w:t xml:space="preserve">Salud:</w:t>
      </w:r>
      <w:r>
        <w:rPr>
          <w:rFonts w:ascii="Times New Roman" w:cs="Times New Roman" w:eastAsia="Times New Roman" w:hAnsi="Times New Roman"/>
        </w:rPr>
        <w:t xml:space="preserve"> San Calixto tiene la segunda tasa más alta del país de barreras de acceso a servicios de salud (29,4 %).</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B.	Economías ilícitas</w:t>
      </w:r>
    </w:p>
    <w:p>
      <w:pPr>
        <w:pStyle w:val="Heading3"/>
        <w:keepNext/>
        <w:spacing w:after="80" w:before="160"/>
        <w:ind w:left="1134"/>
      </w:pPr>
      <w:r>
        <w:rPr>
          <w:rFonts w:ascii="Times New Roman" w:cs="Times New Roman" w:eastAsia="Times New Roman" w:hAnsi="Times New Roman"/>
          <w:b/>
          <w:bCs/>
          <w:i/>
          <w:iCs/>
          <w:sz w:val="22"/>
          <w:szCs w:val="22"/>
        </w:rPr>
        <w:t xml:space="preserve">Coca</w:t>
      </w:r>
    </w:p>
    <w:p>
      <w:pPr>
        <w:pStyle w:val="ListParagraph"/>
        <w:numPr>
          <w:ilvl w:val="0"/>
          <w:numId w:val="2"/>
        </w:numPr>
        <w:spacing w:after="120" w:line="264"/>
        <w:jc w:val="both"/>
      </w:pPr>
      <w:r>
        <w:rPr>
          <w:rFonts w:ascii="Times New Roman" w:cs="Times New Roman" w:eastAsia="Times New Roman" w:hAnsi="Times New Roman"/>
        </w:rPr>
        <w:t xml:space="preserve">Según el monitoreo de UNODC y el Gobierno de Colombia publicado a finales de junio de 2026, la región Catatumbo pasó de 43.867 hectáreas de coca en 2023 a 48.739 en 2024 (+11 %), el 18,7 % del total nacional (unas 261.000 hectáreas). Es la tercera región del país, detrás del Pacífico (121.612 hectáreas) y de Putumayo–Caquetá (49.190). Tibú tenía 25.911 hectáreas, el 53 % de la región y el segundo municipio del país después de Tumaco; El Tarra, 7.665 hectáreas, el octavo. Entre los dos concentran el 69 % de la coca regional. La coca se expandió hacia El Tarra y Las Mercedes (Sardinata), y el Parque Nacional Natural Catatumbo Barí fue el parque que más creció en coca en 2024</w:t>
      </w:r>
      <w:r>
        <w:rPr>
          <w:rStyle w:val="FootnoteReference"/>
        </w:rPr>
        <w:footnoteReference w:id="13"/>
      </w:r>
      <w:r>
        <w:rPr>
          <w:rFonts w:ascii="Times New Roman" w:cs="Times New Roman" w:eastAsia="Times New Roman" w:hAnsi="Times New Roman"/>
        </w:rPr>
        <w:t xml:space="preserve">.</w:t>
      </w:r>
    </w:p>
    <w:p>
      <w:pPr>
        <w:keepNext/>
        <w:spacing w:after="0" w:before="200"/>
      </w:pPr>
      <w:r>
        <w:rPr>
          <w:rFonts w:ascii="Times New Roman" w:cs="Times New Roman" w:eastAsia="Times New Roman" w:hAnsi="Times New Roman"/>
          <w:sz w:val="20"/>
          <w:szCs w:val="20"/>
        </w:rPr>
        <w:t xml:space="preserve">Cuadro 19</w:t>
      </w:r>
    </w:p>
    <w:p>
      <w:pPr>
        <w:keepNext/>
        <w:spacing w:after="100"/>
      </w:pPr>
      <w:r>
        <w:rPr>
          <w:rFonts w:ascii="Times New Roman" w:cs="Times New Roman" w:eastAsia="Times New Roman" w:hAnsi="Times New Roman"/>
          <w:b/>
          <w:bCs/>
          <w:sz w:val="20"/>
          <w:szCs w:val="20"/>
        </w:rPr>
        <w:t xml:space="preserve">Cultivos de coca en el Catatumbo, 2023 y 2024 (hectáreas)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1300"/>
        <w:gridCol w:w="1300"/>
        <w:gridCol w:w="1300"/>
        <w:gridCol w:w="1800"/>
      </w:tblGrid>
      <w:tr>
        <w:trPr>
          <w:cantSplit/>
          <w:tblHeader/>
        </w:trPr>
        <w:tc>
          <w:tcPr>
            <w:tcW w:type="dxa" w:w="33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Territorio</w:t>
            </w:r>
          </w:p>
        </w:tc>
        <w:tc>
          <w:tcPr>
            <w:tcW w:type="dxa" w:w="1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2023</w:t>
            </w:r>
          </w:p>
        </w:tc>
        <w:tc>
          <w:tcPr>
            <w:tcW w:type="dxa" w:w="1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2024</w:t>
            </w:r>
          </w:p>
        </w:tc>
        <w:tc>
          <w:tcPr>
            <w:tcW w:type="dxa" w:w="1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Variación</w:t>
            </w:r>
          </w:p>
        </w:tc>
        <w:tc>
          <w:tcPr>
            <w:tcW w:type="dxa" w:w="18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Posición nacional 2024</w:t>
            </w:r>
          </w:p>
        </w:tc>
      </w:tr>
      <w:tr>
        <w:trPr>
          <w:cantSplit/>
        </w:trPr>
        <w:tc>
          <w:tcPr>
            <w:tcW w:type="dxa" w:w="3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Tibú</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23.030</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25.911</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+12,5 %</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2.º</w:t>
            </w:r>
          </w:p>
        </w:tc>
      </w:tr>
      <w:tr>
        <w:trPr>
          <w:cantSplit/>
        </w:trPr>
        <w:tc>
          <w:tcPr>
            <w:tcW w:type="dxa" w:w="3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El Tarra</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6.864</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7.665</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+11,7 %</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8.º</w:t>
            </w:r>
          </w:p>
        </w:tc>
      </w:tr>
      <w:tr>
        <w:trPr>
          <w:cantSplit/>
        </w:trPr>
        <w:tc>
          <w:tcPr>
            <w:tcW w:type="dxa" w:w="33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Región Catatumbo (SIMCI)</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43.867</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48.739</w:t>
            </w:r>
          </w:p>
        </w:tc>
        <w:tc>
          <w:tcPr>
            <w:tcW w:type="dxa" w:w="1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+11,1 %</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18,7 % del total</w:t>
            </w:r>
          </w:p>
        </w:tc>
      </w:tr>
      <w:tr>
        <w:trPr>
          <w:cantSplit/>
        </w:trPr>
        <w:tc>
          <w:tcPr>
            <w:tcW w:type="dxa" w:w="33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Colombia</w:t>
            </w:r>
          </w:p>
        </w:tc>
        <w:tc>
          <w:tcPr>
            <w:tcW w:type="dxa" w:w="1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253.000</w:t>
            </w:r>
          </w:p>
        </w:tc>
        <w:tc>
          <w:tcPr>
            <w:tcW w:type="dxa" w:w="1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261.000</w:t>
            </w:r>
          </w:p>
        </w:tc>
        <w:tc>
          <w:tcPr>
            <w:tcW w:type="dxa" w:w="1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+3 %</w:t>
            </w:r>
          </w:p>
        </w:tc>
        <w:tc>
          <w:tcPr>
            <w:tcW w:type="dxa" w:w="18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UNODC-SIMCI, informe 2024 (junio de 2026). El total nacional de 2023 es el publicado en el informe anterior.</w:t>
      </w:r>
    </w:p>
    <w:p>
      <w:pPr>
        <w:pStyle w:val="ListParagraph"/>
        <w:numPr>
          <w:ilvl w:val="0"/>
          <w:numId w:val="2"/>
        </w:numPr>
        <w:spacing w:after="120" w:line="264"/>
        <w:jc w:val="both"/>
      </w:pPr>
      <w:r>
        <w:rPr>
          <w:rFonts w:ascii="Times New Roman" w:cs="Times New Roman" w:eastAsia="Times New Roman" w:hAnsi="Times New Roman"/>
        </w:rPr>
        <w:t xml:space="preserve">La producción de cocaína de 2024 no se publicó: el Gobierno y UNODC acordaron revisar la metodología. El encadenamiento con la economía legal es alto, porque la mayor parte de los insumos por hectárea son de origen lícito y una parte del valor se paga en jornales; por eso la coca mueve el comercio local. Después de la caída de compradores de 2022 («crisis de la coca»), el regreso del dinero en 2024 se cuenta entre las causas de la ofensiva del ELN de enero de 2025</w:t>
      </w:r>
      <w:r>
        <w:rPr>
          <w:rStyle w:val="FootnoteReference"/>
        </w:rPr>
        <w:footnoteReference w:id="14"/>
      </w:r>
      <w:r>
        <w:rPr>
          <w:rFonts w:ascii="Times New Roman" w:cs="Times New Roman" w:eastAsia="Times New Roman" w:hAnsi="Times New Roman"/>
        </w:rPr>
        <w:t xml:space="preserve">. Un testimonio de Hacarí recogido en mayo de 2026 sitúa el kilo de pasta base en unos 2,5 millones de pesos, con pagos tardíos y a veces en especie (fuente local, valor indicativo).</w:t>
      </w:r>
    </w:p>
    <w:p>
      <w:pPr>
        <w:pStyle w:val="Heading3"/>
        <w:keepNext/>
        <w:spacing w:after="80" w:before="160"/>
        <w:ind w:left="1134"/>
      </w:pPr>
      <w:r>
        <w:rPr>
          <w:rFonts w:ascii="Times New Roman" w:cs="Times New Roman" w:eastAsia="Times New Roman" w:hAnsi="Times New Roman"/>
          <w:b/>
          <w:bCs/>
          <w:i/>
          <w:iCs/>
          <w:sz w:val="22"/>
          <w:szCs w:val="22"/>
        </w:rPr>
        <w:t xml:space="preserve">Rentas de los grupos armados</w:t>
      </w:r>
    </w:p>
    <w:p>
      <w:pPr>
        <w:pStyle w:val="ListParagraph"/>
        <w:numPr>
          <w:ilvl w:val="0"/>
          <w:numId w:val="3"/>
        </w:numPr>
        <w:spacing w:after="80" w:line="252"/>
        <w:jc w:val="both"/>
      </w:pPr>
      <w:r>
        <w:rPr>
          <w:rFonts w:ascii="Times New Roman" w:cs="Times New Roman" w:eastAsia="Times New Roman" w:hAnsi="Times New Roman"/>
          <w:b/>
          <w:bCs/>
        </w:rPr>
        <w:t xml:space="preserve">Control de la frontera:</w:t>
      </w:r>
      <w:r>
        <w:rPr>
          <w:rFonts w:ascii="Times New Roman" w:cs="Times New Roman" w:eastAsia="Times New Roman" w:hAnsi="Times New Roman"/>
        </w:rPr>
        <w:t xml:space="preserve"> el ELN regularía al menos 150 pasos ilegales por donde circulan cocaína, armas y personas migrantes, según declaraciones recogidas en una nota de prensa de abril de 2026 sobre un análisis del </w:t>
      </w:r>
      <w:r>
        <w:rPr>
          <w:rFonts w:ascii="Times New Roman" w:cs="Times New Roman" w:eastAsia="Times New Roman" w:hAnsi="Times New Roman"/>
          <w:i/>
          <w:iCs/>
        </w:rPr>
        <w:t xml:space="preserve">Wall Street Journal</w:t>
      </w:r>
      <w:r>
        <w:rPr>
          <w:rFonts w:ascii="Times New Roman" w:cs="Times New Roman" w:eastAsia="Times New Roman" w:hAnsi="Times New Roman"/>
        </w:rPr>
        <w:t xml:space="preserve"> (dato no oficial).</w:t>
      </w:r>
    </w:p>
    <w:p>
      <w:pPr>
        <w:pStyle w:val="ListParagraph"/>
        <w:numPr>
          <w:ilvl w:val="0"/>
          <w:numId w:val="3"/>
        </w:numPr>
        <w:spacing w:after="80" w:line="252"/>
        <w:jc w:val="both"/>
      </w:pPr>
      <w:r>
        <w:rPr>
          <w:rFonts w:ascii="Times New Roman" w:cs="Times New Roman" w:eastAsia="Times New Roman" w:hAnsi="Times New Roman"/>
          <w:b/>
          <w:bCs/>
        </w:rPr>
        <w:t xml:space="preserve">Extorsión:</w:t>
      </w:r>
      <w:r>
        <w:rPr>
          <w:rFonts w:ascii="Times New Roman" w:cs="Times New Roman" w:eastAsia="Times New Roman" w:hAnsi="Times New Roman"/>
        </w:rPr>
        <w:t xml:space="preserve"> el Catatumbo concentra 70 de las 101 extorsiones denunciadas en el departamento fuera del área metropolitana en el primer semestre de 2026 (Ocaña 33, Tibú 20, Ábrego 6, Sardinata 5) y 8 secuestros extorsivos. La denuncia subestima el fenómeno: hay cobros documentados a comerciantes, docentes, mineros de carbón y servicios cotidianos.</w:t>
      </w:r>
    </w:p>
    <w:p>
      <w:pPr>
        <w:pStyle w:val="ListParagraph"/>
        <w:numPr>
          <w:ilvl w:val="0"/>
          <w:numId w:val="3"/>
        </w:numPr>
        <w:spacing w:after="80" w:line="252"/>
        <w:jc w:val="both"/>
      </w:pPr>
      <w:r>
        <w:rPr>
          <w:rFonts w:ascii="Times New Roman" w:cs="Times New Roman" w:eastAsia="Times New Roman" w:hAnsi="Times New Roman"/>
          <w:b/>
          <w:bCs/>
        </w:rPr>
        <w:t xml:space="preserve">Hurto de crudo:</w:t>
      </w:r>
      <w:r>
        <w:rPr>
          <w:rFonts w:ascii="Times New Roman" w:cs="Times New Roman" w:eastAsia="Times New Roman" w:hAnsi="Times New Roman"/>
        </w:rPr>
        <w:t xml:space="preserve"> el petróleo robado de la infraestructura de Ecopetrol abastece refinerías artesanales («pategrillo») que proveen insumos a los laboratorios.</w:t>
      </w:r>
    </w:p>
    <w:p>
      <w:pPr>
        <w:pStyle w:val="ListParagraph"/>
        <w:numPr>
          <w:ilvl w:val="0"/>
          <w:numId w:val="3"/>
        </w:numPr>
        <w:spacing w:after="80" w:line="252"/>
        <w:jc w:val="both"/>
      </w:pPr>
      <w:r>
        <w:rPr>
          <w:rFonts w:ascii="Times New Roman" w:cs="Times New Roman" w:eastAsia="Times New Roman" w:hAnsi="Times New Roman"/>
          <w:b/>
          <w:bCs/>
        </w:rPr>
        <w:t xml:space="preserve">Venezuela:</w:t>
      </w:r>
      <w:r>
        <w:rPr>
          <w:rFonts w:ascii="Times New Roman" w:cs="Times New Roman" w:eastAsia="Times New Roman" w:hAnsi="Times New Roman"/>
        </w:rPr>
        <w:t xml:space="preserve"> tras la captura de Nicolás Maduro por fuerzas de Estados Unidos el 3 de enero de 2026 y la llegada de Delcy Rodríguez como presidenta encargada, la FIP no observa una reducción de la economía ilícita de la frontera; el ELN ya había reforzado su control antes de esa operación.</w:t>
      </w:r>
    </w:p>
    <w:p>
      <w:pPr>
        <w:pStyle w:val="ListParagraph"/>
        <w:numPr>
          <w:ilvl w:val="0"/>
          <w:numId w:val="2"/>
        </w:numPr>
        <w:spacing w:after="120" w:line="264"/>
        <w:jc w:val="both"/>
      </w:pPr>
      <w:r>
        <w:rPr>
          <w:rFonts w:ascii="Times New Roman" w:cs="Times New Roman" w:eastAsia="Times New Roman" w:hAnsi="Times New Roman"/>
        </w:rPr>
        <w:t xml:space="preserve">El 17 de octubre de 2026 fue capturado en Cúcuta alias «El Señor», señalado por la Policía de enviar hasta tres toneladas de cocaína al mes a Estados Unidos desde laboratorios en Sardinata y Bucarasica y de pagar cuotas de seguridad al frente Juan Fernando Porras del ELN</w:t>
      </w:r>
      <w:r>
        <w:rPr>
          <w:rStyle w:val="FootnoteReference"/>
        </w:rPr>
        <w:footnoteReference w:id="15"/>
      </w:r>
      <w:r>
        <w:rPr>
          <w:rFonts w:ascii="Times New Roman" w:cs="Times New Roman" w:eastAsia="Times New Roman" w:hAnsi="Times New Roman"/>
        </w:rPr>
        <w:t xml:space="preserve">.</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C.	Economías legales</w:t>
      </w:r>
    </w:p>
    <w:p>
      <w:pPr>
        <w:keepNext/>
        <w:spacing w:after="0" w:before="200"/>
      </w:pPr>
      <w:r>
        <w:rPr>
          <w:rFonts w:ascii="Times New Roman" w:cs="Times New Roman" w:eastAsia="Times New Roman" w:hAnsi="Times New Roman"/>
          <w:sz w:val="20"/>
          <w:szCs w:val="20"/>
        </w:rPr>
        <w:t xml:space="preserve">Cuadro 20</w:t>
      </w:r>
    </w:p>
    <w:p>
      <w:pPr>
        <w:keepNext/>
        <w:spacing w:after="100"/>
      </w:pPr>
      <w:r>
        <w:rPr>
          <w:rFonts w:ascii="Times New Roman" w:cs="Times New Roman" w:eastAsia="Times New Roman" w:hAnsi="Times New Roman"/>
          <w:b/>
          <w:bCs/>
          <w:sz w:val="20"/>
          <w:szCs w:val="20"/>
        </w:rPr>
        <w:t xml:space="preserve">Economías legales del Catatumbo: tamaño y afectación por el conflicto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600"/>
        <w:gridCol w:w="3770"/>
      </w:tblGrid>
      <w:tr>
        <w:trPr>
          <w:cantSplit/>
          <w:tblHeader/>
        </w:trPr>
        <w:tc>
          <w:tcPr>
            <w:tcW w:type="dxa" w:w="17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Sector</w:t>
            </w:r>
          </w:p>
        </w:tc>
        <w:tc>
          <w:tcPr>
            <w:tcW w:type="dxa" w:w="36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Tamaño</w:t>
            </w:r>
          </w:p>
        </w:tc>
        <w:tc>
          <w:tcPr>
            <w:tcW w:type="dxa" w:w="37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Afectación por el conflicto</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Petróleo y gas (Tibú y Sardinata)</w:t>
            </w:r>
          </w:p>
        </w:tc>
        <w:tc>
          <w:tcPr>
            <w:tcW w:type="dxa" w:w="36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Unos 1.400 barriles diarios de crudo y 900.000 pies cúbicos diarios de gas; abastece todo Tibú y cerca del 25 % del gas de Cúcuta</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2025: más de 39.000 barriles perdidos y más de 152 válvulas ilícitas; Ecopetrol dejó de operar en Campo Dos. Enero a septiembre de 2026: 13 acciones violentas contra la Estación Norte, 1.609 barriles hurtados, 91 válvulas retiradas; restricción de operaciones en el sector norte</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Palma de aceite (Tibú y Sardinata)</w:t>
            </w:r>
          </w:p>
        </w:tc>
        <w:tc>
          <w:tcPr>
            <w:tcW w:type="dxa" w:w="36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42.674 ha (83,5 % del departamento), 1.778 palmicultores (86 % pequeños), 11.656 empleos y 106.473 t de aceite crudo en 2024 (6,2 % nacional)</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La crisis de 2025 dejó la agroindustria sin mano de obra y con dificultades para conseguir insumos</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Carbón</w:t>
            </w:r>
          </w:p>
        </w:tc>
        <w:tc>
          <w:tcPr>
            <w:tcW w:type="dxa" w:w="36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Norte de Santander produce unos 2 millones de toneladas al año</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Denuncias gremiales de control del ELN sobre la entrada y salida del carbón y de extorsión a mineros</w:t>
            </w:r>
          </w:p>
        </w:tc>
      </w:tr>
      <w:tr>
        <w:trPr>
          <w:cantSplit/>
        </w:trPr>
        <w:tc>
          <w:tcPr>
            <w:tcW w:type="dxa" w:w="17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Agricultura de la provincia de Ocaña</w:t>
            </w:r>
          </w:p>
        </w:tc>
        <w:tc>
          <w:tcPr>
            <w:tcW w:type="dxa" w:w="36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Cebolla roja, frijol, tomate y café; el área de cebolla cayó a menos de 1.000 ha</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Contrabando, importaciones y sobreoferta; Ocaña concentra 106 amenazas y 33 extorsiones del semestre</w:t>
            </w:r>
          </w:p>
        </w:tc>
      </w:tr>
      <w:tr>
        <w:trPr>
          <w:cantSplit/>
        </w:trPr>
        <w:tc>
          <w:tcPr>
            <w:tcW w:type="dxa" w:w="17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7"/>
                <w:szCs w:val="17"/>
              </w:rPr>
              <w:t xml:space="preserve">Comercio y frontera</w:t>
            </w:r>
          </w:p>
        </w:tc>
        <w:tc>
          <w:tcPr>
            <w:tcW w:type="dxa" w:w="36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Ocaña como nodo comercial; Cúcuta como puerto terrestre con Venezuela; régimen tributario especial ZESE (ingreso cerrado en mayo de 2022, beneficios vigentes hasta 2032)</w:t>
            </w:r>
          </w:p>
        </w:tc>
        <w:tc>
          <w:tcPr>
            <w:tcW w:type="dxa" w:w="37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Pérdidas del comercio por inseguridad y extorsión; un encuentro binacional de octubre de 2026 pidió abrir los puentes las 24 horas</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Ecopetrol citado por Radio Hoy (6 de septiembre de 2026) e Infobae (18 de noviembre de 2025); Fedepalma citado por Agronegocios (29 de enero de 2025); Asocarbonor citado por La República; Vanguardia; El Espectador; CIJUF; La Opinión; documentos [1] y [2].</w:t>
      </w:r>
    </w:p>
    <w:p>
      <w:pPr>
        <w:pStyle w:val="ListParagraph"/>
        <w:numPr>
          <w:ilvl w:val="0"/>
          <w:numId w:val="2"/>
        </w:numPr>
        <w:spacing w:after="120" w:line="264"/>
        <w:jc w:val="both"/>
      </w:pPr>
      <w:r>
        <w:rPr>
          <w:rFonts w:ascii="Times New Roman" w:cs="Times New Roman" w:eastAsia="Times New Roman" w:hAnsi="Times New Roman"/>
        </w:rPr>
        <w:t xml:space="preserve">Las estadísticas oficiales no capturan la economía de guerra petrolera: la serie de atentados a oleoductos del Ministerio de Defensa registra 8 hechos en el Catatumbo, todos en Teorama en el segundo semestre de 2024, y ninguno en 2025 ni en 2026, mientras Ecopetrol reporta 13 acciones violentas contra la Estación Norte de Tibú solo en 2026. El hurto de crudo y la apertura de válvulas ilícitas no aparecen en ninguna serie policial.</w:t>
      </w:r>
    </w:p>
    <w:p>
      <w:pPr>
        <w:pStyle w:val="ListParagraph"/>
        <w:numPr>
          <w:ilvl w:val="0"/>
          <w:numId w:val="2"/>
        </w:numPr>
        <w:spacing w:after="120" w:line="264"/>
        <w:jc w:val="both"/>
      </w:pPr>
      <w:r>
        <w:rPr>
          <w:rFonts w:ascii="Times New Roman" w:cs="Times New Roman" w:eastAsia="Times New Roman" w:hAnsi="Times New Roman"/>
        </w:rPr>
        <w:t xml:space="preserve">El gobierno De la Espriella ha anunciado su intención de reactivar la exploración de hidrocarburos no convencionales, y el Catatumbo figura entre las cuencas con potencial (estimado entre 0,2 y 1,4 billones de pies cúbicos). Esa agenda entra en conflicto con el pueblo Barí, que rechaza la explotación en su territorio</w:t>
      </w:r>
      <w:r>
        <w:rPr>
          <w:rStyle w:val="FootnoteReference"/>
        </w:rPr>
        <w:footnoteReference w:id="16"/>
      </w:r>
      <w:r>
        <w:rPr>
          <w:rFonts w:ascii="Times New Roman" w:cs="Times New Roman" w:eastAsia="Times New Roman" w:hAnsi="Times New Roman"/>
        </w:rPr>
        <w:t xml:space="preserve">.</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D.	Tierra, territorio y ambiente</w:t>
      </w:r>
    </w:p>
    <w:p>
      <w:pPr>
        <w:keepNext/>
        <w:spacing w:after="0" w:before="200"/>
      </w:pPr>
      <w:r>
        <w:rPr>
          <w:rFonts w:ascii="Times New Roman" w:cs="Times New Roman" w:eastAsia="Times New Roman" w:hAnsi="Times New Roman"/>
          <w:sz w:val="20"/>
          <w:szCs w:val="20"/>
        </w:rPr>
        <w:t xml:space="preserve">Cuadro 21</w:t>
      </w:r>
    </w:p>
    <w:p>
      <w:pPr>
        <w:keepNext/>
        <w:spacing w:after="100"/>
      </w:pPr>
      <w:r>
        <w:rPr>
          <w:rFonts w:ascii="Times New Roman" w:cs="Times New Roman" w:eastAsia="Times New Roman" w:hAnsi="Times New Roman"/>
          <w:b/>
          <w:bCs/>
          <w:sz w:val="20"/>
          <w:szCs w:val="20"/>
        </w:rPr>
        <w:t xml:space="preserve">Figuras de ordenamiento territorial en el Catatumbo y su estado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0"/>
        <w:gridCol w:w="3300"/>
        <w:gridCol w:w="3300"/>
      </w:tblGrid>
      <w:tr>
        <w:trPr>
          <w:cantSplit/>
          <w:tblHeader/>
        </w:trPr>
        <w:tc>
          <w:tcPr>
            <w:tcW w:type="dxa" w:w="24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Figura</w:t>
            </w:r>
          </w:p>
        </w:tc>
        <w:tc>
          <w:tcPr>
            <w:tcW w:type="dxa" w:w="3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Alcance</w:t>
            </w:r>
          </w:p>
        </w:tc>
        <w:tc>
          <w:tcPr>
            <w:tcW w:type="dxa" w:w="3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Estado a octubre de 2026</w:t>
            </w:r>
          </w:p>
        </w:tc>
      </w:tr>
      <w:tr>
        <w:trPr>
          <w:cantSplit/>
        </w:trPr>
        <w:tc>
          <w:tcPr>
            <w:tcW w:type="dxa" w:w="2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Zona de Reserva Campesina «Paz y Unión Campesina del Catatumbo» (ASUNCAT)</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Más de 59.000 ha en La Playa, Ábrego, Bucarasica y Hacarí; más de 1.800 familias</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Aprobada por el Consejo Directivo de la Agencia Nacional de Tierras el 30 de abril de 2025</w:t>
            </w:r>
          </w:p>
        </w:tc>
      </w:tr>
      <w:tr>
        <w:trPr>
          <w:cantSplit/>
        </w:trPr>
        <w:tc>
          <w:tcPr>
            <w:tcW w:type="dxa" w:w="2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Zona de Reserva Campesina del Catatumbo (ASCAMCAT)</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Propuesta de 346.183 ha en 326 veredas de 7 municipios</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Condicionada al cumplimiento previo de la sentencia T-052 de 2017 sobre los resguardos Barí</w:t>
            </w:r>
          </w:p>
        </w:tc>
      </w:tr>
      <w:tr>
        <w:trPr>
          <w:cantSplit/>
        </w:trPr>
        <w:tc>
          <w:tcPr>
            <w:tcW w:type="dxa" w:w="24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Resguardos Barí (Motilón Barí y Catalaura-La Gabarra)</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Ampliación, saneamiento y delimitación ordenados por la Corte Constitucional (T-052 de 2017)</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En la minga de octubre de 2025 se anunciaron 100.000 ha de ampliación «antes de marzo de 2026» y mesas técnicas mensuales; resultado sin confirmar</w:t>
            </w:r>
          </w:p>
        </w:tc>
      </w:tr>
      <w:tr>
        <w:trPr>
          <w:cantSplit/>
        </w:trPr>
        <w:tc>
          <w:tcPr>
            <w:tcW w:type="dxa" w:w="24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7"/>
                <w:szCs w:val="17"/>
              </w:rPr>
              <w:t xml:space="preserve">Parque Nacional Natural Catatumbo Barí</w:t>
            </w:r>
          </w:p>
        </w:tc>
        <w:tc>
          <w:tcPr>
            <w:tcW w:type="dxa" w:w="3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158.125 ha en Convención, El Carmen, Teorama, El Tarra y Tibú</w:t>
            </w:r>
          </w:p>
        </w:tc>
        <w:tc>
          <w:tcPr>
            <w:tcW w:type="dxa" w:w="3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Parque con mayor crecimiento de coca en 2024</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Agencia Nacional de Tierras; La Opinión; Radio Nacional; Mongabay; UNODC-SIMCI 2024.</w:t>
      </w:r>
    </w:p>
    <w:p>
      <w:pPr>
        <w:pStyle w:val="ListParagraph"/>
        <w:numPr>
          <w:ilvl w:val="0"/>
          <w:numId w:val="2"/>
        </w:numPr>
        <w:spacing w:after="120" w:line="264"/>
        <w:jc w:val="both"/>
      </w:pPr>
      <w:r>
        <w:rPr>
          <w:rFonts w:ascii="Times New Roman" w:cs="Times New Roman" w:eastAsia="Times New Roman" w:hAnsi="Times New Roman"/>
        </w:rPr>
        <w:t xml:space="preserve">Los traslapes entre la Reserva Forestal de la Ley 2.ª, el parque, los resguardos y las aspiraciones campesinas son el nudo del ordenamiento. El PNUD estimó que más de 300 de las 1.115 iniciativas PDET no pueden ejecutarse sin ajustar los planes de ordenamiento territorial, y la Gobernación reconoce que el pilar de ordenamiento de la propiedad es el de menor avance.</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E.	Infraestructura y conectividad</w:t>
      </w:r>
    </w:p>
    <w:p>
      <w:pPr>
        <w:pStyle w:val="ListParagraph"/>
        <w:numPr>
          <w:ilvl w:val="0"/>
          <w:numId w:val="3"/>
        </w:numPr>
        <w:spacing w:after="80" w:line="252"/>
        <w:jc w:val="both"/>
      </w:pPr>
      <w:r>
        <w:rPr>
          <w:rFonts w:ascii="Times New Roman" w:cs="Times New Roman" w:eastAsia="Times New Roman" w:hAnsi="Times New Roman"/>
          <w:b/>
          <w:bCs/>
        </w:rPr>
        <w:t xml:space="preserve">Transversal del Catatumbo:</w:t>
      </w:r>
      <w:r>
        <w:rPr>
          <w:rFonts w:ascii="Times New Roman" w:cs="Times New Roman" w:eastAsia="Times New Roman" w:hAnsi="Times New Roman"/>
        </w:rPr>
        <w:t xml:space="preserve"> en enero de 2026 el Ministerio de Transporte anunció más de 1,1 billones de pesos respaldados por el documento CONPES 4161 y vigencias futuras hasta 2031, en dos tramos (La Mata–Convención, unos 249.000 millones; Convención–El Tarra–Tibú, unos 887.000 millones). En junio de 2026 se informó la adjudicación de los tramos Convención–El Tarra (41 km) y El Tarra–Tibú (33 km) por 563.425 millones de pesos en total. Invías reporta un «avance global» del 35 % que suma actividades distintas (8,2 km pavimentados, 17,22 km de mantenimiento, 48 km de afirmado y diseños al 93 %). El corredor acumula años de atraso: el contrato anterior, respaldado por el CONPES 4010 de 2020 y adjudicado en 2022, solo ha intervenido 2,98 de sus 20 kilómetros</w:t>
      </w:r>
      <w:r>
        <w:rPr>
          <w:rStyle w:val="FootnoteReference"/>
        </w:rPr>
        <w:footnoteReference w:id="17"/>
      </w:r>
      <w:r>
        <w:rPr>
          <w:rFonts w:ascii="Times New Roman" w:cs="Times New Roman" w:eastAsia="Times New Roman" w:hAnsi="Times New Roman"/>
        </w:rPr>
        <w:t xml:space="preserve">.</w:t>
      </w:r>
    </w:p>
    <w:p>
      <w:pPr>
        <w:pStyle w:val="ListParagraph"/>
        <w:numPr>
          <w:ilvl w:val="0"/>
          <w:numId w:val="3"/>
        </w:numPr>
        <w:spacing w:after="80" w:line="252"/>
        <w:jc w:val="both"/>
      </w:pPr>
      <w:r>
        <w:rPr>
          <w:rFonts w:ascii="Times New Roman" w:cs="Times New Roman" w:eastAsia="Times New Roman" w:hAnsi="Times New Roman"/>
          <w:b/>
          <w:bCs/>
        </w:rPr>
        <w:t xml:space="preserve">Vía Cúcuta–Sardinata–Ocaña:</w:t>
      </w:r>
      <w:r>
        <w:rPr>
          <w:rFonts w:ascii="Times New Roman" w:cs="Times New Roman" w:eastAsia="Times New Roman" w:hAnsi="Times New Roman"/>
        </w:rPr>
        <w:t xml:space="preserve"> cierres recurrentes por derrumbes y daños en puentes; es además el corredor donde el ELN secuestró a tres policías y a una civil el 17 de agosto de 2026.</w:t>
      </w:r>
    </w:p>
    <w:p>
      <w:pPr>
        <w:pStyle w:val="ListParagraph"/>
        <w:numPr>
          <w:ilvl w:val="0"/>
          <w:numId w:val="3"/>
        </w:numPr>
        <w:spacing w:after="80" w:line="252"/>
        <w:jc w:val="both"/>
      </w:pPr>
      <w:r>
        <w:rPr>
          <w:rFonts w:ascii="Times New Roman" w:cs="Times New Roman" w:eastAsia="Times New Roman" w:hAnsi="Times New Roman"/>
          <w:b/>
          <w:bCs/>
        </w:rPr>
        <w:t xml:space="preserve">Transporte aéreo:</w:t>
      </w:r>
      <w:r>
        <w:rPr>
          <w:rFonts w:ascii="Times New Roman" w:cs="Times New Roman" w:eastAsia="Times New Roman" w:hAnsi="Times New Roman"/>
        </w:rPr>
        <w:t xml:space="preserve"> Satena suspendió indefinidamente la ruta Cúcuta–Tibú el 24 de abril de 2026 tras el secuestro del administrador de su operación; la ruta a Ocaña se suspendió el 19 de julio por amenazas y se reanudó a fines de julio.</w:t>
      </w:r>
    </w:p>
    <w:p>
      <w:pPr>
        <w:pStyle w:val="ListParagraph"/>
        <w:numPr>
          <w:ilvl w:val="0"/>
          <w:numId w:val="3"/>
        </w:numPr>
        <w:spacing w:after="80" w:line="252"/>
        <w:jc w:val="both"/>
      </w:pPr>
      <w:r>
        <w:rPr>
          <w:rFonts w:ascii="Times New Roman" w:cs="Times New Roman" w:eastAsia="Times New Roman" w:hAnsi="Times New Roman"/>
          <w:b/>
          <w:bCs/>
        </w:rPr>
        <w:t xml:space="preserve">Tren del Catatumbo:</w:t>
      </w:r>
      <w:r>
        <w:rPr>
          <w:rFonts w:ascii="Times New Roman" w:cs="Times New Roman" w:eastAsia="Times New Roman" w:hAnsi="Times New Roman"/>
        </w:rPr>
        <w:t xml:space="preserve"> la prefactibilidad prevé unos 259 km entre Cúcuta y La Gloria (Cesar), un costo cercano a 31 billones de pesos a 30 años y una capacidad de 1,2 millones de toneladas al año, sobre todo de carbón térmico. El gobierno anterior no lo priorizó; los gremios lo proponen para el nuevo PND.</w:t>
      </w:r>
    </w:p>
    <w:p>
      <w:pPr>
        <w:pStyle w:val="ListParagraph"/>
        <w:numPr>
          <w:ilvl w:val="0"/>
          <w:numId w:val="3"/>
        </w:numPr>
        <w:spacing w:after="80" w:line="252"/>
        <w:jc w:val="both"/>
      </w:pPr>
      <w:r>
        <w:rPr>
          <w:rFonts w:ascii="Times New Roman" w:cs="Times New Roman" w:eastAsia="Times New Roman" w:hAnsi="Times New Roman"/>
          <w:b/>
          <w:bCs/>
        </w:rPr>
        <w:t xml:space="preserve">Energía e internet:</w:t>
      </w:r>
      <w:r>
        <w:rPr>
          <w:rFonts w:ascii="Times New Roman" w:cs="Times New Roman" w:eastAsia="Times New Roman" w:hAnsi="Times New Roman"/>
        </w:rPr>
        <w:t xml:space="preserve"> hay proyectos de electrificación rural para unas 4.490 familias de 9 municipios; no se encontraron cifras confiables de cobertura de internet rural.</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F.	Políticas e inversiones en curso</w:t>
      </w:r>
    </w:p>
    <w:p>
      <w:pPr>
        <w:pStyle w:val="ListParagraph"/>
        <w:numPr>
          <w:ilvl w:val="0"/>
          <w:numId w:val="2"/>
        </w:numPr>
        <w:spacing w:after="120" w:line="264"/>
        <w:jc w:val="both"/>
      </w:pPr>
      <w:r>
        <w:rPr>
          <w:rFonts w:ascii="Times New Roman" w:cs="Times New Roman" w:eastAsia="Times New Roman" w:hAnsi="Times New Roman"/>
        </w:rPr>
        <w:t xml:space="preserve">La subregión PDET del Catatumbo tiene 1.115 iniciativas en su Plan de Acción para la Transformación Regional (PATR). Su actualización prevé entre 6,5 y 7,47 billones de pesos, 32 programas y 443 proyectos a ocho años, con capítulos Barí e intercultural. La Ley 2565 de 2026 extendió los PDET hasta 2037</w:t>
      </w:r>
      <w:r>
        <w:rPr>
          <w:rStyle w:val="FootnoteReference"/>
        </w:rPr>
        <w:footnoteReference w:id="18"/>
      </w:r>
      <w:r>
        <w:rPr>
          <w:rFonts w:ascii="Times New Roman" w:cs="Times New Roman" w:eastAsia="Times New Roman" w:hAnsi="Times New Roman"/>
        </w:rPr>
        <w:t xml:space="preserve">.</w:t>
      </w:r>
    </w:p>
    <w:p>
      <w:pPr>
        <w:keepNext/>
        <w:spacing w:after="0" w:before="200"/>
      </w:pPr>
      <w:r>
        <w:rPr>
          <w:rFonts w:ascii="Times New Roman" w:cs="Times New Roman" w:eastAsia="Times New Roman" w:hAnsi="Times New Roman"/>
          <w:sz w:val="20"/>
          <w:szCs w:val="20"/>
        </w:rPr>
        <w:t xml:space="preserve">Cuadro 22</w:t>
      </w:r>
    </w:p>
    <w:p>
      <w:pPr>
        <w:keepNext/>
        <w:spacing w:after="100"/>
      </w:pPr>
      <w:r>
        <w:rPr>
          <w:rFonts w:ascii="Times New Roman" w:cs="Times New Roman" w:eastAsia="Times New Roman" w:hAnsi="Times New Roman"/>
          <w:b/>
          <w:bCs/>
          <w:sz w:val="20"/>
          <w:szCs w:val="20"/>
        </w:rPr>
        <w:t xml:space="preserve">Iniciativas del PATR del Catatumbo por pilar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70"/>
        <w:gridCol w:w="1500"/>
        <w:gridCol w:w="1500"/>
      </w:tblGrid>
      <w:tr>
        <w:trPr>
          <w:cantSplit/>
          <w:tblHeader/>
        </w:trPr>
        <w:tc>
          <w:tcPr>
            <w:tcW w:type="dxa" w:w="60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Pilar</w:t>
            </w:r>
          </w:p>
        </w:tc>
        <w:tc>
          <w:tcPr>
            <w:tcW w:type="dxa" w:w="1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Iniciativas</w:t>
            </w:r>
          </w:p>
        </w:tc>
        <w:tc>
          <w:tcPr>
            <w:tcW w:type="dxa" w:w="1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Proporción</w:t>
            </w:r>
          </w:p>
        </w:tc>
      </w:tr>
      <w:tr>
        <w:trPr>
          <w:cantSplit/>
        </w:trPr>
        <w:tc>
          <w:tcPr>
            <w:tcW w:type="dxa" w:w="6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1. Ordenamiento social de la propiedad rural y uso del suelo</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110</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9,9 %</w:t>
            </w:r>
          </w:p>
        </w:tc>
      </w:tr>
      <w:tr>
        <w:trPr>
          <w:cantSplit/>
        </w:trPr>
        <w:tc>
          <w:tcPr>
            <w:tcW w:type="dxa" w:w="6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2. Infraestructura y adecuación de tierras</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117</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10,5 %</w:t>
            </w:r>
          </w:p>
        </w:tc>
      </w:tr>
      <w:tr>
        <w:trPr>
          <w:cantSplit/>
        </w:trPr>
        <w:tc>
          <w:tcPr>
            <w:tcW w:type="dxa" w:w="6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3. Salud rural</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121</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10,9 %</w:t>
            </w:r>
          </w:p>
        </w:tc>
      </w:tr>
      <w:tr>
        <w:trPr>
          <w:cantSplit/>
        </w:trPr>
        <w:tc>
          <w:tcPr>
            <w:tcW w:type="dxa" w:w="6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4. Educación rural y primera infancia</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234</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21,0 %</w:t>
            </w:r>
          </w:p>
        </w:tc>
      </w:tr>
      <w:tr>
        <w:trPr>
          <w:cantSplit/>
        </w:trPr>
        <w:tc>
          <w:tcPr>
            <w:tcW w:type="dxa" w:w="6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5. Vivienda rural, agua potable y saneamiento</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120</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10,8 %</w:t>
            </w:r>
          </w:p>
        </w:tc>
      </w:tr>
      <w:tr>
        <w:trPr>
          <w:cantSplit/>
        </w:trPr>
        <w:tc>
          <w:tcPr>
            <w:tcW w:type="dxa" w:w="6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6. Reactivación económica y producción agropecuaria</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202</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18,1 %</w:t>
            </w:r>
          </w:p>
        </w:tc>
      </w:tr>
      <w:tr>
        <w:trPr>
          <w:cantSplit/>
        </w:trPr>
        <w:tc>
          <w:tcPr>
            <w:tcW w:type="dxa" w:w="6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7. Sistema para la garantía del derecho a la alimentación</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69</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6,2 %</w:t>
            </w:r>
          </w:p>
        </w:tc>
      </w:tr>
      <w:tr>
        <w:trPr>
          <w:cantSplit/>
        </w:trPr>
        <w:tc>
          <w:tcPr>
            <w:tcW w:type="dxa" w:w="60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8. Reconciliación, convivencia y construcción de paz</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142</w:t>
            </w:r>
          </w:p>
        </w:tc>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12,7 %</w:t>
            </w:r>
          </w:p>
        </w:tc>
      </w:tr>
      <w:tr>
        <w:trPr>
          <w:cantSplit/>
        </w:trPr>
        <w:tc>
          <w:tcPr>
            <w:tcW w:type="dxa" w:w="60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Total</w:t>
            </w:r>
          </w:p>
        </w:tc>
        <w:tc>
          <w:tcPr>
            <w:tcW w:type="dxa" w:w="1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1.115</w:t>
            </w:r>
          </w:p>
        </w:tc>
        <w:tc>
          <w:tcPr>
            <w:tcW w:type="dxa" w:w="1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100 %</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Gobernación de Norte de Santander, rendición de cuentas 2025 (corte a 31 de mayo de 2026).</w:t>
      </w:r>
    </w:p>
    <w:p>
      <w:pPr>
        <w:keepNext/>
        <w:spacing w:after="0" w:before="200"/>
      </w:pPr>
      <w:r>
        <w:rPr>
          <w:rFonts w:ascii="Times New Roman" w:cs="Times New Roman" w:eastAsia="Times New Roman" w:hAnsi="Times New Roman"/>
          <w:sz w:val="20"/>
          <w:szCs w:val="20"/>
        </w:rPr>
        <w:t xml:space="preserve">Cuadro 23</w:t>
      </w:r>
    </w:p>
    <w:p>
      <w:pPr>
        <w:keepNext/>
        <w:spacing w:after="100"/>
      </w:pPr>
      <w:r>
        <w:rPr>
          <w:rFonts w:ascii="Times New Roman" w:cs="Times New Roman" w:eastAsia="Times New Roman" w:hAnsi="Times New Roman"/>
          <w:b/>
          <w:bCs/>
          <w:sz w:val="20"/>
          <w:szCs w:val="20"/>
        </w:rPr>
        <w:t xml:space="preserve">Pacto Social para la Transformación Territorial del Catatumbo: evolución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70"/>
      </w:tblGrid>
      <w:tr>
        <w:trPr>
          <w:cantSplit/>
          <w:tblHeader/>
        </w:trPr>
        <w:tc>
          <w:tcPr>
            <w:tcW w:type="dxa" w:w="18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Fecha</w:t>
            </w:r>
          </w:p>
        </w:tc>
        <w:tc>
          <w:tcPr>
            <w:tcW w:type="dxa" w:w="72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Hito</w:t>
            </w:r>
          </w:p>
        </w:tc>
      </w:tr>
      <w:tr>
        <w:trPr>
          <w:cantSplit/>
        </w:trPr>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6 mar 2025</w:t>
            </w:r>
          </w:p>
        </w:tc>
        <w:tc>
          <w:tcPr>
            <w:tcW w:type="dxa" w:w="7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Lanzamiento del Pacto en Tibú, con respaldo de organizaciones sociales, campesinas y étnicas: 6,8 billones de pesos y 158 proyectos</w:t>
            </w:r>
          </w:p>
        </w:tc>
      </w:tr>
      <w:tr>
        <w:trPr>
          <w:cantSplit/>
        </w:trPr>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Ago 2025</w:t>
            </w:r>
          </w:p>
        </w:tc>
        <w:tc>
          <w:tcPr>
            <w:tcW w:type="dxa" w:w="7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Instalación del Consejo Directivo con participación comunitaria; más de 5,5 billones a diez años</w:t>
            </w:r>
          </w:p>
        </w:tc>
      </w:tr>
      <w:tr>
        <w:trPr>
          <w:cantSplit/>
        </w:trPr>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Ene 2026</w:t>
            </w:r>
          </w:p>
        </w:tc>
        <w:tc>
          <w:tcPr>
            <w:tcW w:type="dxa" w:w="7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Balance en Ocaña: 6,27 billones de pesos y 124 proyectos, con un capítulo Barí de 13 iniciativas por 137.497 millones</w:t>
            </w:r>
          </w:p>
        </w:tc>
      </w:tr>
      <w:tr>
        <w:trPr>
          <w:cantSplit/>
        </w:trPr>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30 jun 2026</w:t>
            </w:r>
          </w:p>
        </w:tc>
        <w:tc>
          <w:tcPr>
            <w:tcW w:type="dxa" w:w="7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95 proyectos con recursos asegurados, 60 en ejecución y 1 terminado; la Gobernación reporta un avance «superior al 50 %» sin cifra en pesos</w:t>
            </w:r>
          </w:p>
        </w:tc>
      </w:tr>
      <w:tr>
        <w:trPr>
          <w:cantSplit/>
        </w:trPr>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Jul 2026</w:t>
            </w:r>
          </w:p>
        </w:tc>
        <w:tc>
          <w:tcPr>
            <w:tcW w:type="dxa" w:w="7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Ministerio de Educación anuncia 740.000 millones de pesos para educación en el Catatumbo</w:t>
            </w:r>
          </w:p>
        </w:tc>
      </w:tr>
      <w:tr>
        <w:trPr>
          <w:cantSplit/>
        </w:trPr>
        <w:tc>
          <w:tcPr>
            <w:tcW w:type="dxa" w:w="18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Ago–oct 2026</w:t>
            </w:r>
          </w:p>
        </w:tc>
        <w:tc>
          <w:tcPr>
            <w:tcW w:type="dxa" w:w="72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Cambio de gobierno: no se encontró un pronunciamiento del gobierno De la Espriella sobre la continuidad del Pacto</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Presidencia de la República; DNP; RTVC; Gobernación de Norte de Santander; Ministerio de Educación; FIP.</w:t>
      </w:r>
    </w:p>
    <w:p>
      <w:pPr>
        <w:pStyle w:val="ListParagraph"/>
        <w:numPr>
          <w:ilvl w:val="0"/>
          <w:numId w:val="2"/>
        </w:numPr>
        <w:spacing w:after="120" w:line="264"/>
        <w:jc w:val="both"/>
      </w:pPr>
      <w:r>
        <w:rPr>
          <w:rFonts w:ascii="Times New Roman" w:cs="Times New Roman" w:eastAsia="Times New Roman" w:hAnsi="Times New Roman"/>
        </w:rPr>
        <w:t xml:space="preserve">En sustitución de cultivos, el PNIS vinculó cerca de 3.000 familias en Tibú (2.698) y Sardinata (302), pero a finales de 2019 solo el 62,8 % había recibido al menos un pago; según el PNUD, el PNIS relanzado cubre menos del 10 % del área cocalera. A nivel nacional, RenHacemos tiene 1,3 billones de pesos asignados y un avance cercano al 20 %, según la ART. El programa RenHacemos, creado en febrero de 2025 bajo la conmoción interior, inscribió unas 6.500 familias del Catatumbo con un pago mensual y un proyecto productivo. En agosto de 2026, el Consejo Nacional de Estupefacientes derogó la prohibición de la aspersión aérea; su reactivación exige plan de manejo ambiental, consulta previa, concepto sanitario y el cumplimiento de la sentencia T-236 de 2017; el piloto con glufosinato, de hasta 1.000 hectáreas en Putumayo, fue suspendido por un juez el 11 de septiembre. En erradicación manual, el país erradicó 5.837 hectáreas entre enero y julio de 2026, y el nuevo gobierno reporta 1.407 hectáreas en su primer mes y 1.506 a los 36 días, en todo el país; no hay cifras publicadas para el Catatumbo</w:t>
      </w:r>
      <w:r>
        <w:rPr>
          <w:rStyle w:val="FootnoteReference"/>
        </w:rPr>
        <w:footnoteReference w:id="19"/>
      </w:r>
      <w:r>
        <w:rPr>
          <w:rFonts w:ascii="Times New Roman" w:cs="Times New Roman" w:eastAsia="Times New Roman" w:hAnsi="Times New Roman"/>
        </w:rPr>
        <w:t xml:space="preserve">.</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G.	Prioridades del territorio</w:t>
      </w:r>
    </w:p>
    <w:p>
      <w:pPr>
        <w:pStyle w:val="ListParagraph"/>
        <w:numPr>
          <w:ilvl w:val="0"/>
          <w:numId w:val="2"/>
        </w:numPr>
        <w:spacing w:after="120" w:line="264"/>
        <w:jc w:val="both"/>
      </w:pPr>
      <w:r>
        <w:rPr>
          <w:rFonts w:ascii="Times New Roman" w:cs="Times New Roman" w:eastAsia="Times New Roman" w:hAnsi="Times New Roman"/>
        </w:rPr>
        <w:t xml:space="preserve">Las prioridades que siguen se ordenan según la frecuencia y la fuerza con que las plantean las organizaciones campesinas, el pueblo Barí, las víctimas, la Iglesia, los gremios y las autoridades territoriales, y según su peso como condición para las demás.</w:t>
      </w:r>
    </w:p>
    <w:p>
      <w:pPr>
        <w:keepNext/>
        <w:spacing w:after="0" w:before="200"/>
      </w:pPr>
      <w:r>
        <w:rPr>
          <w:rFonts w:ascii="Times New Roman" w:cs="Times New Roman" w:eastAsia="Times New Roman" w:hAnsi="Times New Roman"/>
          <w:sz w:val="20"/>
          <w:szCs w:val="20"/>
        </w:rPr>
        <w:t xml:space="preserve">Cuadro 24</w:t>
      </w:r>
    </w:p>
    <w:p>
      <w:pPr>
        <w:keepNext/>
        <w:spacing w:after="100"/>
      </w:pPr>
      <w:r>
        <w:rPr>
          <w:rFonts w:ascii="Times New Roman" w:cs="Times New Roman" w:eastAsia="Times New Roman" w:hAnsi="Times New Roman"/>
          <w:b/>
          <w:bCs/>
          <w:sz w:val="20"/>
          <w:szCs w:val="20"/>
        </w:rPr>
        <w:t xml:space="preserve">Prioridades del territorio, en orden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300"/>
        <w:gridCol w:w="2500"/>
        <w:gridCol w:w="3770"/>
      </w:tblGrid>
      <w:tr>
        <w:trPr>
          <w:cantSplit/>
          <w:tblHeader/>
        </w:trPr>
        <w:tc>
          <w:tcPr>
            <w:tcW w:type="dxa" w:w="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b w:val="false"/>
                <w:bCs w:val="false"/>
                <w:i/>
                <w:iCs/>
                <w:sz w:val="17"/>
                <w:szCs w:val="17"/>
              </w:rPr>
              <w:t xml:space="preserve">N.º</w:t>
            </w:r>
          </w:p>
        </w:tc>
        <w:tc>
          <w:tcPr>
            <w:tcW w:type="dxa" w:w="2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Prioridad</w:t>
            </w:r>
          </w:p>
        </w:tc>
        <w:tc>
          <w:tcPr>
            <w:tcW w:type="dxa" w:w="2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Quién la plantea</w:t>
            </w:r>
          </w:p>
        </w:tc>
        <w:tc>
          <w:tcPr>
            <w:tcW w:type="dxa" w:w="37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Por qué</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1</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Seguridad humana, protección de la población civil y respeto del DIH</w:t>
            </w:r>
          </w:p>
        </w:tc>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Asociaciones de víctimas, ASCAMCAT, Diócesis de Tibú, Defensoría</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Sin seguridad no funciona ninguna economía. 108 homicidios en el semestre; 89 % atribuidos a grupos armados</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2</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Atención humanitaria, retornos e indemnización</w:t>
            </w:r>
          </w:p>
        </w:tc>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Víctimas, Iglesia, organizaciones humanitarias</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106.327 víctimas de desplazamiento registradas por hechos de 2025; el desplazamiento desmonta la mano de obra campesina y agroindustrial</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3</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Transición de la coca voluntaria, gradual y cumplida, sin aspersión</w:t>
            </w:r>
          </w:p>
        </w:tc>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COCCAM, ASCAMCAT, CISCA</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Casi 49.000 ha de coca son el ingreso principal de miles de familias; la aspersión choca con los acuerdos de sustitución</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4</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Vías: Transversal del Catatumbo y vías terciarias</w:t>
            </w:r>
          </w:p>
        </w:tc>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Todos los pliegos campesinos, Pacto Social, PATR, gremios</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Sin salida a mercados, los cultivos legales no compiten</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5</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Tierra: formalización, ZRC, ampliación de resguardos Barí, solución de traslapes</w:t>
            </w:r>
          </w:p>
        </w:tc>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ASCAMCAT, ASUNCAT, pueblo Barí</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Bloquea más de 300 iniciativas PDET y el acceso al crédito</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6</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Bienes públicos: agua, salud rural, educación superior, energía y conectividad</w:t>
            </w:r>
          </w:p>
        </w:tc>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Alcaldías, comunidades, Pacto Social</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Brechas entre las peores del país en agua, logro educativo y acceso a salud</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7</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Cadenas productivas legales con comercialización y crédito</w:t>
            </w:r>
          </w:p>
        </w:tc>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Productores, cooperativas, gremios</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Cacao, café, cebolla, frijol, palma de pequeños productores y ganadería sostenible</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8</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Continuidad institucional del Pacto y del PATR con recursos en el PND</w:t>
            </w:r>
          </w:p>
        </w:tc>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Organizaciones del Consejo Directivo del Pacto, Gobernación</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Riesgo de que el cambio de gobierno deje los compromisos sin financiación</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9</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Derechos del pueblo Barí: consulta previa, territorio y educación propia</w:t>
            </w:r>
          </w:p>
        </w:tc>
        <w:tc>
          <w:tcPr>
            <w:tcW w:type="dxa" w:w="2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Ñatubaiyibarí, ASOCBARÍ</w:t>
            </w:r>
          </w:p>
        </w:tc>
        <w:tc>
          <w:tcPr>
            <w:tcW w:type="dxa" w:w="3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Conflicto latente con la agenda de hidrocarburos no convencionales</w:t>
            </w:r>
          </w:p>
        </w:tc>
      </w:tr>
      <w:tr>
        <w:trPr>
          <w:cantSplit/>
        </w:trPr>
        <w:tc>
          <w:tcPr>
            <w:tcW w:type="dxa" w:w="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center"/>
            </w:pPr>
            <w:r>
              <w:rPr>
                <w:rFonts w:ascii="Times New Roman" w:cs="Times New Roman" w:eastAsia="Times New Roman" w:hAnsi="Times New Roman"/>
                <w:sz w:val="17"/>
                <w:szCs w:val="17"/>
              </w:rPr>
              <w:t xml:space="preserve">10</w:t>
            </w:r>
          </w:p>
        </w:tc>
        <w:tc>
          <w:tcPr>
            <w:tcW w:type="dxa" w:w="2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7"/>
                <w:szCs w:val="17"/>
              </w:rPr>
              <w:t xml:space="preserve">Protección de la infraestructura, control de la extorsión y reactivación del comercio fronterizo</w:t>
            </w:r>
          </w:p>
        </w:tc>
        <w:tc>
          <w:tcPr>
            <w:tcW w:type="dxa" w:w="2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7"/>
                <w:szCs w:val="17"/>
              </w:rPr>
              <w:t xml:space="preserve">Gremios, Ecopetrol, Cámara de Comercio de Cúcuta</w:t>
            </w:r>
          </w:p>
        </w:tc>
        <w:tc>
          <w:tcPr>
            <w:tcW w:type="dxa" w:w="37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7"/>
                <w:szCs w:val="17"/>
              </w:rPr>
              <w:t xml:space="preserve">Hurto de crudo, cierres de operación y extorsión al comercio</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Elaboración propia con base en Infobae (12 de agosto, 8 y 10 de octubre de 2026), Unidad para las Víctimas (corte a 1 de febrero de 2026), Canal TRO (23 de agosto de 2026), DNP, Gobernación de Norte de Santander, La Opinión y los documentos [1] a [6].</w:t>
      </w:r>
    </w:p>
    <w:p>
      <w:r>
        <w:br w:type="page"/>
      </w:r>
    </w:p>
    <w:p>
      <w:pPr>
        <w:pStyle w:val="Heading1"/>
        <w:keepNext/>
        <w:tabs>
          <w:tab w:val="left" w:pos="1134"/>
        </w:tabs>
        <w:spacing w:after="240" w:before="120"/>
        <w:ind w:left="1134" w:hanging="1134"/>
      </w:pPr>
      <w:r>
        <w:rPr>
          <w:rFonts w:ascii="Times New Roman" w:cs="Times New Roman" w:eastAsia="Times New Roman" w:hAnsi="Times New Roman"/>
          <w:b/>
          <w:bCs/>
          <w:sz w:val="28"/>
          <w:szCs w:val="28"/>
        </w:rPr>
        <w:t xml:space="preserve">IV.	Eje 3. Prioridades de la región ante el Plan Nacional de Desarrollo 2026–2030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40"/>
              <w:left w:type="dxa" w:w="200"/>
              <w:bottom w:type="dxa" w:w="120"/>
              <w:right w:type="dxa" w:w="200"/>
            </w:tcMar>
          </w:tcPr>
          <w:p>
            <w:pPr>
              <w:keepNext/>
              <w:spacing w:after="100"/>
            </w:pPr>
            <w:r>
              <w:rPr>
                <w:rFonts w:ascii="Times New Roman" w:cs="Times New Roman" w:eastAsia="Times New Roman" w:hAnsi="Times New Roman"/>
                <w:b/>
                <w:bCs/>
                <w:sz w:val="21"/>
                <w:szCs w:val="21"/>
              </w:rPr>
              <w:t xml:space="preserve">Mensajes clave del eje 3</w:t>
            </w:r>
          </w:p>
          <w:p>
            <w:pPr>
              <w:pStyle w:val="ListParagraph"/>
              <w:numPr>
                <w:ilvl w:val="0"/>
                <w:numId w:val="4"/>
              </w:numPr>
              <w:spacing w:after="60" w:line="252"/>
              <w:jc w:val="both"/>
            </w:pPr>
            <w:r>
              <w:rPr>
                <w:rFonts w:ascii="Times New Roman" w:cs="Times New Roman" w:eastAsia="Times New Roman" w:hAnsi="Times New Roman"/>
                <w:sz w:val="20"/>
                <w:szCs w:val="20"/>
              </w:rPr>
              <w:t xml:space="preserve">El nuevo gobierno debe presentar las bases del Plan al Consejo Nacional de Planeación a más tardar el 15 de noviembre de 2026 y radicar el proyecto de ley en el Congreso antes del 7 de febrero de 2027. La ventana de incidencia es corta y ya está abierta.</w:t>
            </w:r>
          </w:p>
          <w:p>
            <w:pPr>
              <w:pStyle w:val="ListParagraph"/>
              <w:numPr>
                <w:ilvl w:val="0"/>
                <w:numId w:val="4"/>
              </w:numPr>
              <w:spacing w:after="60" w:line="252"/>
              <w:jc w:val="both"/>
            </w:pPr>
            <w:r>
              <w:rPr>
                <w:rFonts w:ascii="Times New Roman" w:cs="Times New Roman" w:eastAsia="Times New Roman" w:hAnsi="Times New Roman"/>
                <w:sz w:val="20"/>
                <w:szCs w:val="20"/>
              </w:rPr>
              <w:t xml:space="preserve">En el encuentro regional del 13 de octubre en Cúcuta, el DNP anunció 13,4 billones de pesos «indicativos» para los dos Santanderes. Ni los comunicados del DNP sobre el Plan ni la agenda de ocho proyectos de los gremios mencionan los PDET, el Pacto Social por el Catatumbo o la sustitución de cultivos; la Gobernación sí pidió cumplir el Pacto.</w:t>
            </w:r>
          </w:p>
          <w:p>
            <w:pPr>
              <w:pStyle w:val="ListParagraph"/>
              <w:numPr>
                <w:ilvl w:val="0"/>
                <w:numId w:val="4"/>
              </w:numPr>
              <w:spacing w:after="60" w:line="252"/>
              <w:jc w:val="both"/>
            </w:pPr>
            <w:r>
              <w:rPr>
                <w:rFonts w:ascii="Times New Roman" w:cs="Times New Roman" w:eastAsia="Times New Roman" w:hAnsi="Times New Roman"/>
                <w:sz w:val="20"/>
                <w:szCs w:val="20"/>
              </w:rPr>
              <w:t xml:space="preserve">El Plan no puede ignorar un piso jurídico vigente: el componente de paz del Plan Plurianual (Acto Legislativo 01 de 2016), el cumplimiento del Acuerdo de Paz hasta 2030 (Acto Legislativo 02 de 2017), los PDET hasta 2037 (Ley 2565 de 2026), la Ley de Víctimas hasta 2031 y la sentencia T-052 de 2017 sobre el pueblo Barí.</w:t>
            </w:r>
          </w:p>
          <w:p>
            <w:pPr>
              <w:pStyle w:val="ListParagraph"/>
              <w:numPr>
                <w:ilvl w:val="0"/>
                <w:numId w:val="4"/>
              </w:numPr>
              <w:spacing w:after="60" w:line="252"/>
              <w:jc w:val="both"/>
            </w:pPr>
            <w:r>
              <w:rPr>
                <w:rFonts w:ascii="Times New Roman" w:cs="Times New Roman" w:eastAsia="Times New Roman" w:hAnsi="Times New Roman"/>
                <w:sz w:val="20"/>
                <w:szCs w:val="20"/>
              </w:rPr>
              <w:t xml:space="preserve">La propuesta central es un artículo específico para el Catatumbo en la ley del Plan, con recursos en el Plan Plurianual de Inversiones y metas medibles cuyas líneas de base salen de los documentos oficiales del primer semestre de 2026.</w:t>
            </w:r>
          </w:p>
        </w:tc>
      </w:tr>
    </w:tbl>
    <w:p>
      <w:pPr>
        <w:spacing w:after="160"/>
      </w:pP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A.	El proceso del Plan y su calendario</w:t>
      </w:r>
    </w:p>
    <w:p>
      <w:pPr>
        <w:pStyle w:val="ListParagraph"/>
        <w:numPr>
          <w:ilvl w:val="0"/>
          <w:numId w:val="2"/>
        </w:numPr>
        <w:spacing w:after="120" w:line="264"/>
        <w:jc w:val="both"/>
      </w:pPr>
      <w:r>
        <w:rPr>
          <w:rFonts w:ascii="Times New Roman" w:cs="Times New Roman" w:eastAsia="Times New Roman" w:hAnsi="Times New Roman"/>
        </w:rPr>
        <w:t xml:space="preserve">La Constitución (artículos 339 a 341) y la Ley 152 de 1994 fijan el procedimiento: el Gobierno elabora el Plan con participación de las autoridades de planeación y de los consejos de planeación, lo somete al CONPES ampliado con gobernadores y alcaldes, recibe el concepto del Consejo Nacional de Planeación y lo presenta al Congreso dentro de los seis meses siguientes a la posesión; la Ley 152 precisa que la radicación debe hacerse antes del 7 de febrero. Si el Congreso no aprueba el plan de inversiones en tres meses, el Gobierno puede expedirlo por decreto</w:t>
      </w:r>
      <w:r>
        <w:rPr>
          <w:rStyle w:val="FootnoteReference"/>
        </w:rPr>
        <w:footnoteReference w:id="20"/>
      </w:r>
      <w:r>
        <w:rPr>
          <w:rFonts w:ascii="Times New Roman" w:cs="Times New Roman" w:eastAsia="Times New Roman" w:hAnsi="Times New Roman"/>
        </w:rPr>
        <w:t xml:space="preserve">.</w:t>
      </w:r>
    </w:p>
    <w:p>
      <w:pPr>
        <w:keepNext/>
        <w:spacing w:after="0" w:before="200"/>
      </w:pPr>
      <w:r>
        <w:rPr>
          <w:rFonts w:ascii="Times New Roman" w:cs="Times New Roman" w:eastAsia="Times New Roman" w:hAnsi="Times New Roman"/>
          <w:sz w:val="20"/>
          <w:szCs w:val="20"/>
        </w:rPr>
        <w:t xml:space="preserve">Cuadro 25</w:t>
      </w:r>
    </w:p>
    <w:p>
      <w:pPr>
        <w:keepNext/>
        <w:spacing w:after="100"/>
      </w:pPr>
      <w:r>
        <w:rPr>
          <w:rFonts w:ascii="Times New Roman" w:cs="Times New Roman" w:eastAsia="Times New Roman" w:hAnsi="Times New Roman"/>
          <w:b/>
          <w:bCs/>
          <w:sz w:val="20"/>
          <w:szCs w:val="20"/>
        </w:rPr>
        <w:t xml:space="preserve">Calendario del Plan Nacional de Desarrollo 2026–2030</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0"/>
        <w:gridCol w:w="1800"/>
        <w:gridCol w:w="2000"/>
        <w:gridCol w:w="2000"/>
      </w:tblGrid>
      <w:tr>
        <w:trPr>
          <w:cantSplit/>
          <w:tblHeader/>
        </w:trPr>
        <w:tc>
          <w:tcPr>
            <w:tcW w:type="dxa" w:w="32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Hito</w:t>
            </w:r>
          </w:p>
        </w:tc>
        <w:tc>
          <w:tcPr>
            <w:tcW w:type="dxa" w:w="18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Fecha</w:t>
            </w:r>
          </w:p>
        </w:tc>
        <w:tc>
          <w:tcPr>
            <w:tcW w:type="dxa" w:w="20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Base legal</w:t>
            </w:r>
          </w:p>
        </w:tc>
        <w:tc>
          <w:tcPr>
            <w:tcW w:type="dxa" w:w="20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Estado al 18 oct 2026</w:t>
            </w:r>
          </w:p>
        </w:tc>
      </w:tr>
      <w:tr>
        <w:trPr>
          <w:cantSplit/>
        </w:trPr>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Posesión presidencial</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7 ago 2026</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Constitución</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Cumplido</w:t>
            </w:r>
          </w:p>
        </w:tc>
      </w:tr>
      <w:tr>
        <w:trPr>
          <w:cantSplit/>
        </w:trPr>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Designación del director del DNP (Julián Buitrago Arango)</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14 ago 2026</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Ley 152, art. 15</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Cumplido</w:t>
            </w:r>
          </w:p>
        </w:tc>
      </w:tr>
      <w:tr>
        <w:trPr>
          <w:cantSplit/>
        </w:trPr>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Postulación de iniciativas sectoriales (hasta 15 por sector)</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17 al 30 sep 2026</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Directriz del DNP</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Cumplido</w:t>
            </w:r>
          </w:p>
        </w:tc>
      </w:tr>
      <w:tr>
        <w:trPr>
          <w:cantSplit/>
        </w:trPr>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Ternas para renovar el Consejo Nacional de Planeación</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Hasta el 28 sep 2026</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Ley 152, art. 9</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Cerradas; designaciones sin confirmar</w:t>
            </w:r>
          </w:p>
        </w:tc>
      </w:tr>
      <w:tr>
        <w:trPr>
          <w:cantSplit/>
        </w:trPr>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Encuentros regionales (12 o 13, según la fuente)</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Desde el 6 oct 2026</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Ley 152, art. 16</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En curso; Cúcuta, 13 oct</w:t>
            </w:r>
          </w:p>
        </w:tc>
      </w:tr>
      <w:tr>
        <w:trPr>
          <w:cantSplit/>
        </w:trPr>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Concepto del CONFIS y CONPES ampliado</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Noviembre de 2026</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Ley 152, art. 17</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Programado</w:t>
            </w:r>
          </w:p>
        </w:tc>
      </w:tr>
      <w:tr>
        <w:trPr>
          <w:cantSplit/>
        </w:trPr>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Bases al Consejo Nacional de Planeación, con copia al Congreso</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 más tardar el 15 nov 2026</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Ley 152, art. 18</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Pendiente</w:t>
            </w:r>
          </w:p>
        </w:tc>
      </w:tr>
      <w:tr>
        <w:trPr>
          <w:cantSplit/>
        </w:trPr>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Audiencias públicas y consejos territoriales</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Nov 2026 a ene 2027</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Ley 152, art. 12</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Pendiente</w:t>
            </w:r>
          </w:p>
        </w:tc>
      </w:tr>
      <w:tr>
        <w:trPr>
          <w:cantSplit/>
        </w:trPr>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Concepto del Consejo Nacional de Planeación</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Antes del 10 ene 2027</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Ley 152, art. 18</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Pendiente</w:t>
            </w:r>
          </w:p>
        </w:tc>
      </w:tr>
      <w:tr>
        <w:trPr>
          <w:cantSplit/>
        </w:trPr>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Radicación del proyecto de ley en el Congreso</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Antes del 7 feb 2027</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Constitución, art. 341; Ley 152, arts. 13 y 19</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Pendiente</w:t>
            </w:r>
          </w:p>
        </w:tc>
      </w:tr>
      <w:tr>
        <w:trPr>
          <w:cantSplit/>
        </w:trPr>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Estudio técnico del mapa PDET</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Hasta feb 2027</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Ley 2565 de 2026</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Pendiente</w:t>
            </w:r>
          </w:p>
        </w:tc>
      </w:tr>
      <w:tr>
        <w:trPr>
          <w:cantSplit/>
        </w:trPr>
        <w:tc>
          <w:tcPr>
            <w:tcW w:type="dxa" w:w="32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Aprobación por el Congreso o expedición por decreto</w:t>
            </w:r>
          </w:p>
        </w:tc>
        <w:tc>
          <w:tcPr>
            <w:tcW w:type="dxa" w:w="18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Tres meses después de la radicación</w:t>
            </w:r>
          </w:p>
        </w:tc>
        <w:tc>
          <w:tcPr>
            <w:tcW w:type="dxa" w:w="20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Constitución, art. 341; Ley 152, arts. 20 a 25</w:t>
            </w:r>
          </w:p>
        </w:tc>
        <w:tc>
          <w:tcPr>
            <w:tcW w:type="dxa" w:w="20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Pendiente</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Constitución Política; Ley 152 de 1994; DNP (comunicados de septiembre y octubre de 2026); Infobae (14 de agosto de 2026); Ley 2565 de 2026.</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B.	Lo que se sabe del nuevo Plan y del enfoque del gobierno</w:t>
      </w:r>
    </w:p>
    <w:p>
      <w:pPr>
        <w:pStyle w:val="ListParagraph"/>
        <w:numPr>
          <w:ilvl w:val="0"/>
          <w:numId w:val="2"/>
        </w:numPr>
        <w:spacing w:after="120" w:line="264"/>
        <w:jc w:val="both"/>
      </w:pPr>
      <w:r>
        <w:rPr>
          <w:rFonts w:ascii="Times New Roman" w:cs="Times New Roman" w:eastAsia="Times New Roman" w:hAnsi="Times New Roman"/>
        </w:rPr>
        <w:t xml:space="preserve">El gobierno denominó su Plan «Colombia, La Patria Milagro» y organizó su elaboración en siete «mesas»: reconstrucción, transformación y resiliencia; patriotismo constitucional; milagro social; milagro económico; Colombia de las regiones; transformación del Estado; y milagro de la educación. Su prioridad declarada es la reconstrucción del Eje Cafetero tras el sismo del 10 de agosto, con un portafolio de 21 obras por 38,7 billones de pesos. El portafolio preliminar reúne 334 proyectos por 535,1 billones de pesos, con la advertencia presidencial de que «aquí no se determina nada sin que haya una fuente clara de financiación»</w:t>
      </w:r>
      <w:r>
        <w:rPr>
          <w:rStyle w:val="FootnoteReference"/>
        </w:rPr>
        <w:footnoteReference w:id="21"/>
      </w:r>
      <w:r>
        <w:rPr>
          <w:rFonts w:ascii="Times New Roman" w:cs="Times New Roman" w:eastAsia="Times New Roman" w:hAnsi="Times New Roman"/>
        </w:rPr>
        <w:t xml:space="preserve">.</w:t>
      </w:r>
    </w:p>
    <w:p>
      <w:pPr>
        <w:pStyle w:val="ListParagraph"/>
        <w:numPr>
          <w:ilvl w:val="0"/>
          <w:numId w:val="2"/>
        </w:numPr>
        <w:spacing w:after="120" w:line="264"/>
        <w:jc w:val="both"/>
      </w:pPr>
      <w:r>
        <w:rPr>
          <w:rFonts w:ascii="Times New Roman" w:cs="Times New Roman" w:eastAsia="Times New Roman" w:hAnsi="Times New Roman"/>
        </w:rPr>
        <w:t xml:space="preserve">En el encuentro regional de los Santanderes, en Cúcuta, el DNP anunció 13,4 billones de pesos «indicativos» para Norte de Santander y Santander. El presidente canceló su asistencia por «cambios de última hora en su agenda» y no acudieron ministros, aunque sí los viceministros de Agricultura y de Defensa; según La Opinión y BusinessCol, el director del DNP, Julián Buitrago, lideró el encuentro</w:t>
      </w:r>
      <w:r>
        <w:rPr>
          <w:rStyle w:val="FootnoteReference"/>
        </w:rPr>
        <w:footnoteReference w:id="22"/>
      </w:r>
      <w:r>
        <w:rPr>
          <w:rFonts w:ascii="Times New Roman" w:cs="Times New Roman" w:eastAsia="Times New Roman" w:hAnsi="Times New Roman"/>
        </w:rPr>
        <w:t xml:space="preserve">. No se han publicado las bases del Plan, ni el monto de su componente de paz, ni menciones del DNP a los PDET o al Catatumbo en el marco del Plan. El DNP pidió a los sectores designar enlaces para la consulta previa con comunidades étnicas y para la «mesa campesina», sin mencionar la Mesa Permanente de Concertación con los pueblos indígenas ni al pueblo Barí.</w:t>
      </w:r>
    </w:p>
    <w:p>
      <w:pPr>
        <w:keepNext/>
        <w:spacing w:after="0" w:before="200"/>
      </w:pPr>
      <w:r>
        <w:rPr>
          <w:rFonts w:ascii="Times New Roman" w:cs="Times New Roman" w:eastAsia="Times New Roman" w:hAnsi="Times New Roman"/>
          <w:sz w:val="20"/>
          <w:szCs w:val="20"/>
        </w:rPr>
        <w:t xml:space="preserve">Cuadro 26</w:t>
      </w:r>
    </w:p>
    <w:p>
      <w:pPr>
        <w:keepNext/>
        <w:spacing w:after="100"/>
      </w:pPr>
      <w:r>
        <w:rPr>
          <w:rFonts w:ascii="Times New Roman" w:cs="Times New Roman" w:eastAsia="Times New Roman" w:hAnsi="Times New Roman"/>
          <w:b/>
          <w:bCs/>
          <w:sz w:val="20"/>
          <w:szCs w:val="20"/>
        </w:rPr>
        <w:t xml:space="preserve">Enfoque del gobierno en los temas que definen al Catatumbo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4170"/>
        <w:gridCol w:w="3300"/>
      </w:tblGrid>
      <w:tr>
        <w:trPr>
          <w:cantSplit/>
          <w:tblHeader/>
        </w:trPr>
        <w:tc>
          <w:tcPr>
            <w:tcW w:type="dxa" w:w="16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Tema</w:t>
            </w:r>
          </w:p>
        </w:tc>
        <w:tc>
          <w:tcPr>
            <w:tcW w:type="dxa" w:w="41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Programa y primeras decisiones</w:t>
            </w:r>
          </w:p>
        </w:tc>
        <w:tc>
          <w:tcPr>
            <w:tcW w:type="dxa" w:w="3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Implicación para el Catatumbo</w:t>
            </w:r>
          </w:p>
        </w:tc>
      </w:tr>
      <w:tr>
        <w:trPr>
          <w:cantSplit/>
        </w:trPr>
        <w:tc>
          <w:tcPr>
            <w:tcW w:type="dxa" w:w="16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Seguridad</w:t>
            </w:r>
          </w:p>
        </w:tc>
        <w:tc>
          <w:tcPr>
            <w:tcW w:type="dxa" w:w="4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Ofensiva de 90 días y «Plan Colombia II» para reducir la violencia un 50 %; ultimátum a los mandos del ELN y del Frente 33 (8 jul); bombardeos; campaña «similar a la que se le hizo contra el Clan del Golfo en el Urabá» para «recuperar y estabilizar la región» (ministro de Defensa)</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Prioridad militar sin componente humanitario explícito; riesgo para la población civil y los menores reclutados</w:t>
            </w:r>
          </w:p>
        </w:tc>
      </w:tr>
      <w:tr>
        <w:trPr>
          <w:cantSplit/>
        </w:trPr>
        <w:tc>
          <w:tcPr>
            <w:tcW w:type="dxa" w:w="16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Paz</w:t>
            </w:r>
          </w:p>
        </w:tc>
        <w:tc>
          <w:tcPr>
            <w:tcW w:type="dxa" w:w="4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Cierre de las mesas con el EMBF, la CNEB y las ACSN (nueve resoluciones del 28 ago) y con el ELN (Resolución 391 del 9 sep); solo sometimiento a la justicia; el programa califica de «farsa» a la JEP y promete eliminarla</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Desaparece el canal para acuerdos humanitarios (secuestrados, minas, confinamientos)</w:t>
            </w:r>
          </w:p>
        </w:tc>
      </w:tr>
      <w:tr>
        <w:trPr>
          <w:cantSplit/>
        </w:trPr>
        <w:tc>
          <w:tcPr>
            <w:tcW w:type="dxa" w:w="16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Coca</w:t>
            </w:r>
          </w:p>
        </w:tc>
        <w:tc>
          <w:tcPr>
            <w:tcW w:type="dxa" w:w="4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El programa propone fumigar unas 330.000 ha; el Consejo Nacional de Estupefacientes derogó la suspensión de la aspersión (18 ago), sin reanudación automática; piloto con glufosinato de hasta 1.000 ha, suspendido provisionalmente por un juez de Puerto Asís (11 sep)</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Choque con los acuerdos de sustitución vigentes (PNIS y RenHacemos) y con la consulta previa</w:t>
            </w:r>
          </w:p>
        </w:tc>
      </w:tr>
      <w:tr>
        <w:trPr>
          <w:cantSplit/>
        </w:trPr>
        <w:tc>
          <w:tcPr>
            <w:tcW w:type="dxa" w:w="16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PDET y sustitución</w:t>
            </w:r>
          </w:p>
        </w:tc>
        <w:tc>
          <w:tcPr>
            <w:tcW w:type="dxa" w:w="4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Revisión de contratos y ejecución de la ART y de la Dirección de Sustitución; nueva directora de la ART desde el 30 sep; no hay posición explícita sobre los PDET</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Riesgo de desfinanciación del PATR y del Pacto; el estudio del mapa PDET puede excluir municipios</w:t>
            </w:r>
          </w:p>
        </w:tc>
      </w:tr>
      <w:tr>
        <w:trPr>
          <w:cantSplit/>
        </w:trPr>
        <w:tc>
          <w:tcPr>
            <w:tcW w:type="dxa" w:w="16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Frontera</w:t>
            </w:r>
          </w:p>
        </w:tc>
        <w:tc>
          <w:tcPr>
            <w:tcW w:type="dxa" w:w="4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El programa proponía romper relaciones con Venezuela; en el empalme (8 jul), el ministro del Interior designado prometió «mantener esta frontera abierta, más dinámica que nunca»; meta de comercio de 2.000 a 3.000 millones de dólares anuales en una primera fase y 7.000 millones como horizonte</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Oportunidad para el comercio de Cúcuta; el control del ELN sobre los pasos fronterizos no se aborda</w:t>
            </w:r>
          </w:p>
        </w:tc>
      </w:tr>
      <w:tr>
        <w:trPr>
          <w:cantSplit/>
        </w:trPr>
        <w:tc>
          <w:tcPr>
            <w:tcW w:type="dxa" w:w="16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7"/>
                <w:szCs w:val="17"/>
              </w:rPr>
              <w:t xml:space="preserve">Hidrocarburos</w:t>
            </w:r>
          </w:p>
        </w:tc>
        <w:tc>
          <w:tcPr>
            <w:tcW w:type="dxa" w:w="41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Pilotos de fracking con controles y agilización de permisos ambientales; cuencas prioritarias en el Valle Medio del Magdalena y Cesar–Ranchería; el gremio petrolero señala el potencial del Catatumbo, con el conflicto como obstáculo</w:t>
            </w:r>
          </w:p>
        </w:tc>
        <w:tc>
          <w:tcPr>
            <w:tcW w:type="dxa" w:w="3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Conflicto potencial con el pueblo Barí y con el agua; la infraestructura existente sigue bajo ataque</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Alfil; La Silla Vacía (mayo de 2026); El Tiempo (25 de junio y 8 de julio de 2026); La FM; El Colombiano (28 de agosto de 2026); El Diario; Infobae (9 y 27 de septiembre de 2026); La Opinión (9 de julio y 12 de octubre de 2026); Construnoticias (19 de agosto de 2026).</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C.	Obligaciones jurídicas que el Plan no puede ignorar</w:t>
      </w:r>
    </w:p>
    <w:p>
      <w:pPr>
        <w:keepNext/>
        <w:spacing w:after="0" w:before="200"/>
      </w:pPr>
      <w:r>
        <w:rPr>
          <w:rFonts w:ascii="Times New Roman" w:cs="Times New Roman" w:eastAsia="Times New Roman" w:hAnsi="Times New Roman"/>
          <w:sz w:val="20"/>
          <w:szCs w:val="20"/>
        </w:rPr>
        <w:t xml:space="preserve">Cuadro 27</w:t>
      </w:r>
    </w:p>
    <w:p>
      <w:pPr>
        <w:keepNext/>
        <w:spacing w:after="100"/>
      </w:pPr>
      <w:r>
        <w:rPr>
          <w:rFonts w:ascii="Times New Roman" w:cs="Times New Roman" w:eastAsia="Times New Roman" w:hAnsi="Times New Roman"/>
          <w:b/>
          <w:bCs/>
          <w:sz w:val="20"/>
          <w:szCs w:val="20"/>
        </w:rPr>
        <w:t xml:space="preserve">Piso jurídico vigente para el Catatumbo en el Plan 2026–2030</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970"/>
        <w:gridCol w:w="1800"/>
      </w:tblGrid>
      <w:tr>
        <w:trPr>
          <w:cantSplit/>
          <w:tblHeader/>
        </w:trPr>
        <w:tc>
          <w:tcPr>
            <w:tcW w:type="dxa" w:w="2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Norma o decisión</w:t>
            </w:r>
          </w:p>
        </w:tc>
        <w:tc>
          <w:tcPr>
            <w:tcW w:type="dxa" w:w="49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Qué obliga</w:t>
            </w:r>
          </w:p>
        </w:tc>
        <w:tc>
          <w:tcPr>
            <w:tcW w:type="dxa" w:w="18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Vigencia</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Acto Legislativo 01 de 2016, art. 3 transitorio</w:t>
            </w:r>
          </w:p>
        </w:tc>
        <w:tc>
          <w:tcPr>
            <w:tcW w:type="dxa" w:w="4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Componente específico para la paz en el Plan Plurianual de Inversiones, adicional a los demás recursos; informes al Congreso al inicio de cada legislatura (Gobierno, Procuraduría, Contraloría y Defensoría)</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20 años</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Acto Legislativo 02 de 2017</w:t>
            </w:r>
          </w:p>
        </w:tc>
        <w:tc>
          <w:tcPr>
            <w:tcW w:type="dxa" w:w="4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Cumplir de buena fe el Acuerdo de Paz durante los tres periodos presidenciales siguientes a su firma</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Hasta el 7 ago 2030</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Ley 2565 de 2026</w:t>
            </w:r>
          </w:p>
        </w:tc>
        <w:tc>
          <w:tcPr>
            <w:tcW w:type="dxa" w:w="4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Prórroga de los PDET; los PATR deben articularse con el Plan Nacional de Desarrollo con financiación adicional; estudio técnico del mapa PDET</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PDET hasta el 28 may 2037</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Ley 1448 de 2011, prorrogada por la Ley 2078 de 2021</w:t>
            </w:r>
          </w:p>
        </w:tc>
        <w:tc>
          <w:tcPr>
            <w:tcW w:type="dxa" w:w="4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Atención, asistencia y reparación integral a las víctimas</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Hasta el 10 jun 2031</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CONPES 3932 de 2018</w:t>
            </w:r>
          </w:p>
        </w:tc>
        <w:tc>
          <w:tcPr>
            <w:tcW w:type="dxa" w:w="4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Articular el Plan Marco de Implementación del Acuerdo con cada Plan Nacional de Desarrollo</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Vigente</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Sentencia T-052 de 2017</w:t>
            </w:r>
          </w:p>
        </w:tc>
        <w:tc>
          <w:tcPr>
            <w:tcW w:type="dxa" w:w="4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Decidir en un año la ampliación, el saneamiento y la delimitación de los resguardos Motilón Barí y Catalaura-La Gabarra; la Zona de Reserva Campesina solo se decide después, con consulta previa si procede; mesa consultiva Barí–ASCAMCAT</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Plazo vencido en 2018; cumplimiento en discusión</w:t>
            </w:r>
          </w:p>
        </w:tc>
      </w:tr>
      <w:tr>
        <w:trPr>
          <w:cantSplit/>
        </w:trPr>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Sentencia T-236 de 2017</w:t>
            </w:r>
          </w:p>
        </w:tc>
        <w:tc>
          <w:tcPr>
            <w:tcW w:type="dxa" w:w="49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Condiciones para cualquier aspersión aérea (evaluación de riesgos, participación, consulta)</w:t>
            </w:r>
          </w:p>
        </w:tc>
        <w:tc>
          <w:tcPr>
            <w:tcW w:type="dxa" w:w="1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Vigente</w:t>
            </w:r>
          </w:p>
        </w:tc>
      </w:tr>
      <w:tr>
        <w:trPr>
          <w:cantSplit/>
        </w:trPr>
        <w:tc>
          <w:tcPr>
            <w:tcW w:type="dxa" w:w="2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7"/>
                <w:szCs w:val="17"/>
              </w:rPr>
              <w:t xml:space="preserve">Ley 2294 de 2023 (Plan 2022–2026)</w:t>
            </w:r>
          </w:p>
        </w:tc>
        <w:tc>
          <w:tcPr>
            <w:tcW w:type="dxa" w:w="49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Componente de paz de 50,4 billones de pesos; la palabra «Catatumbo» no aparece en su articulado</w:t>
            </w:r>
          </w:p>
        </w:tc>
        <w:tc>
          <w:tcPr>
            <w:tcW w:type="dxa" w:w="18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Sustituida por el nuevo Plan</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Textos normativos (Colpensiones, Rama Judicial, Corte Constitucional); Ley 2565 de 2026, arts. 2 a 7.</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D.	Instrumentos territoriales que deben llegar al Plan</w:t>
      </w:r>
    </w:p>
    <w:p>
      <w:pPr>
        <w:pStyle w:val="ListParagraph"/>
        <w:numPr>
          <w:ilvl w:val="0"/>
          <w:numId w:val="3"/>
        </w:numPr>
        <w:spacing w:after="80" w:line="252"/>
        <w:jc w:val="both"/>
      </w:pPr>
      <w:r>
        <w:rPr>
          <w:rFonts w:ascii="Times New Roman" w:cs="Times New Roman" w:eastAsia="Times New Roman" w:hAnsi="Times New Roman"/>
          <w:b/>
          <w:bCs/>
        </w:rPr>
        <w:t xml:space="preserve">Plan de Desarrollo Departamental «Norte, Territorio de Paz» 2024–2027</w:t>
      </w:r>
      <w:r>
        <w:rPr>
          <w:rFonts w:ascii="Times New Roman" w:cs="Times New Roman" w:eastAsia="Times New Roman" w:hAnsi="Times New Roman"/>
        </w:rPr>
        <w:t xml:space="preserve"> (gobernador William Villamizar Laguado): 8,22 billones de pesos en cuatro líneas, de las cuales Seguridad y Paz suma 561.543 millones. Incluye el Complejo Educativo del Catatumbo, los estudios del Tren del Catatumbo y las variantes de Ábrego y Ocaña.</w:t>
      </w:r>
    </w:p>
    <w:p>
      <w:pPr>
        <w:pStyle w:val="ListParagraph"/>
        <w:numPr>
          <w:ilvl w:val="0"/>
          <w:numId w:val="3"/>
        </w:numPr>
        <w:spacing w:after="80" w:line="252"/>
        <w:jc w:val="both"/>
      </w:pPr>
      <w:r>
        <w:rPr>
          <w:rFonts w:ascii="Times New Roman" w:cs="Times New Roman" w:eastAsia="Times New Roman" w:hAnsi="Times New Roman"/>
          <w:b/>
          <w:bCs/>
        </w:rPr>
        <w:t xml:space="preserve">PATR del Catatumbo:</w:t>
      </w:r>
      <w:r>
        <w:rPr>
          <w:rFonts w:ascii="Times New Roman" w:cs="Times New Roman" w:eastAsia="Times New Roman" w:hAnsi="Times New Roman"/>
        </w:rPr>
        <w:t xml:space="preserve"> 1.115 iniciativas y una actualización con 443 proyectos y entre 6,5 y 7,47 billones de pesos a ocho años, con capítulos intercultural y Barí.</w:t>
      </w:r>
    </w:p>
    <w:p>
      <w:pPr>
        <w:pStyle w:val="ListParagraph"/>
        <w:numPr>
          <w:ilvl w:val="0"/>
          <w:numId w:val="3"/>
        </w:numPr>
        <w:spacing w:after="80" w:line="252"/>
        <w:jc w:val="both"/>
      </w:pPr>
      <w:r>
        <w:rPr>
          <w:rFonts w:ascii="Times New Roman" w:cs="Times New Roman" w:eastAsia="Times New Roman" w:hAnsi="Times New Roman"/>
          <w:b/>
          <w:bCs/>
        </w:rPr>
        <w:t xml:space="preserve">Pacto Social para la Transformación Territorial del Catatumbo:</w:t>
      </w:r>
      <w:r>
        <w:rPr>
          <w:rFonts w:ascii="Times New Roman" w:cs="Times New Roman" w:eastAsia="Times New Roman" w:hAnsi="Times New Roman"/>
        </w:rPr>
        <w:t xml:space="preserve"> lanzado en Tibú el 6 de marzo de 2025; según el balance de enero de 2026, suma 6,27 billones de pesos en 124 proyectos, con un capítulo Barí de 13 iniciativas por 137.497 millones. No tiene rango de ley: su continuidad depende de que entre al Plan Plurianual.</w:t>
      </w:r>
    </w:p>
    <w:p>
      <w:pPr>
        <w:pStyle w:val="ListParagraph"/>
        <w:numPr>
          <w:ilvl w:val="0"/>
          <w:numId w:val="3"/>
        </w:numPr>
        <w:spacing w:after="80" w:line="252"/>
        <w:jc w:val="both"/>
      </w:pPr>
      <w:r>
        <w:rPr>
          <w:rFonts w:ascii="Times New Roman" w:cs="Times New Roman" w:eastAsia="Times New Roman" w:hAnsi="Times New Roman"/>
          <w:b/>
          <w:bCs/>
        </w:rPr>
        <w:t xml:space="preserve">Transversal del Catatumbo:</w:t>
      </w:r>
      <w:r>
        <w:rPr>
          <w:rFonts w:ascii="Times New Roman" w:cs="Times New Roman" w:eastAsia="Times New Roman" w:hAnsi="Times New Roman"/>
        </w:rPr>
        <w:t xml:space="preserve"> respaldada por el CONPES 4161 y vigencias futuras hasta 2031.</w:t>
      </w:r>
    </w:p>
    <w:p>
      <w:pPr>
        <w:pStyle w:val="ListParagraph"/>
        <w:numPr>
          <w:ilvl w:val="0"/>
          <w:numId w:val="3"/>
        </w:numPr>
        <w:spacing w:after="80" w:line="252"/>
        <w:jc w:val="both"/>
      </w:pPr>
      <w:r>
        <w:rPr>
          <w:rFonts w:ascii="Times New Roman" w:cs="Times New Roman" w:eastAsia="Times New Roman" w:hAnsi="Times New Roman"/>
          <w:b/>
          <w:bCs/>
        </w:rPr>
        <w:t xml:space="preserve">Región Administrativa y de Planificación del Gran Santander:</w:t>
      </w:r>
      <w:r>
        <w:rPr>
          <w:rFonts w:ascii="Times New Roman" w:cs="Times New Roman" w:eastAsia="Times New Roman" w:hAnsi="Times New Roman"/>
        </w:rPr>
        <w:t xml:space="preserve"> plan estratégico regional con 34 proyectos, 12 priorizados para 2024–2027.</w:t>
      </w:r>
    </w:p>
    <w:p>
      <w:pPr>
        <w:pStyle w:val="ListParagraph"/>
        <w:numPr>
          <w:ilvl w:val="0"/>
          <w:numId w:val="3"/>
        </w:numPr>
        <w:spacing w:after="80" w:line="252"/>
        <w:jc w:val="both"/>
      </w:pPr>
      <w:r>
        <w:rPr>
          <w:rFonts w:ascii="Times New Roman" w:cs="Times New Roman" w:eastAsia="Times New Roman" w:hAnsi="Times New Roman"/>
          <w:b/>
          <w:bCs/>
        </w:rPr>
        <w:t xml:space="preserve">Representación política:</w:t>
      </w:r>
      <w:r>
        <w:rPr>
          <w:rFonts w:ascii="Times New Roman" w:cs="Times New Roman" w:eastAsia="Times New Roman" w:hAnsi="Times New Roman"/>
        </w:rPr>
        <w:t xml:space="preserve"> la Circunscripción Transitoria Especial de Paz del Catatumbo tiene representante a la Cámara para 2026–2030, Tatiana Gaona, de la Asociación de Víctimas Caminos de Esperanza Las Mercedes: un canal directo para un artículo sobre el Catatumbo en la ley del Plan.</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E.	Lo que pide la región</w:t>
      </w:r>
    </w:p>
    <w:p>
      <w:pPr>
        <w:keepNext/>
        <w:spacing w:after="0" w:before="200"/>
      </w:pPr>
      <w:r>
        <w:rPr>
          <w:rFonts w:ascii="Times New Roman" w:cs="Times New Roman" w:eastAsia="Times New Roman" w:hAnsi="Times New Roman"/>
          <w:sz w:val="20"/>
          <w:szCs w:val="20"/>
        </w:rPr>
        <w:t xml:space="preserve">Cuadro 28</w:t>
      </w:r>
    </w:p>
    <w:p>
      <w:pPr>
        <w:keepNext/>
        <w:spacing w:after="100"/>
      </w:pPr>
      <w:r>
        <w:rPr>
          <w:rFonts w:ascii="Times New Roman" w:cs="Times New Roman" w:eastAsia="Times New Roman" w:hAnsi="Times New Roman"/>
          <w:b/>
          <w:bCs/>
          <w:sz w:val="20"/>
          <w:szCs w:val="20"/>
        </w:rPr>
        <w:t xml:space="preserve">Peticiones de los actores de la región para el Plan 2026–2030</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0"/>
      </w:tblGrid>
      <w:tr>
        <w:trPr>
          <w:cantSplit/>
          <w:tblHeader/>
        </w:trPr>
        <w:tc>
          <w:tcPr>
            <w:tcW w:type="dxa" w:w="22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Actor</w:t>
            </w:r>
          </w:p>
        </w:tc>
        <w:tc>
          <w:tcPr>
            <w:tcW w:type="dxa" w:w="68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Peticiones</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Gobernación de Norte de Santander (13 oct)</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Vías: 4G Pamplona–Bucaramanga, Cúcuta–Ocaña y pavimentación Cúcuta–Tibú; plantas de tratamiento metropolitanas; gasoducto Aguachica–Cúcuta; Tren del Catatumbo; urgencias del Hospital Erasmo Meoz y salud mental; cumplimiento del Pacto Social de 2025. Ante la bancada (29 jul): túnel Cúcuta–Ocaña y puentes fronterizos abiertos de forma permanente</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Gremios y agenda común de los Santanderes</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Ocho proyectos (corredor Bogotá–Cúcuta, agua, Circuito Vial del Oriente Cúcuta–Ocaña–Aguachica, minero-energético, zonas francas, aeropuertos, plataforma agroindustrial y Tren del Catatumbo), con la seguridad como primer asunto de la agenda. Cámara de Comercio de Cúcuta: vía Cúcuta–Ocaña, régimen tributario fronterizo y Puerto Multimodal Binacional Cúcuta–La Ceiba. Cotelco: IVA del 8 % para turismo y ampliación del aeropuerto Camilo Daza</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Víctimas del Catatumbo</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«Primero seguridad, segundo inversión social»: atención humanitaria, retornos e indemnizaciones; la reunión prevista con el presidente el 13 de octubre no se realizó</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Red de Mujeres del Catatumbo y Asociación de Madres del Catatumbo por la Paz (16 oct)</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Salud, tierra, agua, proyectos para mujeres rurales, cuidado, justicia y conectividad entre veredas y cabeceras, convertidos en «proyectos con presupuesto, responsables»</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Organizaciones campesinas y comunitarias</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COCCAM no descarta movilizaciones y paros si se fumiga (8 ago); un comunicado de organizaciones comunitarias rechazó el bombardeo del 11 de agosto en zona rural de El Tarra, San Calixto y Tibú; sustitución voluntaria con inversión previa</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Alcaldía de Ocaña (Emiro Cañizares)</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Repensar la estrategia de seguridad frente a los drones tras el ataque contra el cantón militar (septiembre); crear un distrito especial de Policía; desmontar las economías ilegales</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Representante de la curul de paz del Catatumbo (Tatiana Gaona)</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Vías rurales, oportunidades para jóvenes y fin de los «proyectos de papel»; no tiene una agenda pública sobre el Plan</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7"/>
                <w:szCs w:val="17"/>
              </w:rPr>
              <w:t xml:space="preserve">Iglesia (Diócesis de Tibú)</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sz w:val="17"/>
                <w:szCs w:val="17"/>
              </w:rPr>
              <w:t xml:space="preserve">«Signos más auténticos y reales de paz»; gestos de humanidad y diálogo</w:t>
            </w:r>
          </w:p>
        </w:tc>
      </w:tr>
      <w:tr>
        <w:trPr>
          <w:cantSplit/>
        </w:trPr>
        <w:tc>
          <w:tcPr>
            <w:tcW w:type="dxa" w:w="22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7"/>
                <w:szCs w:val="17"/>
              </w:rPr>
              <w:t xml:space="preserve">Pueblo Barí, consejos territoriales de planeación y congresistas</w:t>
            </w:r>
          </w:p>
        </w:tc>
        <w:tc>
          <w:tcPr>
            <w:tcW w:type="dxa" w:w="68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7"/>
                <w:szCs w:val="17"/>
              </w:rPr>
              <w:t xml:space="preserve">No se encontraron propuestas públicas de 2026 para el Plan</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Gobernación de Norte de Santander; La Opinión (9 y 29 de julio, 13 y 16 de octubre de 2026); Infobae (8 de octubre de 2026); Metropolitano (8 de agosto de 2026); Renacientes (13 de agosto de 2026); Vanguardia (7 de septiembre de 2026); El Catolicismo.</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F.	Prioridades de la región para el Plan 2026–2030</w:t>
      </w:r>
    </w:p>
    <w:p>
      <w:pPr>
        <w:pStyle w:val="ListParagraph"/>
        <w:numPr>
          <w:ilvl w:val="0"/>
          <w:numId w:val="2"/>
        </w:numPr>
        <w:spacing w:after="120" w:line="264"/>
        <w:jc w:val="both"/>
      </w:pPr>
      <w:r>
        <w:rPr>
          <w:rFonts w:ascii="Times New Roman" w:cs="Times New Roman" w:eastAsia="Times New Roman" w:hAnsi="Times New Roman"/>
        </w:rPr>
        <w:t xml:space="preserve">Con base en los ejes 1 y 2 y en las peticiones anteriores, se proponen ocho prioridades. Cada una indica qué pedir, en qué instrumento del Plan debe quedar y quién responde.</w:t>
      </w:r>
    </w:p>
    <w:p>
      <w:pPr>
        <w:keepNext/>
        <w:spacing w:after="0" w:before="200"/>
      </w:pPr>
      <w:r>
        <w:rPr>
          <w:rFonts w:ascii="Times New Roman" w:cs="Times New Roman" w:eastAsia="Times New Roman" w:hAnsi="Times New Roman"/>
          <w:sz w:val="20"/>
          <w:szCs w:val="20"/>
        </w:rPr>
        <w:t xml:space="preserve">Cuadro 29</w:t>
      </w:r>
    </w:p>
    <w:p>
      <w:pPr>
        <w:keepNext/>
        <w:spacing w:after="100"/>
      </w:pPr>
      <w:r>
        <w:rPr>
          <w:rFonts w:ascii="Times New Roman" w:cs="Times New Roman" w:eastAsia="Times New Roman" w:hAnsi="Times New Roman"/>
          <w:b/>
          <w:bCs/>
          <w:sz w:val="20"/>
          <w:szCs w:val="20"/>
        </w:rPr>
        <w:t xml:space="preserve">Matriz de prioridades del Catatumbo para el Plan Nacional de Desarrollo 2026–2030</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170"/>
        <w:gridCol w:w="2300"/>
        <w:gridCol w:w="2100"/>
      </w:tblGrid>
      <w:tr>
        <w:trPr>
          <w:cantSplit/>
          <w:tblHeader/>
        </w:trPr>
        <w:tc>
          <w:tcPr>
            <w:tcW w:type="dxa" w:w="1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6"/>
                <w:szCs w:val="16"/>
              </w:rPr>
              <w:t xml:space="preserve">Prioridad</w:t>
            </w:r>
          </w:p>
        </w:tc>
        <w:tc>
          <w:tcPr>
            <w:tcW w:type="dxa" w:w="31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6"/>
                <w:szCs w:val="16"/>
              </w:rPr>
              <w:t xml:space="preserve">Qué pedir</w:t>
            </w:r>
          </w:p>
        </w:tc>
        <w:tc>
          <w:tcPr>
            <w:tcW w:type="dxa" w:w="2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6"/>
                <w:szCs w:val="16"/>
              </w:rPr>
              <w:t xml:space="preserve">Instrumento en el Plan</w:t>
            </w:r>
          </w:p>
        </w:tc>
        <w:tc>
          <w:tcPr>
            <w:tcW w:type="dxa" w:w="21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6"/>
                <w:szCs w:val="16"/>
              </w:rPr>
              <w:t xml:space="preserve">Responsable</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a. Seguridad humana y derechos humanos</w:t>
            </w:r>
          </w:p>
        </w:tc>
        <w:tc>
          <w:tcPr>
            <w:tcW w:type="dxa" w:w="3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Plan Catatumbo con estándar de DIH (verificar presencia de menores, registrar daños civiles); protección de líderes, firmantes y personeros; respuesta obligatoria a las alertas tempranas; desminado humanitario en Tibú; cruce de datos entre Policía, Medicina Legal y AICMA</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Subprograma territorial en la mesa de seguridad; metas por subregión; garantías en el componente de paz</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Ministerio de Defensa, Policía, Ministerio del Interior, Consejería Comisionada de Paz (AICMA)</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b. Humanitario y víctimas</w:t>
            </w:r>
          </w:p>
        </w:tc>
        <w:tc>
          <w:tcPr>
            <w:tcW w:type="dxa" w:w="3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Atención humanitaria inmediata; retornos y reubicaciones; indemnización priorizada; búsqueda de personas desaparecidas; acuerdos humanitarios mínimos (secuestrados, minas)</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Componente de paz regionalizado (punto 5 del Acuerdo); metas de la Unidad para las Víctimas y de la Unidad de Búsqueda</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UARIV, UBPD, ICBF, entidades territoriales</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c. Economía rural y transición de la coca</w:t>
            </w:r>
          </w:p>
        </w:tc>
        <w:tc>
          <w:tcPr>
            <w:tcW w:type="dxa" w:w="3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Sustitución voluntaria con proyectos productivos; ninguna aspersión sin estudios y consulta; compras públicas; cadenas de cacao, café, cebolla y frijol</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Programa de transición con meta de hectáreas concertadas; pilar 6 del PATR</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Dirección de Sustitución, ART, Ministerio de Agricultura, ADR</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d. Infraestructura y conectividad</w:t>
            </w:r>
          </w:p>
        </w:tc>
        <w:tc>
          <w:tcPr>
            <w:tcW w:type="dxa" w:w="3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Transversal del Catatumbo con vigencias futuras; pavimentación Cúcuta–Tibú; vía Cúcuta–Ocaña; vías terciarias; internet rural</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Plan Plurianual regionalizado; artículo de vigencias futuras; obras por impuestos</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Ministerio de Transporte, Invías, Ministerio TIC</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e. Servicios sociales</w:t>
            </w:r>
          </w:p>
        </w:tc>
        <w:tc>
          <w:tcPr>
            <w:tcW w:type="dxa" w:w="3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Red hospitalaria Tibú–Ocaña; salud mental; Complejo Educativo del Catatumbo; sede de Ocaña de la Universidad Francisco de Paula Santander; agua rural</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Metas de los pilares 3 a 5 del PATR</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Ministerios de Salud, Educación y Vivienda</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f. Tierra, ambiente y pueblo Barí</w:t>
            </w:r>
          </w:p>
        </w:tc>
        <w:tc>
          <w:tcPr>
            <w:tcW w:type="dxa" w:w="3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Cumplir la sentencia T-052 de 2017; capítulo Barí del PATR; consulta previa frente a aspersión o fracking; formalización de la propiedad campesina</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Artículo de cumplimiento; metas de la Agencia Nacional de Tierras; consulta previa del Plan</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ANT, Ministerio del Interior, Ministerio de Ambiente</w:t>
            </w:r>
          </w:p>
        </w:tc>
      </w:tr>
      <w:tr>
        <w:trPr>
          <w:cantSplit/>
        </w:trPr>
        <w:tc>
          <w:tcPr>
            <w:tcW w:type="dxa" w:w="1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g. Frontera</w:t>
            </w:r>
          </w:p>
        </w:tc>
        <w:tc>
          <w:tcPr>
            <w:tcW w:type="dxa" w:w="3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Régimen tributario fronterizo; puerto seco binacional; puentes abiertos las 24 horas; cooperación binacional frente al ELN</w:t>
            </w:r>
          </w:p>
        </w:tc>
        <w:tc>
          <w:tcPr>
            <w:tcW w:type="dxa" w:w="2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Artículo de régimen fronterizo (Ley 2135 de 2021)</w:t>
            </w:r>
          </w:p>
        </w:tc>
        <w:tc>
          <w:tcPr>
            <w:tcW w:type="dxa" w:w="21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Cancillería, Ministerio de Comercio, DIAN</w:t>
            </w:r>
          </w:p>
        </w:tc>
      </w:tr>
      <w:tr>
        <w:trPr>
          <w:cantSplit/>
        </w:trPr>
        <w:tc>
          <w:tcPr>
            <w:tcW w:type="dxa" w:w="1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6"/>
                <w:szCs w:val="16"/>
              </w:rPr>
              <w:t xml:space="preserve">h. Gobernanza y continuidad</w:t>
            </w:r>
          </w:p>
        </w:tc>
        <w:tc>
          <w:tcPr>
            <w:tcW w:type="dxa" w:w="31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Mantener los PDET y el Pacto (Ley 2565); llevar los 443 proyectos del PATR al Plan Plurianual; seguimiento con las comunidades; datos abiertos</w:t>
            </w:r>
          </w:p>
        </w:tc>
        <w:tc>
          <w:tcPr>
            <w:tcW w:type="dxa" w:w="2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Artículo «Catatumbo» en la ley; anexo territorial del componente de paz; sistema de seguimiento SIIPO</w:t>
            </w:r>
          </w:p>
        </w:tc>
        <w:tc>
          <w:tcPr>
            <w:tcW w:type="dxa" w:w="21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6"/>
                <w:szCs w:val="16"/>
              </w:rPr>
              <w:t xml:space="preserve">DNP, ART, Gobernación</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Elaboración propia.</w:t>
      </w:r>
    </w:p>
    <w:p>
      <w:pPr>
        <w:keepNext/>
        <w:spacing w:after="0" w:before="200"/>
      </w:pPr>
      <w:r>
        <w:rPr>
          <w:rFonts w:ascii="Times New Roman" w:cs="Times New Roman" w:eastAsia="Times New Roman" w:hAnsi="Times New Roman"/>
          <w:sz w:val="20"/>
          <w:szCs w:val="20"/>
        </w:rPr>
        <w:t xml:space="preserve">Cuadro 30</w:t>
      </w:r>
    </w:p>
    <w:p>
      <w:pPr>
        <w:keepNext/>
        <w:spacing w:after="100"/>
      </w:pPr>
      <w:r>
        <w:rPr>
          <w:rFonts w:ascii="Times New Roman" w:cs="Times New Roman" w:eastAsia="Times New Roman" w:hAnsi="Times New Roman"/>
          <w:b/>
          <w:bCs/>
          <w:sz w:val="20"/>
          <w:szCs w:val="20"/>
        </w:rPr>
        <w:t xml:space="preserve">Indicadores propuestos para el Catatumbo en el Plan, con línea de base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270"/>
        <w:gridCol w:w="3300"/>
        <w:gridCol w:w="2000"/>
      </w:tblGrid>
      <w:tr>
        <w:trPr>
          <w:cantSplit/>
          <w:tblHeader/>
        </w:trPr>
        <w:tc>
          <w:tcPr>
            <w:tcW w:type="dxa" w:w="5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b w:val="false"/>
                <w:bCs w:val="false"/>
                <w:i/>
                <w:iCs/>
                <w:sz w:val="17"/>
                <w:szCs w:val="17"/>
              </w:rPr>
              <w:t xml:space="preserve">N.º</w:t>
            </w:r>
          </w:p>
        </w:tc>
        <w:tc>
          <w:tcPr>
            <w:tcW w:type="dxa" w:w="32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Indicador</w:t>
            </w:r>
          </w:p>
        </w:tc>
        <w:tc>
          <w:tcPr>
            <w:tcW w:type="dxa" w:w="33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Línea de base</w:t>
            </w:r>
          </w:p>
        </w:tc>
        <w:tc>
          <w:tcPr>
            <w:tcW w:type="dxa" w:w="20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7"/>
                <w:szCs w:val="17"/>
              </w:rPr>
              <w:t xml:space="preserve">Meta propuesta a 2030</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1</w:t>
            </w:r>
          </w:p>
        </w:tc>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Homicidios en los 11 municipios del Catatumbo</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108 en el primer semestre de 2026 (Tibú 52), según la Policía (documento [2]); Medicina Legal registra 130</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Reducción del 50 %</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2</w:t>
            </w:r>
          </w:p>
        </w:tc>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Homicidios por ataques o combates de grupos armados</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96 en el primer semestre de 2026 (71 y 25); documento [2]</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Reducción del 60 %</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3</w:t>
            </w:r>
          </w:p>
        </w:tc>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Víctimas civiles de minas y municiones sin explosionar</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17 heridos en Tibú y 78 eventos, primer semestre de 2026; documento [6]</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Cero víctimas civiles</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4</w:t>
            </w:r>
          </w:p>
        </w:tc>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Homicidios con dron o artefacto explosivo</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22 en el primer semestre de 2026; documento [2]</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Cero</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5</w:t>
            </w:r>
          </w:p>
        </w:tc>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Desplazamiento masivo</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13 eventos y 2.447 personas entre enero y el 2 de junio de 2026; Defensoría</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Retornos acompañados al 100 %</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6</w:t>
            </w:r>
          </w:p>
        </w:tc>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Hectáreas de coca</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Tibú 25.911 y El Tarra 7.665 en 2024; UNODC-SIMCI</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Reducción concertada con las comunidades</w:t>
            </w:r>
          </w:p>
        </w:tc>
      </w:tr>
      <w:tr>
        <w:trPr>
          <w:cantSplit/>
        </w:trPr>
        <w:tc>
          <w:tcPr>
            <w:tcW w:type="dxa" w:w="5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center"/>
            </w:pPr>
            <w:r>
              <w:rPr>
                <w:rFonts w:ascii="Times New Roman" w:cs="Times New Roman" w:eastAsia="Times New Roman" w:hAnsi="Times New Roman"/>
                <w:sz w:val="17"/>
                <w:szCs w:val="17"/>
              </w:rPr>
              <w:t xml:space="preserve">7</w:t>
            </w:r>
          </w:p>
        </w:tc>
        <w:tc>
          <w:tcPr>
            <w:tcW w:type="dxa" w:w="3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Extorsión y secuestro extorsivo</w:t>
            </w:r>
          </w:p>
        </w:tc>
        <w:tc>
          <w:tcPr>
            <w:tcW w:type="dxa" w:w="33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70 y 8 en el primer semestre de 2026 (más 230 amenazas); documento [2]</w:t>
            </w:r>
          </w:p>
        </w:tc>
        <w:tc>
          <w:tcPr>
            <w:tcW w:type="dxa" w:w="2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7"/>
                <w:szCs w:val="17"/>
              </w:rPr>
              <w:t xml:space="preserve">Reducción del 50 %</w:t>
            </w:r>
          </w:p>
        </w:tc>
      </w:tr>
      <w:tr>
        <w:trPr>
          <w:cantSplit/>
        </w:trPr>
        <w:tc>
          <w:tcPr>
            <w:tcW w:type="dxa" w:w="5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center"/>
            </w:pPr>
            <w:r>
              <w:rPr>
                <w:rFonts w:ascii="Times New Roman" w:cs="Times New Roman" w:eastAsia="Times New Roman" w:hAnsi="Times New Roman"/>
                <w:sz w:val="17"/>
                <w:szCs w:val="17"/>
              </w:rPr>
              <w:t xml:space="preserve">8</w:t>
            </w:r>
          </w:p>
        </w:tc>
        <w:tc>
          <w:tcPr>
            <w:tcW w:type="dxa" w:w="32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7"/>
                <w:szCs w:val="17"/>
              </w:rPr>
              <w:t xml:space="preserve">Proyectos del PATR y del Pacto con financiación</w:t>
            </w:r>
          </w:p>
        </w:tc>
        <w:tc>
          <w:tcPr>
            <w:tcW w:type="dxa" w:w="33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7"/>
                <w:szCs w:val="17"/>
              </w:rPr>
              <w:t xml:space="preserve">443 y 124 proyectos; ART con 18 % de pagos en 2026</w:t>
            </w:r>
          </w:p>
        </w:tc>
        <w:tc>
          <w:tcPr>
            <w:tcW w:type="dxa" w:w="20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7"/>
                <w:szCs w:val="17"/>
              </w:rPr>
              <w:t xml:space="preserve">Al menos 60 % financiados, con reporte trimestral</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Elaboración propia; líneas de base de los documentos [2] y [6], la Defensoría del Pueblo, UNODC-SIMCI e Infobae (27 de septiembre de 2026).</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G.	Tensiones previsibles y oportunidades de incidencia</w:t>
      </w:r>
    </w:p>
    <w:p>
      <w:pPr>
        <w:keepNext/>
        <w:spacing w:after="0" w:before="200"/>
      </w:pPr>
      <w:r>
        <w:rPr>
          <w:rFonts w:ascii="Times New Roman" w:cs="Times New Roman" w:eastAsia="Times New Roman" w:hAnsi="Times New Roman"/>
          <w:sz w:val="20"/>
          <w:szCs w:val="20"/>
        </w:rPr>
        <w:t xml:space="preserve">Cuadro 31</w:t>
      </w:r>
    </w:p>
    <w:p>
      <w:pPr>
        <w:keepNext/>
        <w:spacing w:after="100"/>
      </w:pPr>
      <w:r>
        <w:rPr>
          <w:rFonts w:ascii="Times New Roman" w:cs="Times New Roman" w:eastAsia="Times New Roman" w:hAnsi="Times New Roman"/>
          <w:b/>
          <w:bCs/>
          <w:sz w:val="20"/>
          <w:szCs w:val="20"/>
        </w:rPr>
        <w:t xml:space="preserve">Tensiones entre el enfoque del gobierno y las demandas del territorio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5"/>
        <w:gridCol w:w="4535"/>
      </w:tblGrid>
      <w:tr>
        <w:trPr>
          <w:cantSplit/>
          <w:tblHeader/>
        </w:trPr>
        <w:tc>
          <w:tcPr>
            <w:tcW w:type="dxa" w:w="4535"/>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Enfoque del gobierno</w:t>
            </w:r>
          </w:p>
        </w:tc>
        <w:tc>
          <w:tcPr>
            <w:tcW w:type="dxa" w:w="4535"/>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Demanda del territorio</w:t>
            </w:r>
          </w:p>
        </w:tc>
      </w:tr>
      <w:tr>
        <w:trPr>
          <w:cantSplit/>
        </w:trPr>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Bombardeos como herramienta central</w:t>
            </w:r>
          </w:p>
        </w:tc>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Respeto del DIH: siete menores muertos en cuatro operaciones y decisiones judiciales sobre su uso</w:t>
            </w:r>
          </w:p>
        </w:tc>
      </w:tr>
      <w:tr>
        <w:trPr>
          <w:cantSplit/>
        </w:trPr>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Aspersión aérea</w:t>
            </w:r>
          </w:p>
        </w:tc>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Sustitución voluntaria y consulta previa; el piloto en Putumayo ya terminó en los tribunales</w:t>
            </w:r>
          </w:p>
        </w:tc>
      </w:tr>
      <w:tr>
        <w:trPr>
          <w:cantSplit/>
        </w:trPr>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Fracking y consulta previa «más ágil»</w:t>
            </w:r>
          </w:p>
        </w:tc>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Agua y territorio del pueblo Barí</w:t>
            </w:r>
          </w:p>
        </w:tc>
      </w:tr>
      <w:tr>
        <w:trPr>
          <w:cantSplit/>
        </w:trPr>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Austeridad y revisión de la ART</w:t>
            </w:r>
          </w:p>
        </w:tc>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Ley 2565 de 2026 y un PATR de entre 6,5 y 7,47 billones; riesgo de exclusión en el estudio del mapa PDET</w:t>
            </w:r>
          </w:p>
        </w:tc>
      </w:tr>
      <w:tr>
        <w:trPr>
          <w:cantSplit/>
        </w:trPr>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Grandes proyectos de infraestructura (13,4 billones indicativos)</w:t>
            </w:r>
          </w:p>
        </w:tc>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Vías terciarias, tierra, salud y víctimas</w:t>
            </w:r>
          </w:p>
        </w:tc>
      </w:tr>
      <w:tr>
        <w:trPr>
          <w:cantSplit/>
        </w:trPr>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Fin de la «paz total»</w:t>
            </w:r>
          </w:p>
        </w:tc>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Urgencias humanitarias: policías secuestrados, minas, confinamientos</w:t>
            </w:r>
          </w:p>
        </w:tc>
      </w:tr>
      <w:tr>
        <w:trPr>
          <w:cantSplit/>
        </w:trPr>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Apertura comercial con Venezuela</w:t>
            </w:r>
          </w:p>
        </w:tc>
        <w:tc>
          <w:tcPr>
            <w:tcW w:type="dxa" w:w="4535"/>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Control del ELN sobre los pasos fronterizos</w:t>
            </w:r>
          </w:p>
        </w:tc>
      </w:tr>
      <w:tr>
        <w:trPr>
          <w:cantSplit/>
        </w:trPr>
        <w:tc>
          <w:tcPr>
            <w:tcW w:type="dxa" w:w="4535"/>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Discurso de «Colombia de las regiones»</w:t>
            </w:r>
          </w:p>
        </w:tc>
        <w:tc>
          <w:tcPr>
            <w:tcW w:type="dxa" w:w="4535"/>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Ausencia del presidente y de los ministros en el encuentro regional de Cúcuta del 13 de octubre</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Elaboración propia con base en los capítulos II a IV.</w:t>
      </w:r>
    </w:p>
    <w:p>
      <w:pPr>
        <w:keepNext/>
        <w:spacing w:after="0" w:before="200"/>
      </w:pPr>
      <w:r>
        <w:rPr>
          <w:rFonts w:ascii="Times New Roman" w:cs="Times New Roman" w:eastAsia="Times New Roman" w:hAnsi="Times New Roman"/>
          <w:sz w:val="20"/>
          <w:szCs w:val="20"/>
        </w:rPr>
        <w:t xml:space="preserve">Cuadro 32</w:t>
      </w:r>
    </w:p>
    <w:p>
      <w:pPr>
        <w:keepNext/>
        <w:spacing w:after="100"/>
      </w:pPr>
      <w:r>
        <w:rPr>
          <w:rFonts w:ascii="Times New Roman" w:cs="Times New Roman" w:eastAsia="Times New Roman" w:hAnsi="Times New Roman"/>
          <w:b/>
          <w:bCs/>
          <w:sz w:val="20"/>
          <w:szCs w:val="20"/>
        </w:rPr>
        <w:t xml:space="preserve">Calendario de incidencia para las organizaciones del Catatumbo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0"/>
      </w:tblGrid>
      <w:tr>
        <w:trPr>
          <w:cantSplit/>
          <w:tblHeader/>
        </w:trPr>
        <w:tc>
          <w:tcPr>
            <w:tcW w:type="dxa" w:w="22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Momento</w:t>
            </w:r>
          </w:p>
        </w:tc>
        <w:tc>
          <w:tcPr>
            <w:tcW w:type="dxa" w:w="68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Acción recomendada</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Hasta el 31 oct 2026</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Entregar un documento técnico a la Dirección de Estrategia Regional del DNP con las prioridades y los indicadores de este capítulo</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Noviembre de 2026</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Gestionar que un gobernador o alcalde de la región participe en el CONPES ampliado</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Desde el 15 nov 2026</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Leer críticamente las bases del Plan y exigir el anexo territorial del componente de paz</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Nov 2026 a ene 2027</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Participar en las audiencias públicas; llevar conceptos de los consejos territoriales de planeación del Catatumbo; buscar a los consejeros del Consejo Nacional de Planeación de municipios y del sector social</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Antes del 10 ene 2027</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Pedir al Consejo Nacional de Planeación que recomiende un capítulo para el Catatumbo</w:t>
            </w:r>
          </w:p>
        </w:tc>
      </w:tr>
      <w:tr>
        <w:trPr>
          <w:cantSplit/>
        </w:trPr>
        <w:tc>
          <w:tcPr>
            <w:tcW w:type="dxa" w:w="22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Desde febrero de 2027</w:t>
            </w:r>
          </w:p>
        </w:tc>
        <w:tc>
          <w:tcPr>
            <w:tcW w:type="dxa" w:w="68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Con la bancada de Norte de Santander y la curul de paz, negociar un artículo «Catatumbo» y vigencias futuras en el trámite legislativo</w:t>
            </w:r>
          </w:p>
        </w:tc>
      </w:tr>
      <w:tr>
        <w:trPr>
          <w:cantSplit/>
        </w:trPr>
        <w:tc>
          <w:tcPr>
            <w:tcW w:type="dxa" w:w="22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Cada 20 de julio</w:t>
            </w:r>
          </w:p>
        </w:tc>
        <w:tc>
          <w:tcPr>
            <w:tcW w:type="dxa" w:w="68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Usar el informe anual del componente de paz al Congreso para el control político</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Elaboración propia con base en la Ley 152 de 1994 y el calendario del DNP.</w:t>
      </w:r>
    </w:p>
    <w:p>
      <w:r>
        <w:br w:type="page"/>
      </w:r>
    </w:p>
    <w:p>
      <w:pPr>
        <w:pStyle w:val="Heading1"/>
        <w:keepNext/>
        <w:tabs>
          <w:tab w:val="left" w:pos="1134"/>
        </w:tabs>
        <w:spacing w:after="240" w:before="120"/>
        <w:ind w:left="1134" w:hanging="1134"/>
      </w:pPr>
      <w:r>
        <w:rPr>
          <w:rFonts w:ascii="Times New Roman" w:cs="Times New Roman" w:eastAsia="Times New Roman" w:hAnsi="Times New Roman"/>
          <w:b/>
          <w:bCs/>
          <w:sz w:val="28"/>
          <w:szCs w:val="28"/>
        </w:rPr>
        <w:t xml:space="preserve">V.	Conclusiones y recomendaciones</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A.	Conclusiones</w:t>
      </w:r>
    </w:p>
    <w:p>
      <w:pPr>
        <w:pStyle w:val="ListParagraph"/>
        <w:numPr>
          <w:ilvl w:val="0"/>
          <w:numId w:val="2"/>
        </w:numPr>
        <w:spacing w:after="120" w:line="264"/>
        <w:jc w:val="both"/>
      </w:pPr>
      <w:r>
        <w:rPr>
          <w:rFonts w:ascii="Times New Roman" w:cs="Times New Roman" w:eastAsia="Times New Roman" w:hAnsi="Times New Roman"/>
          <w:b/>
          <w:bCs/>
        </w:rPr>
        <w:t xml:space="preserve">La violencia del Catatumbo es una violencia de guerra, concentrada y tecnificada.</w:t>
      </w:r>
      <w:r>
        <w:rPr>
          <w:rFonts w:ascii="Times New Roman" w:cs="Times New Roman" w:eastAsia="Times New Roman" w:hAnsi="Times New Roman"/>
        </w:rPr>
        <w:t xml:space="preserve"> Nueve de cada diez homicidios del semestre son atribuidos por la Policía a grupos armados; el corredor Tibú–El Tarra reúne el 65 % de los homicidios, todas las muertes con dron y todas las víctimas de minas. Es un patrón distinto al del área metropolitana de Cúcuta, donde predomina la violencia criminal urbana: extorsión, amenazas y homicidios con arma de fuego.</w:t>
      </w:r>
    </w:p>
    <w:p>
      <w:pPr>
        <w:pStyle w:val="ListParagraph"/>
        <w:numPr>
          <w:ilvl w:val="0"/>
          <w:numId w:val="2"/>
        </w:numPr>
        <w:spacing w:after="120" w:line="264"/>
        <w:jc w:val="both"/>
      </w:pPr>
      <w:r>
        <w:rPr>
          <w:rFonts w:ascii="Times New Roman" w:cs="Times New Roman" w:eastAsia="Times New Roman" w:hAnsi="Times New Roman"/>
          <w:b/>
          <w:bCs/>
        </w:rPr>
        <w:t xml:space="preserve">La baja de 2026 frente a 2025 no es una normalización.</w:t>
      </w:r>
      <w:r>
        <w:rPr>
          <w:rFonts w:ascii="Times New Roman" w:cs="Times New Roman" w:eastAsia="Times New Roman" w:hAnsi="Times New Roman"/>
        </w:rPr>
        <w:t xml:space="preserve"> Los homicidios bajaron porque los combates entre grupos disminuyeron, pero crecieron los ataques contra la población, el uso de explosivos, el terrorismo y el secuestro. La tasa de Tibú sigue entre las más altas del país.</w:t>
      </w:r>
    </w:p>
    <w:p>
      <w:pPr>
        <w:pStyle w:val="ListParagraph"/>
        <w:numPr>
          <w:ilvl w:val="0"/>
          <w:numId w:val="2"/>
        </w:numPr>
        <w:spacing w:after="120" w:line="264"/>
        <w:jc w:val="both"/>
      </w:pPr>
      <w:r>
        <w:rPr>
          <w:rFonts w:ascii="Times New Roman" w:cs="Times New Roman" w:eastAsia="Times New Roman" w:hAnsi="Times New Roman"/>
          <w:b/>
          <w:bCs/>
        </w:rPr>
        <w:t xml:space="preserve">El Estado pasó de mediador a combatiente.</w:t>
      </w:r>
      <w:r>
        <w:rPr>
          <w:rFonts w:ascii="Times New Roman" w:cs="Times New Roman" w:eastAsia="Times New Roman" w:hAnsi="Times New Roman"/>
        </w:rPr>
        <w:t xml:space="preserve"> El cierre de todas las mesas y la estrategia de bombardeos eliminaron los canales para acuerdos humanitarios mínimos (liberación de secuestrados, desminado, protección de civiles) justo cuando las alertas tempranas siguen activas y el ELN responde con atentados urbanos.</w:t>
      </w:r>
    </w:p>
    <w:p>
      <w:pPr>
        <w:pStyle w:val="ListParagraph"/>
        <w:numPr>
          <w:ilvl w:val="0"/>
          <w:numId w:val="2"/>
        </w:numPr>
        <w:spacing w:after="120" w:line="264"/>
        <w:jc w:val="both"/>
      </w:pPr>
      <w:r>
        <w:rPr>
          <w:rFonts w:ascii="Times New Roman" w:cs="Times New Roman" w:eastAsia="Times New Roman" w:hAnsi="Times New Roman"/>
          <w:b/>
          <w:bCs/>
        </w:rPr>
        <w:t xml:space="preserve">La economía del territorio depende de la coca porque las alternativas no llegan.</w:t>
      </w:r>
      <w:r>
        <w:rPr>
          <w:rFonts w:ascii="Times New Roman" w:cs="Times New Roman" w:eastAsia="Times New Roman" w:hAnsi="Times New Roman"/>
        </w:rPr>
        <w:t xml:space="preserve"> Las brechas de agua, educación, salud, vías y tierra están entre las peores del país, y las inversiones prometidas (PATR, Pacto Social, Transversal) avanzan lento y sin garantía de continuidad.</w:t>
      </w:r>
    </w:p>
    <w:p>
      <w:pPr>
        <w:pStyle w:val="ListParagraph"/>
        <w:numPr>
          <w:ilvl w:val="0"/>
          <w:numId w:val="2"/>
        </w:numPr>
        <w:spacing w:after="120" w:line="264"/>
        <w:jc w:val="both"/>
      </w:pPr>
      <w:r>
        <w:rPr>
          <w:rFonts w:ascii="Times New Roman" w:cs="Times New Roman" w:eastAsia="Times New Roman" w:hAnsi="Times New Roman"/>
          <w:b/>
          <w:bCs/>
        </w:rPr>
        <w:t xml:space="preserve">El nuevo Plan Nacional de Desarrollo puede consolidar o deshacer lo avanzado.</w:t>
      </w:r>
      <w:r>
        <w:rPr>
          <w:rFonts w:ascii="Times New Roman" w:cs="Times New Roman" w:eastAsia="Times New Roman" w:hAnsi="Times New Roman"/>
        </w:rPr>
        <w:t xml:space="preserve"> Su enfoque declarado prioriza la seguridad militar, la aspersión y los grandes proyectos de infraestructura, y no menciona hasta ahora los PDET ni el Pacto. El piso jurídico vigente obliga a incluirlos, pero su financiación dependerá de la incidencia de la región en los próximos cuatro meses.</w:t>
      </w:r>
    </w:p>
    <w:p>
      <w:pPr>
        <w:pStyle w:val="ListParagraph"/>
        <w:numPr>
          <w:ilvl w:val="0"/>
          <w:numId w:val="2"/>
        </w:numPr>
        <w:spacing w:after="120" w:line="264"/>
        <w:jc w:val="both"/>
      </w:pPr>
      <w:r>
        <w:rPr>
          <w:rFonts w:ascii="Times New Roman" w:cs="Times New Roman" w:eastAsia="Times New Roman" w:hAnsi="Times New Roman"/>
          <w:b/>
          <w:bCs/>
        </w:rPr>
        <w:t xml:space="preserve">Los datos oficiales tienen vacíos que afectan la protección.</w:t>
      </w:r>
      <w:r>
        <w:rPr>
          <w:rFonts w:ascii="Times New Roman" w:cs="Times New Roman" w:eastAsia="Times New Roman" w:hAnsi="Times New Roman"/>
        </w:rPr>
        <w:t xml:space="preserve"> No hay atribución por grupo armado, la desaparición forzada casi no se clasifica como tal, las minas se registran de forma distinta según la entidad y Medicina Legal no respondió con cifras. Sin datos confiables no es posible medir los compromisos del Plan.</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B.	Recomendaciones</w:t>
      </w:r>
    </w:p>
    <w:p>
      <w:pPr>
        <w:keepNext/>
        <w:spacing w:after="0" w:before="200"/>
      </w:pPr>
      <w:r>
        <w:rPr>
          <w:rFonts w:ascii="Times New Roman" w:cs="Times New Roman" w:eastAsia="Times New Roman" w:hAnsi="Times New Roman"/>
          <w:sz w:val="20"/>
          <w:szCs w:val="20"/>
        </w:rPr>
        <w:t xml:space="preserve">Cuadro 33</w:t>
      </w:r>
    </w:p>
    <w:p>
      <w:pPr>
        <w:keepNext/>
        <w:spacing w:after="100"/>
      </w:pPr>
      <w:r>
        <w:rPr>
          <w:rFonts w:ascii="Times New Roman" w:cs="Times New Roman" w:eastAsia="Times New Roman" w:hAnsi="Times New Roman"/>
          <w:b/>
          <w:bCs/>
          <w:sz w:val="20"/>
          <w:szCs w:val="20"/>
        </w:rPr>
        <w:t xml:space="preserve">Recomendaciones por destinatario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0"/>
        <w:gridCol w:w="6800"/>
      </w:tblGrid>
      <w:tr>
        <w:trPr>
          <w:cantSplit/>
          <w:tblHeader/>
        </w:trPr>
        <w:tc>
          <w:tcPr>
            <w:tcW w:type="dxa" w:w="22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8"/>
                <w:szCs w:val="18"/>
              </w:rPr>
              <w:t xml:space="preserve">Destinatario</w:t>
            </w:r>
          </w:p>
        </w:tc>
        <w:tc>
          <w:tcPr>
            <w:tcW w:type="dxa" w:w="68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i/>
                <w:iCs/>
                <w:sz w:val="18"/>
                <w:szCs w:val="18"/>
              </w:rPr>
              <w:t xml:space="preserve">Recomendación</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Gobierno nacional y DNP</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Incluir en la ley del Plan un artículo específico para el Catatumbo, con recursos en el Plan Plurianual y en el componente de paz; incorporar los 443 proyectos del PATR y los 124 del Pacto Social; adoptar los indicadores con línea de base propuestos en el capítulo IV; publicar las bases del Plan con un anexo territorial del componente de paz.</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Ministerio de Defensa y Fuerza Pública</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Aplicar un estándar reforzado de precaución en toda operación aérea (verificación de presencia de menores y civiles, registro público de daños civiles); priorizar el desminado humanitario en Tibú; proteger la infraestructura sin desplazar a la población.</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Consejería Comisionada de Paz</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Abrir canales humanitarios, aun sin mesas de negociación, para la liberación de las personas secuestradas, el desminado y la protección de la población civil confinada.</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Congreso de la República y bancada de Norte de Santander</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Exigir en el trámite del Plan el cumplimiento del Acto Legislativo 01 de 2016, la Ley 2565 de 2026 y la sentencia T-052 de 2017; promover, con la curul de paz del Catatumbo, el artículo Catatumbo y las vigencias futuras de la Transversal.</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Gobernación y alcaldías</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Llevar al CONPES ampliado y a los encuentros regionales una agenda única del Catatumbo; activar los consejos territoriales de planeación; articular el plan departamental con el PATR y el Pacto.</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Policía Nacional, Fiscalía y Medicina Legal</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Desagregar los homicidios por grupo armado presunto; homologar la clasificación de la desaparición forzada; registrar las víctimas de minas como tales; responder los derechos de petición con cifras y no solo con remisiones a datos abiertos.</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Defensoría del Pueblo y Procuraduría</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Hacer seguimiento a la respuesta estatal a la alerta temprana 006-26 y a las alertas posteriores; vigilar el cumplimiento de las decisiones judiciales sobre bombardeos y aspersión.</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Organizaciones sociales, víctimas y pueblo Barí</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Presentar al DNP, antes del cierre de los encuentros regionales, un documento técnico con las prioridades y los indicadores de este informe; participar en las audiencias del Consejo Nacional de Planeación; exigir consulta previa ante cualquier aspersión o proyecto de hidrocarburos en territorio Barí.</w:t>
            </w:r>
          </w:p>
        </w:tc>
      </w:tr>
      <w:tr>
        <w:trPr>
          <w:cantSplit/>
        </w:trPr>
        <w:tc>
          <w:tcPr>
            <w:tcW w:type="dxa" w:w="22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Corporación Red Departamental de Defensores de Derechos Humanos</w:t>
            </w:r>
          </w:p>
        </w:tc>
        <w:tc>
          <w:tcPr>
            <w:tcW w:type="dxa" w:w="68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Repetir las peticiones con corte al segundo semestre de 2026; pedir a la Unidad para las Víctimas cifras de desplazamiento, confinamiento y reclutamiento por municipio; pedir a la Policía la atribución por grupo armado y las lesiones personales por minas; contrastar sistemáticamente con los datos abiertos de Medicina Legal y del Ministerio de Defensa.</w:t>
            </w:r>
          </w:p>
        </w:tc>
      </w:tr>
      <w:tr>
        <w:trPr>
          <w:cantSplit/>
        </w:trPr>
        <w:tc>
          <w:tcPr>
            <w:tcW w:type="dxa" w:w="227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Comunidad internacional</w:t>
            </w:r>
          </w:p>
        </w:tc>
        <w:tc>
          <w:tcPr>
            <w:tcW w:type="dxa" w:w="68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val="false"/>
                <w:bCs w:val="false"/>
                <w:sz w:val="18"/>
                <w:szCs w:val="18"/>
              </w:rPr>
              <w:t xml:space="preserve">Acompañar la verificación del respeto del DIH en las operaciones militares y apoyar el desminado humanitario y la atención a la población desplazada.</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Elaboración propia.</w:t>
      </w:r>
    </w:p>
    <w:p>
      <w:pPr>
        <w:keepNext/>
        <w:spacing w:after="0" w:before="480"/>
      </w:pPr>
      <w:r>
        <w:rPr>
          <w:rFonts w:ascii="Times New Roman" w:cs="Times New Roman" w:eastAsia="Times New Roman" w:hAnsi="Times New Roman"/>
          <w:sz w:val="22"/>
          <w:szCs w:val="22"/>
        </w:rPr>
        <w:t xml:space="preserve">Cúcuta, 18 de octubre de 2026</w:t>
      </w:r>
    </w:p>
    <w:p>
      <w:pPr>
        <w:keepNext/>
        <w:pBdr>
          <w:top w:val="single" w:color="000000" w:sz="6" w:space="4"/>
        </w:pBdr>
        <w:spacing w:after="0" w:before="900"/>
        <w:ind w:right="4535"/>
      </w:pPr>
      <w:r>
        <w:rPr>
          <w:rFonts w:ascii="Times New Roman" w:cs="Times New Roman" w:eastAsia="Times New Roman" w:hAnsi="Times New Roman"/>
          <w:b/>
          <w:bCs/>
          <w:sz w:val="22"/>
          <w:szCs w:val="22"/>
        </w:rPr>
        <w:t xml:space="preserve">Carlos Arturo Ramos Mejía</w:t>
      </w:r>
    </w:p>
    <w:p>
      <w:pPr>
        <w:keepNext/>
        <w:spacing w:after="0"/>
      </w:pPr>
      <w:r>
        <w:rPr>
          <w:rFonts w:ascii="Times New Roman" w:cs="Times New Roman" w:eastAsia="Times New Roman" w:hAnsi="Times New Roman"/>
          <w:sz w:val="22"/>
          <w:szCs w:val="22"/>
        </w:rPr>
        <w:t xml:space="preserve">Director Administrativo</w:t>
      </w:r>
    </w:p>
    <w:p>
      <w:pPr>
        <w:spacing w:after="0"/>
      </w:pPr>
      <w:r>
        <w:rPr>
          <w:rFonts w:ascii="Times New Roman" w:cs="Times New Roman" w:eastAsia="Times New Roman" w:hAnsi="Times New Roman"/>
          <w:sz w:val="22"/>
          <w:szCs w:val="22"/>
        </w:rPr>
        <w:t xml:space="preserve">Corporación Red Departamental de Defensores de Derechos Humanos</w:t>
      </w:r>
    </w:p>
    <w:p>
      <w:pPr>
        <w:sectPr>
          <w:headerReference w:type="default" r:id="rId7"/>
          <w:footerReference w:type="default" r:id="rId8"/>
          <w:pgSz w:w="11906" w:h="16838" w:orient="portrait"/>
          <w:pgMar w:top="1418" w:right="1418" w:bottom="1418" w:left="1418" w:header="708" w:footer="708" w:gutter="0"/>
          <w:pgNumType/>
          <w:docGrid w:linePitch="360"/>
        </w:sectPr>
      </w:pPr>
    </w:p>
    <w:p>
      <w:pPr>
        <w:pStyle w:val="Heading1"/>
        <w:keepNext/>
        <w:tabs>
          <w:tab w:val="left" w:pos="1134"/>
        </w:tabs>
        <w:spacing w:after="240" w:before="120"/>
        <w:ind w:left="1134" w:hanging="1134"/>
      </w:pPr>
      <w:r>
        <w:rPr>
          <w:rFonts w:ascii="Times New Roman" w:cs="Times New Roman" w:eastAsia="Times New Roman" w:hAnsi="Times New Roman"/>
          <w:b/>
          <w:bCs/>
          <w:sz w:val="28"/>
          <w:szCs w:val="28"/>
        </w:rPr>
        <w:t xml:space="preserve">VI.	Capítulo aparte: diagrama de los documentos adjuntos</w:t>
      </w:r>
    </w:p>
    <w:p>
      <w:pPr>
        <w:spacing w:after="80" w:before="0"/>
        <w:jc w:val="center"/>
      </w:pPr>
      <w:r>
        <w:drawing>
          <wp:inline distT="0" distB="0" distL="0" distR="0">
            <wp:extent cx="8572500" cy="5619750"/>
            <wp:effectExtent t="0" r="0" b="0" l="0"/>
            <wp:docPr id="1" name="diagrama_docs" descr="CORPOREDDEH envió derechos de petición a cuatro entidades y recibió seis documentos; solo los de la Policía traen cifras desagregadas; Medicina Legal no entregó cifras; AICMA reporta 17 víctimas de minas, todas en Tibú. La banda inferior muestra qué territorio cubre cada documento." title="Diagrama de los documentos adju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0" cy="5619750"/>
                    </a:xfrm>
                    <a:prstGeom prst="rect">
                      <a:avLst/>
                    </a:prstGeom>
                  </pic:spPr>
                </pic:pic>
              </a:graphicData>
            </a:graphic>
          </wp:inline>
        </w:drawing>
      </w:r>
    </w:p>
    <w:p>
      <w:pPr>
        <w:spacing w:after="0"/>
        <w:jc w:val="both"/>
      </w:pPr>
      <w:r>
        <w:rPr>
          <w:rFonts w:ascii="Times New Roman" w:cs="Times New Roman" w:eastAsia="Times New Roman" w:hAnsi="Times New Roman"/>
          <w:i/>
          <w:iCs/>
          <w:sz w:val="17"/>
          <w:szCs w:val="17"/>
        </w:rPr>
        <w:t xml:space="preserve">Cómo leerlo:</w:t>
      </w:r>
      <w:r>
        <w:rPr>
          <w:rFonts w:ascii="Times New Roman" w:cs="Times New Roman" w:eastAsia="Times New Roman" w:hAnsi="Times New Roman"/>
          <w:sz w:val="17"/>
          <w:szCs w:val="17"/>
        </w:rPr>
        <w:t xml:space="preserve"> de izquierda a derecha, quién pidió, quién respondió, qué documento llegó, qué contiene y qué aporta (+) o deja por fuera (−). Los números en círculo identifican los documentos [1] a [6], que se citan así en todo el informe. En la banda inferior, el ancho de cada tramo es proporcional al número de municipios de Norte de Santander.</w:t>
      </w:r>
    </w:p>
    <w:p>
      <w:pPr>
        <w:sectPr>
          <w:headerReference w:type="default" r:id="rId9"/>
          <w:footerReference w:type="default" r:id="rId10"/>
          <w:pgSz w:w="16838" w:h="11906" w:orient="landscape"/>
          <w:pgMar w:top="851" w:right="851" w:bottom="851" w:left="851" w:header="425" w:footer="425" w:gutter="0"/>
          <w:pgNumType/>
          <w:docGrid w:linePitch="360"/>
        </w:sectPr>
      </w:pPr>
    </w:p>
    <w:p>
      <w:pPr>
        <w:pStyle w:val="Heading1"/>
        <w:keepNext/>
        <w:tabs>
          <w:tab w:val="left" w:pos="1134"/>
        </w:tabs>
        <w:spacing w:after="240" w:before="120"/>
      </w:pPr>
      <w:r>
        <w:rPr>
          <w:rFonts w:ascii="Times New Roman" w:cs="Times New Roman" w:eastAsia="Times New Roman" w:hAnsi="Times New Roman"/>
          <w:b/>
          <w:bCs/>
          <w:sz w:val="28"/>
          <w:szCs w:val="28"/>
        </w:rPr>
        <w:t xml:space="preserve">Anexo I. Cuadros estadísticos complementarios</w:t>
      </w:r>
    </w:p>
    <w:p>
      <w:pPr>
        <w:keepNext/>
        <w:spacing w:after="0" w:before="200"/>
      </w:pPr>
      <w:r>
        <w:rPr>
          <w:rFonts w:ascii="Times New Roman" w:cs="Times New Roman" w:eastAsia="Times New Roman" w:hAnsi="Times New Roman"/>
          <w:sz w:val="20"/>
          <w:szCs w:val="20"/>
        </w:rPr>
        <w:t xml:space="preserve">Cuadro 34</w:t>
      </w:r>
    </w:p>
    <w:p>
      <w:pPr>
        <w:keepNext/>
        <w:spacing w:after="100"/>
      </w:pPr>
      <w:r>
        <w:rPr>
          <w:rFonts w:ascii="Times New Roman" w:cs="Times New Roman" w:eastAsia="Times New Roman" w:hAnsi="Times New Roman"/>
          <w:b/>
          <w:bCs/>
          <w:sz w:val="20"/>
          <w:szCs w:val="20"/>
        </w:rPr>
        <w:t xml:space="preserve">Delitos registrados por la Policía en los municipios del Catatumbo, enero a junio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930"/>
        <w:gridCol w:w="930"/>
        <w:gridCol w:w="930"/>
        <w:gridCol w:w="980"/>
        <w:gridCol w:w="1050"/>
        <w:gridCol w:w="1000"/>
        <w:gridCol w:w="900"/>
      </w:tblGrid>
      <w:tr>
        <w:trPr>
          <w:cantSplit/>
          <w:tblHeader/>
        </w:trPr>
        <w:tc>
          <w:tcPr>
            <w:tcW w:type="dxa" w:w="23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Municipio</w:t>
            </w:r>
          </w:p>
        </w:tc>
        <w:tc>
          <w:tcPr>
            <w:tcW w:type="dxa" w:w="93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Homi-</w:t>
            </w:r>
          </w:p>
          <w:p>
            <w:pPr>
              <w:keepNext/>
              <w:spacing w:after="0" w:line="240"/>
              <w:jc w:val="right"/>
            </w:pPr>
            <w:r>
              <w:rPr>
                <w:rFonts w:ascii="Times New Roman" w:cs="Times New Roman" w:eastAsia="Times New Roman" w:hAnsi="Times New Roman"/>
                <w:b w:val="false"/>
                <w:bCs w:val="false"/>
                <w:i/>
                <w:iCs/>
                <w:sz w:val="18"/>
                <w:szCs w:val="18"/>
              </w:rPr>
              <w:t xml:space="preserve">cidio</w:t>
            </w:r>
          </w:p>
        </w:tc>
        <w:tc>
          <w:tcPr>
            <w:tcW w:type="dxa" w:w="93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Amena-</w:t>
            </w:r>
          </w:p>
          <w:p>
            <w:pPr>
              <w:keepNext/>
              <w:spacing w:after="0" w:line="240"/>
              <w:jc w:val="right"/>
            </w:pPr>
            <w:r>
              <w:rPr>
                <w:rFonts w:ascii="Times New Roman" w:cs="Times New Roman" w:eastAsia="Times New Roman" w:hAnsi="Times New Roman"/>
                <w:b w:val="false"/>
                <w:bCs w:val="false"/>
                <w:i/>
                <w:iCs/>
                <w:sz w:val="18"/>
                <w:szCs w:val="18"/>
              </w:rPr>
              <w:t xml:space="preserve">zas</w:t>
            </w:r>
          </w:p>
        </w:tc>
        <w:tc>
          <w:tcPr>
            <w:tcW w:type="dxa" w:w="93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Extor-</w:t>
            </w:r>
          </w:p>
          <w:p>
            <w:pPr>
              <w:keepNext/>
              <w:spacing w:after="0" w:line="240"/>
              <w:jc w:val="right"/>
            </w:pPr>
            <w:r>
              <w:rPr>
                <w:rFonts w:ascii="Times New Roman" w:cs="Times New Roman" w:eastAsia="Times New Roman" w:hAnsi="Times New Roman"/>
                <w:b w:val="false"/>
                <w:bCs w:val="false"/>
                <w:i/>
                <w:iCs/>
                <w:sz w:val="18"/>
                <w:szCs w:val="18"/>
              </w:rPr>
              <w:t xml:space="preserve">sión</w:t>
            </w:r>
          </w:p>
        </w:tc>
        <w:tc>
          <w:tcPr>
            <w:tcW w:type="dxa" w:w="98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Terro-</w:t>
            </w:r>
          </w:p>
          <w:p>
            <w:pPr>
              <w:keepNext/>
              <w:spacing w:after="0" w:line="240"/>
              <w:jc w:val="right"/>
            </w:pPr>
            <w:r>
              <w:rPr>
                <w:rFonts w:ascii="Times New Roman" w:cs="Times New Roman" w:eastAsia="Times New Roman" w:hAnsi="Times New Roman"/>
                <w:b w:val="false"/>
                <w:bCs w:val="false"/>
                <w:i/>
                <w:iCs/>
                <w:sz w:val="18"/>
                <w:szCs w:val="18"/>
              </w:rPr>
              <w:t xml:space="preserve">rismo</w:t>
            </w:r>
          </w:p>
        </w:tc>
        <w:tc>
          <w:tcPr>
            <w:tcW w:type="dxa" w:w="10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Actos de</w:t>
            </w:r>
          </w:p>
          <w:p>
            <w:pPr>
              <w:keepNext/>
              <w:spacing w:after="0" w:line="240"/>
              <w:jc w:val="right"/>
            </w:pPr>
            <w:r>
              <w:rPr>
                <w:rFonts w:ascii="Times New Roman" w:cs="Times New Roman" w:eastAsia="Times New Roman" w:hAnsi="Times New Roman"/>
                <w:b w:val="false"/>
                <w:bCs w:val="false"/>
                <w:i/>
                <w:iCs/>
                <w:sz w:val="18"/>
                <w:szCs w:val="18"/>
              </w:rPr>
              <w:t xml:space="preserve">terrorismo</w:t>
            </w:r>
          </w:p>
        </w:tc>
        <w:tc>
          <w:tcPr>
            <w:tcW w:type="dxa" w:w="10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Secuestro</w:t>
            </w:r>
          </w:p>
          <w:p>
            <w:pPr>
              <w:keepNext/>
              <w:spacing w:after="0" w:line="240"/>
              <w:jc w:val="right"/>
            </w:pPr>
            <w:r>
              <w:rPr>
                <w:rFonts w:ascii="Times New Roman" w:cs="Times New Roman" w:eastAsia="Times New Roman" w:hAnsi="Times New Roman"/>
                <w:b w:val="false"/>
                <w:bCs w:val="false"/>
                <w:i/>
                <w:iCs/>
                <w:sz w:val="18"/>
                <w:szCs w:val="18"/>
              </w:rPr>
              <w:t xml:space="preserve">extorsivo</w:t>
            </w:r>
          </w:p>
        </w:tc>
        <w:tc>
          <w:tcPr>
            <w:tcW w:type="dxa" w:w="9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Femini-</w:t>
            </w:r>
          </w:p>
          <w:p>
            <w:pPr>
              <w:keepNext/>
              <w:spacing w:after="0" w:line="240"/>
              <w:jc w:val="right"/>
            </w:pPr>
            <w:r>
              <w:rPr>
                <w:rFonts w:ascii="Times New Roman" w:cs="Times New Roman" w:eastAsia="Times New Roman" w:hAnsi="Times New Roman"/>
                <w:b w:val="false"/>
                <w:bCs w:val="false"/>
                <w:i/>
                <w:iCs/>
                <w:sz w:val="18"/>
                <w:szCs w:val="18"/>
              </w:rPr>
              <w:t xml:space="preserve">cidio</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Tibú (PDET)</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52</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40</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9</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El Tarra (PDET)</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18</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16</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Ocaña</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14</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106</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33</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Ábrego</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11</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El Carmen (PDET)</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Convención (PDET)</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Teorama (PDET)</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26</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La Playa</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Sardinata (PDET)</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Hacarí (PDET)</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San Calixto (PDET)</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35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Catatumbo (11 municipios)</w:t>
            </w:r>
          </w:p>
        </w:tc>
        <w:tc>
          <w:tcPr>
            <w:tcW w:type="dxa" w:w="93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108</w:t>
            </w:r>
          </w:p>
        </w:tc>
        <w:tc>
          <w:tcPr>
            <w:tcW w:type="dxa" w:w="93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230</w:t>
            </w:r>
          </w:p>
        </w:tc>
        <w:tc>
          <w:tcPr>
            <w:tcW w:type="dxa" w:w="93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70</w:t>
            </w:r>
          </w:p>
        </w:tc>
        <w:tc>
          <w:tcPr>
            <w:tcW w:type="dxa" w:w="98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16</w:t>
            </w:r>
          </w:p>
        </w:tc>
        <w:tc>
          <w:tcPr>
            <w:tcW w:type="dxa" w:w="105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11</w:t>
            </w:r>
          </w:p>
        </w:tc>
        <w:tc>
          <w:tcPr>
            <w:tcW w:type="dxa" w:w="100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8</w:t>
            </w:r>
          </w:p>
        </w:tc>
        <w:tc>
          <w:tcPr>
            <w:tcW w:type="dxa" w:w="900"/>
            <w:tcBorders>
              <w:top w:val="none" w:color="FFFFFF" w:sz="0"/>
              <w:left w:val="none" w:color="FFFFFF" w:sz="0"/>
              <w:bottom w:val="single" w:color="8C8C8C" w:sz="2"/>
              <w:right w:val="none" w:color="FFFFFF" w:sz="0"/>
            </w:tcBorders>
            <w:shd w:fill="EDEDED" w:color="auto" w:val="clear"/>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w:t>
            </w:r>
          </w:p>
        </w:tc>
      </w:tr>
      <w:tr>
        <w:trPr>
          <w:cantSplit/>
        </w:trPr>
        <w:tc>
          <w:tcPr>
            <w:tcW w:type="dxa" w:w="23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bCs/>
                <w:sz w:val="18"/>
                <w:szCs w:val="18"/>
              </w:rPr>
              <w:t xml:space="preserve">Departamento sin AMC (34)</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130</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347</w:t>
            </w:r>
          </w:p>
        </w:tc>
        <w:tc>
          <w:tcPr>
            <w:tcW w:type="dxa" w:w="93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101</w:t>
            </w:r>
          </w:p>
        </w:tc>
        <w:tc>
          <w:tcPr>
            <w:tcW w:type="dxa" w:w="98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24</w:t>
            </w:r>
          </w:p>
        </w:tc>
        <w:tc>
          <w:tcPr>
            <w:tcW w:type="dxa" w:w="10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17</w:t>
            </w:r>
          </w:p>
        </w:tc>
        <w:tc>
          <w:tcPr>
            <w:tcW w:type="dxa" w:w="10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15</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bCs/>
                <w:sz w:val="18"/>
                <w:szCs w:val="18"/>
              </w:rPr>
              <w:t xml:space="preserve">1</w:t>
            </w:r>
          </w:p>
        </w:tc>
      </w:tr>
      <w:tr>
        <w:trPr>
          <w:cantSplit/>
        </w:trPr>
        <w:tc>
          <w:tcPr>
            <w:tcW w:type="dxa" w:w="23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sz w:val="18"/>
                <w:szCs w:val="18"/>
              </w:rPr>
              <w:t xml:space="preserve">Peso del Catatumbo</w:t>
            </w:r>
          </w:p>
        </w:tc>
        <w:tc>
          <w:tcPr>
            <w:tcW w:type="dxa" w:w="93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83 %</w:t>
            </w:r>
          </w:p>
        </w:tc>
        <w:tc>
          <w:tcPr>
            <w:tcW w:type="dxa" w:w="93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66 %</w:t>
            </w:r>
          </w:p>
        </w:tc>
        <w:tc>
          <w:tcPr>
            <w:tcW w:type="dxa" w:w="93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69 %</w:t>
            </w:r>
          </w:p>
        </w:tc>
        <w:tc>
          <w:tcPr>
            <w:tcW w:type="dxa" w:w="98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67 %</w:t>
            </w:r>
          </w:p>
        </w:tc>
        <w:tc>
          <w:tcPr>
            <w:tcW w:type="dxa" w:w="105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65 %</w:t>
            </w:r>
          </w:p>
        </w:tc>
        <w:tc>
          <w:tcPr>
            <w:tcW w:type="dxa" w:w="10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53 %</w:t>
            </w:r>
          </w:p>
        </w:tc>
        <w:tc>
          <w:tcPr>
            <w:tcW w:type="dxa" w:w="900"/>
            <w:tcBorders>
              <w:top w:val="none" w:color="FFFFFF" w:sz="0"/>
              <w:left w:val="none" w:color="FFFFFF" w:sz="0"/>
              <w:bottom w:val="single" w:color="000000" w:sz="10"/>
              <w:right w:val="none" w:color="FFFFFF" w:sz="0"/>
            </w:tcBorders>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sz w:val="18"/>
                <w:szCs w:val="18"/>
              </w:rPr>
              <w:t xml:space="preserve">100 %</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Cálculos propios con base en el documento [2] (Policía Nacional, DENOR, SIEDCO). Municipios ordenados por número de homicidios. Hacarí y San Calixto no registran homicidios en el semestre.</w:t>
      </w:r>
    </w:p>
    <w:p>
      <w:pPr>
        <w:keepNext/>
        <w:spacing w:after="0" w:before="200"/>
      </w:pPr>
      <w:r>
        <w:rPr>
          <w:rFonts w:ascii="Times New Roman" w:cs="Times New Roman" w:eastAsia="Times New Roman" w:hAnsi="Times New Roman"/>
          <w:sz w:val="20"/>
          <w:szCs w:val="20"/>
        </w:rPr>
        <w:t xml:space="preserve">Cuadro 35</w:t>
      </w:r>
    </w:p>
    <w:p>
      <w:pPr>
        <w:keepNext/>
        <w:spacing w:after="100"/>
      </w:pPr>
      <w:r>
        <w:rPr>
          <w:rFonts w:ascii="Times New Roman" w:cs="Times New Roman" w:eastAsia="Times New Roman" w:hAnsi="Times New Roman"/>
          <w:b/>
          <w:bCs/>
          <w:sz w:val="20"/>
          <w:szCs w:val="20"/>
        </w:rPr>
        <w:t xml:space="preserve">Delitos registrados por la Policía Metropolitana de Cúcuta por municipio, enero a junio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0"/>
        <w:gridCol w:w="1150"/>
        <w:gridCol w:w="1150"/>
        <w:gridCol w:w="1150"/>
        <w:gridCol w:w="1150"/>
        <w:gridCol w:w="1150"/>
        <w:gridCol w:w="1150"/>
      </w:tblGrid>
      <w:tr>
        <w:trPr>
          <w:cantSplit/>
          <w:tblHeader/>
        </w:trPr>
        <w:tc>
          <w:tcPr>
            <w:tcW w:type="dxa" w:w="21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Municipio</w:t>
            </w:r>
          </w:p>
        </w:tc>
        <w:tc>
          <w:tcPr>
            <w:tcW w:type="dxa" w:w="11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Homi-</w:t>
            </w:r>
          </w:p>
          <w:p>
            <w:pPr>
              <w:keepNext/>
              <w:spacing w:after="0" w:line="240"/>
              <w:jc w:val="right"/>
            </w:pPr>
            <w:r>
              <w:rPr>
                <w:rFonts w:ascii="Times New Roman" w:cs="Times New Roman" w:eastAsia="Times New Roman" w:hAnsi="Times New Roman"/>
                <w:b w:val="false"/>
                <w:bCs w:val="false"/>
                <w:i/>
                <w:iCs/>
                <w:sz w:val="18"/>
                <w:szCs w:val="18"/>
              </w:rPr>
              <w:t xml:space="preserve">cidio</w:t>
            </w:r>
          </w:p>
        </w:tc>
        <w:tc>
          <w:tcPr>
            <w:tcW w:type="dxa" w:w="11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Amenazas</w:t>
            </w:r>
          </w:p>
        </w:tc>
        <w:tc>
          <w:tcPr>
            <w:tcW w:type="dxa" w:w="11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Extorsión</w:t>
            </w:r>
          </w:p>
        </w:tc>
        <w:tc>
          <w:tcPr>
            <w:tcW w:type="dxa" w:w="11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Desaparición</w:t>
            </w:r>
          </w:p>
          <w:p>
            <w:pPr>
              <w:keepNext/>
              <w:spacing w:after="0" w:line="240"/>
              <w:jc w:val="right"/>
            </w:pPr>
            <w:r>
              <w:rPr>
                <w:rFonts w:ascii="Times New Roman" w:cs="Times New Roman" w:eastAsia="Times New Roman" w:hAnsi="Times New Roman"/>
                <w:b w:val="false"/>
                <w:bCs w:val="false"/>
                <w:i/>
                <w:iCs/>
                <w:sz w:val="18"/>
                <w:szCs w:val="18"/>
              </w:rPr>
              <w:t xml:space="preserve">forzada</w:t>
            </w:r>
          </w:p>
        </w:tc>
        <w:tc>
          <w:tcPr>
            <w:tcW w:type="dxa" w:w="11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Suicidio</w:t>
            </w:r>
          </w:p>
        </w:tc>
        <w:tc>
          <w:tcPr>
            <w:tcW w:type="dxa" w:w="115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Secuestro</w:t>
            </w:r>
          </w:p>
        </w:tc>
      </w:tr>
      <w:tr>
        <w:trPr>
          <w:cantSplit/>
        </w:trPr>
        <w:tc>
          <w:tcPr>
            <w:tcW w:type="dxa" w:w="2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Cúcuta</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146</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412</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140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15</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w:t>
            </w:r>
          </w:p>
        </w:tc>
      </w:tr>
      <w:tr>
        <w:trPr>
          <w:cantSplit/>
        </w:trPr>
        <w:tc>
          <w:tcPr>
            <w:tcW w:type="dxa" w:w="2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Villa del Rosario</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25</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53</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22</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r>
      <w:tr>
        <w:trPr>
          <w:cantSplit/>
        </w:trPr>
        <w:tc>
          <w:tcPr>
            <w:tcW w:type="dxa" w:w="2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El Zulia</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17</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32</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8</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w:t>
            </w:r>
          </w:p>
        </w:tc>
      </w:tr>
      <w:tr>
        <w:trPr>
          <w:cantSplit/>
        </w:trPr>
        <w:tc>
          <w:tcPr>
            <w:tcW w:type="dxa" w:w="2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Los Patios</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13</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45</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14</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r>
      <w:tr>
        <w:trPr>
          <w:cantSplit/>
        </w:trPr>
        <w:tc>
          <w:tcPr>
            <w:tcW w:type="dxa" w:w="2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Puerto Santander</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1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San Cayetano</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c>
          <w:tcPr>
            <w:tcW w:type="dxa" w:w="115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0</w:t>
            </w:r>
          </w:p>
        </w:tc>
      </w:tr>
      <w:tr>
        <w:trPr>
          <w:cantSplit/>
        </w:trPr>
        <w:tc>
          <w:tcPr>
            <w:tcW w:type="dxa" w:w="217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Área Metropolitana</w:t>
            </w:r>
          </w:p>
        </w:tc>
        <w:tc>
          <w:tcPr>
            <w:tcW w:type="dxa" w:w="115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209</w:t>
            </w:r>
          </w:p>
        </w:tc>
        <w:tc>
          <w:tcPr>
            <w:tcW w:type="dxa" w:w="115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546</w:t>
            </w:r>
          </w:p>
        </w:tc>
        <w:tc>
          <w:tcPr>
            <w:tcW w:type="dxa" w:w="115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186</w:t>
            </w:r>
          </w:p>
        </w:tc>
        <w:tc>
          <w:tcPr>
            <w:tcW w:type="dxa" w:w="115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18</w:t>
            </w:r>
          </w:p>
        </w:tc>
        <w:tc>
          <w:tcPr>
            <w:tcW w:type="dxa" w:w="115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10</w:t>
            </w:r>
          </w:p>
        </w:tc>
        <w:tc>
          <w:tcPr>
            <w:tcW w:type="dxa" w:w="115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9</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Documentos [3] y [4] (Policía Metropolitana de Cúcuta, SIEDCO). Además: 3 atentados (Cúcuta, marzo y abril) y 1 ataque a la Fuerza Pública (Ejército, Cúcuta, marzo).</w:t>
      </w:r>
    </w:p>
    <w:p>
      <w:pPr>
        <w:keepNext/>
        <w:spacing w:after="0" w:before="200"/>
      </w:pPr>
      <w:r>
        <w:rPr>
          <w:rFonts w:ascii="Times New Roman" w:cs="Times New Roman" w:eastAsia="Times New Roman" w:hAnsi="Times New Roman"/>
          <w:sz w:val="20"/>
          <w:szCs w:val="20"/>
        </w:rPr>
        <w:t xml:space="preserve">Cuadro 36</w:t>
      </w:r>
    </w:p>
    <w:p>
      <w:pPr>
        <w:keepNext/>
        <w:spacing w:after="100"/>
      </w:pPr>
      <w:r>
        <w:rPr>
          <w:rFonts w:ascii="Times New Roman" w:cs="Times New Roman" w:eastAsia="Times New Roman" w:hAnsi="Times New Roman"/>
          <w:b/>
          <w:bCs/>
          <w:sz w:val="20"/>
          <w:szCs w:val="20"/>
        </w:rPr>
        <w:t xml:space="preserve">Homicidios por mes según territorio, enero a junio de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0"/>
        <w:gridCol w:w="900"/>
        <w:gridCol w:w="900"/>
        <w:gridCol w:w="900"/>
        <w:gridCol w:w="900"/>
        <w:gridCol w:w="900"/>
        <w:gridCol w:w="900"/>
        <w:gridCol w:w="900"/>
      </w:tblGrid>
      <w:tr>
        <w:trPr>
          <w:cantSplit/>
          <w:tblHeader/>
        </w:trPr>
        <w:tc>
          <w:tcPr>
            <w:tcW w:type="dxa" w:w="277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b w:val="false"/>
                <w:bCs w:val="false"/>
                <w:i/>
                <w:iCs/>
                <w:sz w:val="18"/>
                <w:szCs w:val="18"/>
              </w:rPr>
              <w:t xml:space="preserve">Territorio</w:t>
            </w:r>
          </w:p>
        </w:tc>
        <w:tc>
          <w:tcPr>
            <w:tcW w:type="dxa" w:w="9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Ene</w:t>
            </w:r>
          </w:p>
        </w:tc>
        <w:tc>
          <w:tcPr>
            <w:tcW w:type="dxa" w:w="9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Feb</w:t>
            </w:r>
          </w:p>
        </w:tc>
        <w:tc>
          <w:tcPr>
            <w:tcW w:type="dxa" w:w="9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Mar</w:t>
            </w:r>
          </w:p>
        </w:tc>
        <w:tc>
          <w:tcPr>
            <w:tcW w:type="dxa" w:w="9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Abr</w:t>
            </w:r>
          </w:p>
        </w:tc>
        <w:tc>
          <w:tcPr>
            <w:tcW w:type="dxa" w:w="9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May</w:t>
            </w:r>
          </w:p>
        </w:tc>
        <w:tc>
          <w:tcPr>
            <w:tcW w:type="dxa" w:w="9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Jun</w:t>
            </w:r>
          </w:p>
        </w:tc>
        <w:tc>
          <w:tcPr>
            <w:tcW w:type="dxa" w:w="900"/>
            <w:tcBorders>
              <w:top w:val="single" w:color="000000" w:sz="10"/>
              <w:left w:val="none" w:color="FFFFFF" w:sz="0"/>
              <w:bottom w:val="single" w:color="000000" w:sz="4"/>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b w:val="false"/>
                <w:bCs w:val="false"/>
                <w:i/>
                <w:iCs/>
                <w:sz w:val="18"/>
                <w:szCs w:val="18"/>
              </w:rPr>
              <w:t xml:space="preserve">Total</w:t>
            </w:r>
          </w:p>
        </w:tc>
      </w:tr>
      <w:tr>
        <w:trPr>
          <w:cantSplit/>
        </w:trPr>
        <w:tc>
          <w:tcPr>
            <w:tcW w:type="dxa" w:w="2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Tibú</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6</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16</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16</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52</w:t>
            </w:r>
          </w:p>
        </w:tc>
      </w:tr>
      <w:tr>
        <w:trPr>
          <w:cantSplit/>
        </w:trPr>
        <w:tc>
          <w:tcPr>
            <w:tcW w:type="dxa" w:w="2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Catatumbo (11 municipios)</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14</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12</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32</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108</w:t>
            </w:r>
          </w:p>
        </w:tc>
      </w:tr>
      <w:tr>
        <w:trPr>
          <w:cantSplit/>
        </w:trPr>
        <w:tc>
          <w:tcPr>
            <w:tcW w:type="dxa" w:w="2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Departamento sin AMC (34)</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17</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23</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14</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16</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36</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24</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130</w:t>
            </w:r>
          </w:p>
        </w:tc>
      </w:tr>
      <w:tr>
        <w:trPr>
          <w:cantSplit/>
        </w:trPr>
        <w:tc>
          <w:tcPr>
            <w:tcW w:type="dxa" w:w="277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left"/>
            </w:pPr>
            <w:r>
              <w:rPr>
                <w:rFonts w:ascii="Times New Roman" w:cs="Times New Roman" w:eastAsia="Times New Roman" w:hAnsi="Times New Roman"/>
                <w:sz w:val="18"/>
                <w:szCs w:val="18"/>
              </w:rPr>
              <w:t xml:space="preserve">Área Metropolitana (6)</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26</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32</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33</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45</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37</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36</w:t>
            </w:r>
          </w:p>
        </w:tc>
        <w:tc>
          <w:tcPr>
            <w:tcW w:type="dxa" w:w="900"/>
            <w:tcBorders>
              <w:top w:val="none" w:color="FFFFFF" w:sz="0"/>
              <w:left w:val="none" w:color="FFFFFF" w:sz="0"/>
              <w:bottom w:val="single" w:color="8C8C8C" w:sz="2"/>
              <w:right w:val="none" w:color="FFFFFF" w:sz="0"/>
            </w:tcBorders>
            <w:tcMar>
              <w:top w:type="dxa" w:w="50"/>
              <w:left w:type="dxa" w:w="90"/>
              <w:bottom w:type="dxa" w:w="50"/>
              <w:right w:type="dxa" w:w="90"/>
            </w:tcMar>
            <w:vAlign w:val="top"/>
          </w:tcPr>
          <w:p>
            <w:pPr>
              <w:keepNext/>
              <w:spacing w:after="0" w:line="240"/>
              <w:jc w:val="right"/>
            </w:pPr>
            <w:r>
              <w:rPr>
                <w:rFonts w:ascii="Times New Roman" w:cs="Times New Roman" w:eastAsia="Times New Roman" w:hAnsi="Times New Roman"/>
                <w:sz w:val="18"/>
                <w:szCs w:val="18"/>
              </w:rPr>
              <w:t xml:space="preserve">209</w:t>
            </w:r>
          </w:p>
        </w:tc>
      </w:tr>
      <w:tr>
        <w:trPr>
          <w:cantSplit/>
        </w:trPr>
        <w:tc>
          <w:tcPr>
            <w:tcW w:type="dxa" w:w="277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left"/>
            </w:pPr>
            <w:r>
              <w:rPr>
                <w:rFonts w:ascii="Times New Roman" w:cs="Times New Roman" w:eastAsia="Times New Roman" w:hAnsi="Times New Roman"/>
                <w:b/>
                <w:bCs/>
                <w:sz w:val="18"/>
                <w:szCs w:val="18"/>
              </w:rPr>
              <w:t xml:space="preserve">Norte de Santander</w:t>
            </w:r>
          </w:p>
        </w:tc>
        <w:tc>
          <w:tcPr>
            <w:tcW w:type="dxa" w:w="90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43</w:t>
            </w:r>
          </w:p>
        </w:tc>
        <w:tc>
          <w:tcPr>
            <w:tcW w:type="dxa" w:w="90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55</w:t>
            </w:r>
          </w:p>
        </w:tc>
        <w:tc>
          <w:tcPr>
            <w:tcW w:type="dxa" w:w="90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47</w:t>
            </w:r>
          </w:p>
        </w:tc>
        <w:tc>
          <w:tcPr>
            <w:tcW w:type="dxa" w:w="90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61</w:t>
            </w:r>
          </w:p>
        </w:tc>
        <w:tc>
          <w:tcPr>
            <w:tcW w:type="dxa" w:w="90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73</w:t>
            </w:r>
          </w:p>
        </w:tc>
        <w:tc>
          <w:tcPr>
            <w:tcW w:type="dxa" w:w="90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60</w:t>
            </w:r>
          </w:p>
        </w:tc>
        <w:tc>
          <w:tcPr>
            <w:tcW w:type="dxa" w:w="900"/>
            <w:tcBorders>
              <w:top w:val="none" w:color="FFFFFF" w:sz="0"/>
              <w:left w:val="none" w:color="FFFFFF" w:sz="0"/>
              <w:bottom w:val="single" w:color="000000" w:sz="10"/>
              <w:right w:val="none" w:color="FFFFFF" w:sz="0"/>
            </w:tcBorders>
            <w:shd w:fill="EDEDED" w:color="auto" w:val="clear"/>
            <w:tcMar>
              <w:top w:type="dxa" w:w="50"/>
              <w:left w:type="dxa" w:w="90"/>
              <w:bottom w:type="dxa" w:w="50"/>
              <w:right w:type="dxa" w:w="90"/>
            </w:tcMar>
            <w:vAlign w:val="top"/>
          </w:tcPr>
          <w:p>
            <w:pPr>
              <w:keepNext w:val="false"/>
              <w:spacing w:after="0" w:line="240"/>
              <w:jc w:val="right"/>
            </w:pPr>
            <w:r>
              <w:rPr>
                <w:rFonts w:ascii="Times New Roman" w:cs="Times New Roman" w:eastAsia="Times New Roman" w:hAnsi="Times New Roman"/>
                <w:b/>
                <w:bCs/>
                <w:sz w:val="18"/>
                <w:szCs w:val="18"/>
              </w:rPr>
              <w:t xml:space="preserve">339</w:t>
            </w:r>
          </w:p>
        </w:tc>
      </w:tr>
    </w:tbl>
    <w:p>
      <w:pPr>
        <w:spacing w:after="220" w:before="60"/>
      </w:pPr>
      <w:r>
        <w:rPr>
          <w:rFonts w:ascii="Times New Roman" w:cs="Times New Roman" w:eastAsia="Times New Roman" w:hAnsi="Times New Roman"/>
          <w:i/>
          <w:iCs/>
          <w:sz w:val="16"/>
          <w:szCs w:val="16"/>
        </w:rPr>
        <w:t xml:space="preserve">Fuente:</w:t>
      </w:r>
      <w:r>
        <w:rPr>
          <w:rFonts w:ascii="Times New Roman" w:cs="Times New Roman" w:eastAsia="Times New Roman" w:hAnsi="Times New Roman"/>
          <w:sz w:val="16"/>
          <w:szCs w:val="16"/>
        </w:rPr>
        <w:t xml:space="preserve"> Documentos [2] y [4].</w:t>
      </w:r>
    </w:p>
    <w:p>
      <w:r>
        <w:br w:type="page"/>
      </w:r>
    </w:p>
    <w:p>
      <w:pPr>
        <w:pStyle w:val="Heading1"/>
        <w:keepNext/>
        <w:tabs>
          <w:tab w:val="left" w:pos="1134"/>
        </w:tabs>
        <w:spacing w:after="240" w:before="120"/>
      </w:pPr>
      <w:r>
        <w:rPr>
          <w:rFonts w:ascii="Times New Roman" w:cs="Times New Roman" w:eastAsia="Times New Roman" w:hAnsi="Times New Roman"/>
          <w:b/>
          <w:bCs/>
          <w:sz w:val="28"/>
          <w:szCs w:val="28"/>
        </w:rPr>
        <w:t xml:space="preserve">Anexo II. Fuentes</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A.	Documentos oficiales recibidos (base empírica)</w:t>
      </w:r>
    </w:p>
    <w:p>
      <w:pPr>
        <w:spacing w:after="80"/>
        <w:ind w:left="567" w:hanging="567"/>
        <w:jc w:val="left"/>
      </w:pPr>
      <w:r>
        <w:rPr>
          <w:rFonts w:ascii="Times New Roman" w:cs="Times New Roman" w:eastAsia="Times New Roman" w:hAnsi="Times New Roman"/>
          <w:sz w:val="19"/>
          <w:szCs w:val="19"/>
        </w:rPr>
        <w:t xml:space="preserve">[1] Policía Nacional, Departamento de Policía Norte de Santander, Seccional de Investigación Criminal. Oficio GS-2026-148053-DENOR, «Respuesta solicitud de información estadística de delitos primer semestre de 2026», Cúcuta, 18 de septiembre de 2026.</w:t>
      </w:r>
    </w:p>
    <w:p>
      <w:pPr>
        <w:spacing w:after="80"/>
        <w:ind w:left="567" w:hanging="567"/>
        <w:jc w:val="left"/>
      </w:pPr>
      <w:r>
        <w:rPr>
          <w:rFonts w:ascii="Times New Roman" w:cs="Times New Roman" w:eastAsia="Times New Roman" w:hAnsi="Times New Roman"/>
          <w:sz w:val="19"/>
          <w:szCs w:val="19"/>
        </w:rPr>
        <w:t xml:space="preserve">[2] Policía Nacional, DENOR. Anexo «Información estadística de delitos primer semestre de 2026» (SIEDCO), 7 páginas, 636 registros.</w:t>
      </w:r>
    </w:p>
    <w:p>
      <w:pPr>
        <w:spacing w:after="80"/>
        <w:ind w:left="567" w:hanging="567"/>
        <w:jc w:val="left"/>
      </w:pPr>
      <w:r>
        <w:rPr>
          <w:rFonts w:ascii="Times New Roman" w:cs="Times New Roman" w:eastAsia="Times New Roman" w:hAnsi="Times New Roman"/>
          <w:sz w:val="19"/>
          <w:szCs w:val="19"/>
        </w:rPr>
        <w:t xml:space="preserve">[3] Policía Nacional, Policía Metropolitana de Cúcuta, Seccional de Investigación Criminal. Oficio GS-2026-120157-MECUC, «Respuesta derecho de petición No. GE-2026-006375-MECUC», Cúcuta, 22 de septiembre de 2026.</w:t>
      </w:r>
    </w:p>
    <w:p>
      <w:pPr>
        <w:spacing w:after="80"/>
        <w:ind w:left="567" w:hanging="567"/>
        <w:jc w:val="left"/>
      </w:pPr>
      <w:r>
        <w:rPr>
          <w:rFonts w:ascii="Times New Roman" w:cs="Times New Roman" w:eastAsia="Times New Roman" w:hAnsi="Times New Roman"/>
          <w:sz w:val="19"/>
          <w:szCs w:val="19"/>
        </w:rPr>
        <w:t xml:space="preserve">[4] Policía Nacional, MECUC. Matriz en Excel anexa al oficio GS-2026-120157-MECUC (8 hojas).</w:t>
      </w:r>
    </w:p>
    <w:p>
      <w:pPr>
        <w:spacing w:after="80"/>
        <w:ind w:left="567" w:hanging="567"/>
        <w:jc w:val="left"/>
      </w:pPr>
      <w:r>
        <w:rPr>
          <w:rFonts w:ascii="Times New Roman" w:cs="Times New Roman" w:eastAsia="Times New Roman" w:hAnsi="Times New Roman"/>
          <w:sz w:val="19"/>
          <w:szCs w:val="19"/>
        </w:rPr>
        <w:t xml:space="preserve">[5] Instituto Nacional de Medicina Legal y Ciencias Forenses, Regional Nororiente. Oficio 211-DRNR-2026, «Respuesta a derecho de petición», Bucaramanga, 18 de septiembre de 2026.</w:t>
      </w:r>
    </w:p>
    <w:p>
      <w:pPr>
        <w:spacing w:after="80"/>
        <w:ind w:left="567" w:hanging="567"/>
        <w:jc w:val="left"/>
      </w:pPr>
      <w:r>
        <w:rPr>
          <w:rFonts w:ascii="Times New Roman" w:cs="Times New Roman" w:eastAsia="Times New Roman" w:hAnsi="Times New Roman"/>
          <w:sz w:val="19"/>
          <w:szCs w:val="19"/>
        </w:rPr>
        <w:t xml:space="preserve">[6] Presidencia de la República, Consejería Comisionada de Paz, Grupo AICMA. Oficio OFI26-00042860 / AGEO, «Solicitud información víctimas de minas antipersona en Norte de Santander durante el primer semestre de 2026», Bogotá, 25 de septiembre de 2026.</w:t>
      </w:r>
    </w:p>
    <w:p>
      <w:pPr>
        <w:pStyle w:val="Heading2"/>
        <w:keepNext/>
        <w:tabs>
          <w:tab w:val="left" w:pos="1134"/>
        </w:tabs>
        <w:spacing w:after="120" w:before="240"/>
        <w:ind w:left="1134" w:hanging="567"/>
      </w:pPr>
      <w:r>
        <w:rPr>
          <w:rFonts w:ascii="Times New Roman" w:cs="Times New Roman" w:eastAsia="Times New Roman" w:hAnsi="Times New Roman"/>
          <w:b/>
          <w:bCs/>
          <w:sz w:val="23"/>
          <w:szCs w:val="23"/>
        </w:rPr>
        <w:t xml:space="preserve">B.	Fuentes abiertas consultadas</w:t>
      </w:r>
    </w:p>
    <w:p>
      <w:pPr>
        <w:spacing w:after="60"/>
        <w:ind w:left="567" w:hanging="567"/>
        <w:jc w:val="left"/>
      </w:pPr>
      <w:r>
        <w:rPr>
          <w:rFonts w:ascii="Times New Roman" w:cs="Times New Roman" w:eastAsia="Times New Roman" w:hAnsi="Times New Roman"/>
          <w:sz w:val="18"/>
          <w:szCs w:val="18"/>
        </w:rPr>
        <w:t xml:space="preserve">DANE. Proyecciones de población municipal por área 2018-2042 (actualización del 30 de julio de 2025). https://www.dane.gov.co/files/censo2018/proyecciones-de-poblacion/Municipal/PPED-AreaMun-2018-2042_VP.xlsx</w:t>
      </w:r>
    </w:p>
    <w:p>
      <w:pPr>
        <w:spacing w:after="60"/>
        <w:ind w:left="567" w:hanging="567"/>
        <w:jc w:val="left"/>
      </w:pPr>
      <w:r>
        <w:rPr>
          <w:rFonts w:ascii="Times New Roman" w:cs="Times New Roman" w:eastAsia="Times New Roman" w:hAnsi="Times New Roman"/>
          <w:sz w:val="18"/>
          <w:szCs w:val="18"/>
        </w:rPr>
        <w:t xml:space="preserve">DANE. Medida de pobreza multidimensional municipal de fuente censal 2018 (anexo y boletín técnico); NBI CNPV 2018. https://www.dane.gov.co</w:t>
      </w:r>
    </w:p>
    <w:p>
      <w:pPr>
        <w:spacing w:after="60"/>
        <w:ind w:left="567" w:hanging="567"/>
        <w:jc w:val="left"/>
      </w:pPr>
      <w:r>
        <w:rPr>
          <w:rFonts w:ascii="Times New Roman" w:cs="Times New Roman" w:eastAsia="Times New Roman" w:hAnsi="Times New Roman"/>
          <w:sz w:val="18"/>
          <w:szCs w:val="18"/>
        </w:rPr>
        <w:t xml:space="preserve">Ministerio de Defensa Nacional. Series de la Policía Nacional (SIEDCO) en datos abiertos: homicidio, terrorismo, secuestro, extorsión, masacres y afectaciones a la Fuerza Pública. https://www.datos.gov.co/d/m8fd-ahd9</w:t>
      </w:r>
    </w:p>
    <w:p>
      <w:pPr>
        <w:spacing w:after="60"/>
        <w:ind w:left="567" w:hanging="567"/>
        <w:jc w:val="left"/>
      </w:pPr>
      <w:r>
        <w:rPr>
          <w:rFonts w:ascii="Times New Roman" w:cs="Times New Roman" w:eastAsia="Times New Roman" w:hAnsi="Times New Roman"/>
          <w:sz w:val="18"/>
          <w:szCs w:val="18"/>
        </w:rPr>
        <w:t xml:space="preserve">Instituto Nacional de Medicina Legal y Ciencias Forenses. Lesiones fatales de causa externa, datos preliminares 2025-2026 (SIRDEC). https://www.datos.gov.co/d/2kpj-cktv ; desaparecidos, histórico a junio de 2026: https://www.datos.gov.co/d/8hqm-7fdt</w:t>
      </w:r>
    </w:p>
    <w:p>
      <w:pPr>
        <w:spacing w:after="60"/>
        <w:ind w:left="567" w:hanging="567"/>
        <w:jc w:val="left"/>
      </w:pPr>
      <w:r>
        <w:rPr>
          <w:rFonts w:ascii="Times New Roman" w:cs="Times New Roman" w:eastAsia="Times New Roman" w:hAnsi="Times New Roman"/>
          <w:sz w:val="18"/>
          <w:szCs w:val="18"/>
        </w:rPr>
        <w:t xml:space="preserve">UNODC y Ministerio de Justicia y del Derecho, SIMCI. Monitoreo de los territorios con presencia de cultivos de coca 2024 (junio de 2026). https://www.minjusticia.gov.co/programas-co/ODC/Publicaciones/Publicaciones/Informe_monitoreo_cultivos_Colombia_2024.pdf</w:t>
      </w:r>
    </w:p>
    <w:p>
      <w:pPr>
        <w:spacing w:after="60"/>
        <w:ind w:left="567" w:hanging="567"/>
        <w:jc w:val="left"/>
      </w:pPr>
      <w:r>
        <w:rPr>
          <w:rFonts w:ascii="Times New Roman" w:cs="Times New Roman" w:eastAsia="Times New Roman" w:hAnsi="Times New Roman"/>
          <w:sz w:val="18"/>
          <w:szCs w:val="18"/>
        </w:rPr>
        <w:t xml:space="preserve">Unidad para las Víctimas. Catatumbo: balance de la crisis humanitaria (corte a 1 de febrero de 2026). https://datospaz.unidadvictimas.gov.co/wp-content/uploads/2026/04/Catatumbo_Balance_Crisis_Humanitaria-.pdf</w:t>
      </w:r>
    </w:p>
    <w:p>
      <w:pPr>
        <w:spacing w:after="60"/>
        <w:ind w:left="567" w:hanging="567"/>
        <w:jc w:val="left"/>
      </w:pPr>
      <w:r>
        <w:rPr>
          <w:rFonts w:ascii="Times New Roman" w:cs="Times New Roman" w:eastAsia="Times New Roman" w:hAnsi="Times New Roman"/>
          <w:sz w:val="18"/>
          <w:szCs w:val="18"/>
        </w:rPr>
        <w:t xml:space="preserve">PNUD Colombia. Más allá de la emergencia: informe sobre el Catatumbo (enero de 2026). https://www.undp.org/sites/g/files/zskgke326/files/2026-01/undp_co_pub_paz_informe_catatumbo_ene14_2026.pdf</w:t>
      </w:r>
    </w:p>
    <w:p>
      <w:pPr>
        <w:spacing w:after="60"/>
        <w:ind w:left="567" w:hanging="567"/>
        <w:jc w:val="left"/>
      </w:pPr>
      <w:r>
        <w:rPr>
          <w:rFonts w:ascii="Times New Roman" w:cs="Times New Roman" w:eastAsia="Times New Roman" w:hAnsi="Times New Roman"/>
          <w:sz w:val="18"/>
          <w:szCs w:val="18"/>
        </w:rPr>
        <w:t xml:space="preserve">Defensoría del Pueblo. 784 personas se desplazaron en el Catatumbo ante nuevos hechos de violencia (2 de junio de 2026); alerta temprana de inminencia 006-26 (11 de marzo de 2026). https://www.defensoria.gov.co</w:t>
      </w:r>
    </w:p>
    <w:p>
      <w:pPr>
        <w:spacing w:after="60"/>
        <w:ind w:left="567" w:hanging="567"/>
        <w:jc w:val="left"/>
      </w:pPr>
      <w:r>
        <w:rPr>
          <w:rFonts w:ascii="Times New Roman" w:cs="Times New Roman" w:eastAsia="Times New Roman" w:hAnsi="Times New Roman"/>
          <w:sz w:val="18"/>
          <w:szCs w:val="18"/>
        </w:rPr>
        <w:t xml:space="preserve">Gobernación de Norte de Santander. Informe de rendición de cuentas sobre la implementación del Acuerdo de Paz 2025 (corte a 31 de mayo de 2026); Plan de Desarrollo Departamental «Norte, Territorio de Paz» 2024-2027; Observatorio, homicidios enero-agosto 2025. https://administrador.nortedesantander.gov.co</w:t>
      </w:r>
    </w:p>
    <w:p>
      <w:pPr>
        <w:spacing w:after="60"/>
        <w:ind w:left="567" w:hanging="567"/>
        <w:jc w:val="left"/>
      </w:pPr>
      <w:r>
        <w:rPr>
          <w:rFonts w:ascii="Times New Roman" w:cs="Times New Roman" w:eastAsia="Times New Roman" w:hAnsi="Times New Roman"/>
          <w:sz w:val="18"/>
          <w:szCs w:val="18"/>
        </w:rPr>
        <w:t xml:space="preserve">Constitución Política de Colombia, artículos 339 a 341; Ley 152 de 1994. https://www.cancilleria.gov.co/sites/default/files/Normograma/docs/pdf/ley_0152_1994.pdf</w:t>
      </w:r>
    </w:p>
    <w:p>
      <w:pPr>
        <w:spacing w:after="60"/>
        <w:ind w:left="567" w:hanging="567"/>
        <w:jc w:val="left"/>
      </w:pPr>
      <w:r>
        <w:rPr>
          <w:rFonts w:ascii="Times New Roman" w:cs="Times New Roman" w:eastAsia="Times New Roman" w:hAnsi="Times New Roman"/>
          <w:sz w:val="18"/>
          <w:szCs w:val="18"/>
        </w:rPr>
        <w:t xml:space="preserve">Acto Legislativo 01 de 2016 y Acto Legislativo 02 de 2017. https://normativa.colpensiones.gov.co/colpens/docs/acto_legislativo_01_2016.htm</w:t>
      </w:r>
    </w:p>
    <w:p>
      <w:pPr>
        <w:spacing w:after="60"/>
        <w:ind w:left="567" w:hanging="567"/>
        <w:jc w:val="left"/>
      </w:pPr>
      <w:r>
        <w:rPr>
          <w:rFonts w:ascii="Times New Roman" w:cs="Times New Roman" w:eastAsia="Times New Roman" w:hAnsi="Times New Roman"/>
          <w:sz w:val="18"/>
          <w:szCs w:val="18"/>
        </w:rPr>
        <w:t xml:space="preserve">Ley 2565 de 2026 (prórroga de los PDET). https://sidn.ramajudicial.gov.co/SIDN//NORMATIVA/TEXTOS_COMPLETOS/7_LEYES/LEYES%202026/Ley%202565%20de%202026.pdf</w:t>
      </w:r>
    </w:p>
    <w:p>
      <w:pPr>
        <w:spacing w:after="60"/>
        <w:ind w:left="567" w:hanging="567"/>
        <w:jc w:val="left"/>
      </w:pPr>
      <w:r>
        <w:rPr>
          <w:rFonts w:ascii="Times New Roman" w:cs="Times New Roman" w:eastAsia="Times New Roman" w:hAnsi="Times New Roman"/>
          <w:sz w:val="18"/>
          <w:szCs w:val="18"/>
        </w:rPr>
        <w:t xml:space="preserve">Ley 2078 de 2021 (prórroga de la Ley de Víctimas); Ley 2294 de 2023 (Plan Nacional de Desarrollo 2022-2026).</w:t>
      </w:r>
    </w:p>
    <w:p>
      <w:pPr>
        <w:spacing w:after="60"/>
        <w:ind w:left="567" w:hanging="567"/>
        <w:jc w:val="left"/>
      </w:pPr>
      <w:r>
        <w:rPr>
          <w:rFonts w:ascii="Times New Roman" w:cs="Times New Roman" w:eastAsia="Times New Roman" w:hAnsi="Times New Roman"/>
          <w:sz w:val="18"/>
          <w:szCs w:val="18"/>
        </w:rPr>
        <w:t xml:space="preserve">Corte Constitucional. Sentencia T-052 de 2017. https://www.corteconstitucional.gov.co/relatoria/2017/t-052-17.htm ; Sentencia C-148 de 2025 (conmoción interior).</w:t>
      </w:r>
    </w:p>
    <w:p>
      <w:pPr>
        <w:spacing w:after="60"/>
        <w:ind w:left="567" w:hanging="567"/>
        <w:jc w:val="left"/>
      </w:pPr>
      <w:r>
        <w:rPr>
          <w:rFonts w:ascii="Times New Roman" w:cs="Times New Roman" w:eastAsia="Times New Roman" w:hAnsi="Times New Roman"/>
          <w:sz w:val="18"/>
          <w:szCs w:val="18"/>
        </w:rPr>
        <w:t xml:space="preserve">DNP. Plan Nacional de Desarrollo «Patria Milagro» 2026-2030: directrices sectoriales (17 de septiembre de 2026) y encuentros regionales (octubre de 2026). https://www.dnp.gov.co/Prensa_/Noticias/Paginas/encuentros-regionales-plan-nacional-de-desarrollo-26-30.aspx</w:t>
      </w:r>
    </w:p>
    <w:p>
      <w:pPr>
        <w:spacing w:after="60"/>
        <w:ind w:left="567" w:hanging="567"/>
        <w:jc w:val="left"/>
      </w:pPr>
      <w:r>
        <w:rPr>
          <w:rFonts w:ascii="Times New Roman" w:cs="Times New Roman" w:eastAsia="Times New Roman" w:hAnsi="Times New Roman"/>
          <w:sz w:val="18"/>
          <w:szCs w:val="18"/>
        </w:rPr>
        <w:t xml:space="preserve">DNP. Convocatoria de renovación del Consejo Nacional de Planeación (Resolución 2496 de 2026). https://www.dnp.gov.co/Prensa_/Noticias/Paginas/dnp-convocatoria-renovacion-consejo-nacional-planeacion.aspx</w:t>
      </w:r>
    </w:p>
    <w:p>
      <w:pPr>
        <w:spacing w:after="60"/>
        <w:ind w:left="567" w:hanging="567"/>
        <w:jc w:val="left"/>
      </w:pPr>
      <w:r>
        <w:rPr>
          <w:rFonts w:ascii="Times New Roman" w:cs="Times New Roman" w:eastAsia="Times New Roman" w:hAnsi="Times New Roman"/>
          <w:sz w:val="18"/>
          <w:szCs w:val="18"/>
        </w:rPr>
        <w:t xml:space="preserve">Presidencia de la República. Transversal del Catatumbo avanza con inversión superior a 1,1 billones (16 de enero de 2026); Gobierno establece zona de ubicación temporal en Tibú para el Frente 33 (23 de mayo de 2025). https://www.presidencia.gov.co</w:t>
      </w:r>
    </w:p>
    <w:p>
      <w:pPr>
        <w:spacing w:after="60"/>
        <w:ind w:left="567" w:hanging="567"/>
        <w:jc w:val="left"/>
      </w:pPr>
      <w:r>
        <w:rPr>
          <w:rFonts w:ascii="Times New Roman" w:cs="Times New Roman" w:eastAsia="Times New Roman" w:hAnsi="Times New Roman"/>
          <w:sz w:val="18"/>
          <w:szCs w:val="18"/>
        </w:rPr>
        <w:t xml:space="preserve">Agencia Nacional de Tierras. Aprobación de la Zona de Reserva Campesina «Paz y Unión Campesina del Catatumbo» (30 de abril de 2025). https://www.ant.gov.co</w:t>
      </w:r>
    </w:p>
    <w:p>
      <w:pPr>
        <w:spacing w:after="60"/>
        <w:ind w:left="567" w:hanging="567"/>
        <w:jc w:val="left"/>
      </w:pPr>
      <w:r>
        <w:rPr>
          <w:rFonts w:ascii="Times New Roman" w:cs="Times New Roman" w:eastAsia="Times New Roman" w:hAnsi="Times New Roman"/>
          <w:sz w:val="18"/>
          <w:szCs w:val="18"/>
        </w:rPr>
        <w:t xml:space="preserve">Fundación Ideas para la Paz. Los 12 meses de guerra en el Catatumbo (16 de enero de 2026); infografía PDET 2026. https://ideaspaz.org/publicaciones/noticias/2026-01/los-12-meses-de-guerra-en-el-catatumbo</w:t>
      </w:r>
    </w:p>
    <w:p>
      <w:pPr>
        <w:spacing w:after="60"/>
        <w:ind w:left="567" w:hanging="567"/>
        <w:jc w:val="left"/>
      </w:pPr>
      <w:r>
        <w:rPr>
          <w:rFonts w:ascii="Times New Roman" w:cs="Times New Roman" w:eastAsia="Times New Roman" w:hAnsi="Times New Roman"/>
          <w:sz w:val="18"/>
          <w:szCs w:val="18"/>
        </w:rPr>
        <w:t xml:space="preserve">Indepaz. Líderes sociales, defensores de derechos humanos y firmantes asesinados; «La parada del ELN» (diciembre de 2025). https://indepaz.org.co</w:t>
      </w:r>
    </w:p>
    <w:p>
      <w:pPr>
        <w:spacing w:after="60"/>
        <w:ind w:left="567" w:hanging="567"/>
        <w:jc w:val="left"/>
      </w:pPr>
      <w:r>
        <w:rPr>
          <w:rFonts w:ascii="Times New Roman" w:cs="Times New Roman" w:eastAsia="Times New Roman" w:hAnsi="Times New Roman"/>
          <w:sz w:val="18"/>
          <w:szCs w:val="18"/>
        </w:rPr>
        <w:t xml:space="preserve">Pares. Cúcuta y la disputa armada por la frontera. https://www.pares.com.co/cucuta-y-la-disputa-armada-por-la-frontera/</w:t>
      </w:r>
    </w:p>
    <w:p>
      <w:pPr>
        <w:spacing w:after="60"/>
        <w:ind w:left="567" w:hanging="567"/>
        <w:jc w:val="left"/>
      </w:pPr>
      <w:r>
        <w:rPr>
          <w:rFonts w:ascii="Times New Roman" w:cs="Times New Roman" w:eastAsia="Times New Roman" w:hAnsi="Times New Roman"/>
          <w:sz w:val="18"/>
          <w:szCs w:val="18"/>
        </w:rPr>
        <w:t xml:space="preserve">Noticias ONU. Un año de drama en el Catatumbo (16 de enero de 2026); comunicado de la Misión de Verificación, la MAPP-OEA y la Conferencia Episcopal (22 de mayo de 2026). https://news.un.org/es/story/2026/01/1541031</w:t>
      </w:r>
    </w:p>
    <w:p>
      <w:pPr>
        <w:spacing w:after="60"/>
        <w:ind w:left="567" w:hanging="567"/>
        <w:jc w:val="left"/>
      </w:pPr>
      <w:r>
        <w:rPr>
          <w:rFonts w:ascii="Times New Roman" w:cs="Times New Roman" w:eastAsia="Times New Roman" w:hAnsi="Times New Roman"/>
          <w:sz w:val="18"/>
          <w:szCs w:val="18"/>
        </w:rPr>
        <w:t xml:space="preserve">Consejo de Redacción. Catatumbo: las vías no solo se miden en kilómetros sino en años de espera (20 de junio de 2026). https://consejoderedaccion.org</w:t>
      </w:r>
    </w:p>
    <w:p>
      <w:pPr>
        <w:spacing w:after="60"/>
        <w:ind w:left="567" w:hanging="567"/>
        <w:jc w:val="left"/>
      </w:pPr>
      <w:r>
        <w:rPr>
          <w:rFonts w:ascii="Times New Roman" w:cs="Times New Roman" w:eastAsia="Times New Roman" w:hAnsi="Times New Roman"/>
          <w:sz w:val="18"/>
          <w:szCs w:val="18"/>
        </w:rPr>
        <w:t xml:space="preserve">El Tiempo: radiografía de la violencia en Cúcuta (9 de junio de 2026); cabecillas del ELN y del Frente 33 (8 de julio de 2026); primer bombardeo en el Catatumbo (31 de agosto de 2026); «No habrá canje» (17 de septiembre de 2026); ruta del Plan Nacional de Desarrollo (8 de octubre de 2026). https://www.eltiempo.com</w:t>
      </w:r>
    </w:p>
    <w:p>
      <w:pPr>
        <w:spacing w:after="60"/>
        <w:ind w:left="567" w:hanging="567"/>
        <w:jc w:val="left"/>
      </w:pPr>
      <w:r>
        <w:rPr>
          <w:rFonts w:ascii="Times New Roman" w:cs="Times New Roman" w:eastAsia="Times New Roman" w:hAnsi="Times New Roman"/>
          <w:sz w:val="18"/>
          <w:szCs w:val="18"/>
        </w:rPr>
        <w:t xml:space="preserve">El Espectador: ataque atribuido al ELN en Cúcuta (1 de agosto de 2026); la relación con Venezuela (8 de julio de 2026). https://www.elespectador.com</w:t>
      </w:r>
    </w:p>
    <w:p>
      <w:pPr>
        <w:spacing w:after="60"/>
        <w:ind w:left="567" w:hanging="567"/>
        <w:jc w:val="left"/>
      </w:pPr>
      <w:r>
        <w:rPr>
          <w:rFonts w:ascii="Times New Roman" w:cs="Times New Roman" w:eastAsia="Times New Roman" w:hAnsi="Times New Roman"/>
          <w:sz w:val="18"/>
          <w:szCs w:val="18"/>
        </w:rPr>
        <w:t xml:space="preserve">Infobae: regreso del ELN al Catatumbo (3 de enero de 2026); bombardeos de abril y mayo de 2026; masacre de Ábrego (23 de mayo de 2026); primer bombardeo del nuevo gobierno (12 de agosto de 2026); ataque con drones en Ocaña (5 de septiembre de 2026); fin de la paz total (11 de septiembre de 2026); revisión de la ART (27 de septiembre de 2026); víctimas del Catatumbo (8 de octubre de 2026); bombardeo contra el Frente 33 (12 y 13 de octubre de 2026); combates en Tibú y Sardinata (18 de octubre de 2026). https://www.infobae.com</w:t>
      </w:r>
    </w:p>
    <w:p>
      <w:pPr>
        <w:spacing w:after="60"/>
        <w:ind w:left="567" w:hanging="567"/>
        <w:jc w:val="left"/>
      </w:pPr>
      <w:r>
        <w:rPr>
          <w:rFonts w:ascii="Times New Roman" w:cs="Times New Roman" w:eastAsia="Times New Roman" w:hAnsi="Times New Roman"/>
          <w:sz w:val="18"/>
          <w:szCs w:val="18"/>
        </w:rPr>
        <w:t xml:space="preserve">La Opinión (Cúcuta): gremios y empalme (9 de julio de 2026); adjudicación de la Transversal (4 de junio de 2026); agenda de los Santanderes y encuentro regional (13 y 14 de octubre de 2026); madres del Catatumbo (16 de octubre de 2026); curul de paz (9 de marzo de 2026); reclutamiento de menores (2026). https://laopinion.co</w:t>
      </w:r>
    </w:p>
    <w:p>
      <w:pPr>
        <w:spacing w:after="60"/>
        <w:ind w:left="567" w:hanging="567"/>
        <w:jc w:val="left"/>
      </w:pPr>
      <w:r>
        <w:rPr>
          <w:rFonts w:ascii="Times New Roman" w:cs="Times New Roman" w:eastAsia="Times New Roman" w:hAnsi="Times New Roman"/>
          <w:sz w:val="18"/>
          <w:szCs w:val="18"/>
        </w:rPr>
        <w:t xml:space="preserve">Semana: movimientos de Silvana Guerrero, «Jhon Mechas» y «Andrey» (17 de octubre de 2026); detalles del bombardeo contra el Frente 33 (octubre de 2026). https://www.semana.com</w:t>
      </w:r>
    </w:p>
    <w:p>
      <w:pPr>
        <w:spacing w:after="60"/>
        <w:ind w:left="567" w:hanging="567"/>
        <w:jc w:val="left"/>
      </w:pPr>
      <w:r>
        <w:rPr>
          <w:rFonts w:ascii="Times New Roman" w:cs="Times New Roman" w:eastAsia="Times New Roman" w:hAnsi="Times New Roman"/>
          <w:sz w:val="18"/>
          <w:szCs w:val="18"/>
        </w:rPr>
        <w:t xml:space="preserve">El Colombiano: cierre de las mesas de la paz total (agosto de 2026); derogación de la suspensión de la aspersión (28 de agosto de 2026); asesinato de Magnelley Pállares (16 de septiembre de 2026). https://www.elcolombiano.com</w:t>
      </w:r>
    </w:p>
    <w:p>
      <w:pPr>
        <w:spacing w:after="60"/>
        <w:ind w:left="567" w:hanging="567"/>
        <w:jc w:val="left"/>
      </w:pPr>
      <w:r>
        <w:rPr>
          <w:rFonts w:ascii="Times New Roman" w:cs="Times New Roman" w:eastAsia="Times New Roman" w:hAnsi="Times New Roman"/>
          <w:sz w:val="18"/>
          <w:szCs w:val="18"/>
        </w:rPr>
        <w:t xml:space="preserve">Otros medios: Reuters (17 de enero de 2025); AP (21 de julio de 2025); El País (Cali); Asuntos Legales (12 de marzo de 2026); Vanguardia (19 de junio y 7 de septiembre de 2026); Noticias RCN; NTN24 (5 de septiembre de 2026); Blu Radio (25 de mayo y 25 de junio de 2026); Radio Hoy (6 de septiembre de 2026); Agronegocios (29 de enero de 2025); La Silla Vacía; Canal TRO; Metropolitano; Radio Nacional; Valora Analitik; Portafolio; El Heraldo; Alfil; La FM; El Diario; Construnoticias; BusinessCol; Alerta; Renacientes; El Catolicismo.</w:t>
      </w:r>
    </w:p>
    <w:sectPr>
      <w:headerReference w:type="default" r:id="rId11"/>
      <w:footerReference w:type="default" r:id="rId12"/>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pPr>
      <w:r>
        <w:rPr>
          <w:rStyle w:val="FootnoteReference"/>
        </w:rPr>
        <w:footnoteRef/>
      </w:r>
      <w:r>
        <w:rPr>
          <w:rFonts w:ascii="Times New Roman" w:cs="Times New Roman" w:eastAsia="Times New Roman" w:hAnsi="Times New Roman"/>
          <w:sz w:val="17"/>
          <w:szCs w:val="17"/>
        </w:rPr>
        <w:t xml:space="preserve">El Espectador, «Captura de Maduro y ataque de EE. UU. en Venezuela: qué significa para el ELN en la frontera»; Infobae, 3 de enero, 12 de mayo y 1 de octubre de 2026; La Opinión, 15 de octubre de 2026.</w:t>
      </w:r>
    </w:p>
  </w:footnote>
  <w:footnote w:id="2">
    <w:p>
      <w:pPr>
        <w:spacing w:after="40"/>
      </w:pPr>
      <w:r>
        <w:rPr>
          <w:rStyle w:val="FootnoteReference"/>
        </w:rPr>
        <w:footnoteRef/>
      </w:r>
      <w:r>
        <w:rPr>
          <w:rFonts w:ascii="Times New Roman" w:cs="Times New Roman" w:eastAsia="Times New Roman" w:hAnsi="Times New Roman"/>
          <w:sz w:val="17"/>
          <w:szCs w:val="17"/>
        </w:rPr>
        <w:t xml:space="preserve">Infobae, 3 de enero, 4 de febrero y 14 de octubre de 2026; Ministerio de Defensa, serie de afectaciones a la Fuerza Pública en datos.gov.co (corte a 31 de agosto de 2026), cálculos propios.</w:t>
      </w:r>
    </w:p>
  </w:footnote>
  <w:footnote w:id="3">
    <w:p>
      <w:pPr>
        <w:spacing w:after="40"/>
      </w:pPr>
      <w:r>
        <w:rPr>
          <w:rStyle w:val="FootnoteReference"/>
        </w:rPr>
        <w:footnoteRef/>
      </w:r>
      <w:r>
        <w:rPr>
          <w:rFonts w:ascii="Times New Roman" w:cs="Times New Roman" w:eastAsia="Times New Roman" w:hAnsi="Times New Roman"/>
          <w:sz w:val="17"/>
          <w:szCs w:val="17"/>
        </w:rPr>
        <w:t xml:space="preserve">Policía Nacional, Departamento de Policía Norte de Santander, Seccional de Investigación Criminal, oficio GS-2026-148053-DENOR del 18 de septiembre de 2026 y su anexo «Información estadística de delitos primer semestre de 2026» (SIEDCO). Los totales del anexo coinciden con los del oficio. Las cifras son preliminares.</w:t>
      </w:r>
    </w:p>
  </w:footnote>
  <w:footnote w:id="4">
    <w:p>
      <w:pPr>
        <w:spacing w:after="40"/>
      </w:pPr>
      <w:r>
        <w:rPr>
          <w:rStyle w:val="FootnoteReference"/>
        </w:rPr>
        <w:footnoteRef/>
      </w:r>
      <w:r>
        <w:rPr>
          <w:rFonts w:ascii="Times New Roman" w:cs="Times New Roman" w:eastAsia="Times New Roman" w:hAnsi="Times New Roman"/>
          <w:sz w:val="17"/>
          <w:szCs w:val="17"/>
        </w:rPr>
        <w:t xml:space="preserve">Ministerio de Defensa Nacional, conjunto de datos «Homicidio» (SIEDCO), datos.gov.co, actualizado el 16 de septiembre de 2026. Cálculos propios.</w:t>
      </w:r>
    </w:p>
  </w:footnote>
  <w:footnote w:id="5">
    <w:p>
      <w:pPr>
        <w:spacing w:after="40"/>
      </w:pPr>
      <w:r>
        <w:rPr>
          <w:rStyle w:val="FootnoteReference"/>
        </w:rPr>
        <w:footnoteRef/>
      </w:r>
      <w:r>
        <w:rPr>
          <w:rFonts w:ascii="Times New Roman" w:cs="Times New Roman" w:eastAsia="Times New Roman" w:hAnsi="Times New Roman"/>
          <w:sz w:val="17"/>
          <w:szCs w:val="17"/>
        </w:rPr>
        <w:t xml:space="preserve">Consejería Comisionada de Paz, Grupo de Acción Integral contra Minas Antipersonal (AICMA), oficio OFI26-00042860 / AGEO del 25 de septiembre de 2026, en respuesta a la petición EXT26-00155840.</w:t>
      </w:r>
    </w:p>
  </w:footnote>
  <w:footnote w:id="6">
    <w:p>
      <w:pPr>
        <w:spacing w:after="40"/>
      </w:pPr>
      <w:r>
        <w:rPr>
          <w:rStyle w:val="FootnoteReference"/>
        </w:rPr>
        <w:footnoteRef/>
      </w:r>
      <w:r>
        <w:rPr>
          <w:rFonts w:ascii="Times New Roman" w:cs="Times New Roman" w:eastAsia="Times New Roman" w:hAnsi="Times New Roman"/>
          <w:sz w:val="17"/>
          <w:szCs w:val="17"/>
        </w:rPr>
        <w:t xml:space="preserve">INMLCF, conjunto de datos de lesiones fatales de causa externa (SIRDEC), datos preliminares de enero de 2025 a julio de 2026, datos.gov.co. Cálculos propios por código DANE de municipio.</w:t>
      </w:r>
    </w:p>
  </w:footnote>
  <w:footnote w:id="7">
    <w:p>
      <w:pPr>
        <w:spacing w:after="40"/>
      </w:pPr>
      <w:r>
        <w:rPr>
          <w:rStyle w:val="FootnoteReference"/>
        </w:rPr>
        <w:footnoteRef/>
      </w:r>
      <w:r>
        <w:rPr>
          <w:rFonts w:ascii="Times New Roman" w:cs="Times New Roman" w:eastAsia="Times New Roman" w:hAnsi="Times New Roman"/>
          <w:sz w:val="17"/>
          <w:szCs w:val="17"/>
        </w:rPr>
        <w:t xml:space="preserve">Unidad para las Víctimas, «Catatumbo: balance de la crisis humanitaria», corte a 1 de febrero de 2026 (publicado en abril de 2026).</w:t>
      </w:r>
    </w:p>
  </w:footnote>
  <w:footnote w:id="8">
    <w:p>
      <w:pPr>
        <w:spacing w:after="40"/>
      </w:pPr>
      <w:r>
        <w:rPr>
          <w:rStyle w:val="FootnoteReference"/>
        </w:rPr>
        <w:footnoteRef/>
      </w:r>
      <w:r>
        <w:rPr>
          <w:rFonts w:ascii="Times New Roman" w:cs="Times New Roman" w:eastAsia="Times New Roman" w:hAnsi="Times New Roman"/>
          <w:sz w:val="17"/>
          <w:szCs w:val="17"/>
        </w:rPr>
        <w:t xml:space="preserve">Infobae, 8 de octubre de 2026.</w:t>
      </w:r>
    </w:p>
  </w:footnote>
  <w:footnote w:id="9">
    <w:p>
      <w:pPr>
        <w:spacing w:after="40"/>
      </w:pPr>
      <w:r>
        <w:rPr>
          <w:rStyle w:val="FootnoteReference"/>
        </w:rPr>
        <w:footnoteRef/>
      </w:r>
      <w:r>
        <w:rPr>
          <w:rFonts w:ascii="Times New Roman" w:cs="Times New Roman" w:eastAsia="Times New Roman" w:hAnsi="Times New Roman"/>
          <w:sz w:val="17"/>
          <w:szCs w:val="17"/>
        </w:rPr>
        <w:t xml:space="preserve">Infobae, 6 de julio y 11 de septiembre de 2026; El Colombiano; NTN24, 5 de septiembre de 2026.</w:t>
      </w:r>
    </w:p>
  </w:footnote>
  <w:footnote w:id="10">
    <w:p>
      <w:pPr>
        <w:spacing w:after="40"/>
      </w:pPr>
      <w:r>
        <w:rPr>
          <w:rStyle w:val="FootnoteReference"/>
        </w:rPr>
        <w:footnoteRef/>
      </w:r>
      <w:r>
        <w:rPr>
          <w:rFonts w:ascii="Times New Roman" w:cs="Times New Roman" w:eastAsia="Times New Roman" w:hAnsi="Times New Roman"/>
          <w:sz w:val="17"/>
          <w:szCs w:val="17"/>
        </w:rPr>
        <w:t xml:space="preserve">El Colombiano, nota sobre la petición de la Defensoría de replantear los bombardeos; Infobae, 12 de octubre de 2026.</w:t>
      </w:r>
    </w:p>
  </w:footnote>
  <w:footnote w:id="11">
    <w:p>
      <w:pPr>
        <w:spacing w:after="40"/>
      </w:pPr>
      <w:r>
        <w:rPr>
          <w:rStyle w:val="FootnoteReference"/>
        </w:rPr>
        <w:footnoteRef/>
      </w:r>
      <w:r>
        <w:rPr>
          <w:rFonts w:ascii="Times New Roman" w:cs="Times New Roman" w:eastAsia="Times New Roman" w:hAnsi="Times New Roman"/>
          <w:sz w:val="17"/>
          <w:szCs w:val="17"/>
        </w:rPr>
        <w:t xml:space="preserve">DANE, proyecciones de población municipal por área 2018-2042, actualizadas el 30 de julio de 2025 (archivo PPED-AreaMun-2018-2042). Cálculos propios para 2026.</w:t>
      </w:r>
    </w:p>
  </w:footnote>
  <w:footnote w:id="12">
    <w:p>
      <w:pPr>
        <w:spacing w:after="40"/>
      </w:pPr>
      <w:r>
        <w:rPr>
          <w:rStyle w:val="FootnoteReference"/>
        </w:rPr>
        <w:footnoteRef/>
      </w:r>
      <w:r>
        <w:rPr>
          <w:rFonts w:ascii="Times New Roman" w:cs="Times New Roman" w:eastAsia="Times New Roman" w:hAnsi="Times New Roman"/>
          <w:sz w:val="17"/>
          <w:szCs w:val="17"/>
        </w:rPr>
        <w:t xml:space="preserve">DANE, boletín técnico «Medida de pobreza multidimensional municipal de fuente censal 2018».</w:t>
      </w:r>
    </w:p>
  </w:footnote>
  <w:footnote w:id="13">
    <w:p>
      <w:pPr>
        <w:spacing w:after="40"/>
      </w:pPr>
      <w:r>
        <w:rPr>
          <w:rStyle w:val="FootnoteReference"/>
        </w:rPr>
        <w:footnoteRef/>
      </w:r>
      <w:r>
        <w:rPr>
          <w:rFonts w:ascii="Times New Roman" w:cs="Times New Roman" w:eastAsia="Times New Roman" w:hAnsi="Times New Roman"/>
          <w:sz w:val="17"/>
          <w:szCs w:val="17"/>
        </w:rPr>
        <w:t xml:space="preserve">UNODC y Ministerio de Justicia y del Derecho, SIMCI, «Monitoreo de los territorios con presencia de cultivos de coca 2024», publicado a finales de junio de 2026, con unos nueve meses de retraso. La región SIMCI Catatumbo incluye una porción menor del Cesar.</w:t>
      </w:r>
    </w:p>
  </w:footnote>
  <w:footnote w:id="14">
    <w:p>
      <w:pPr>
        <w:spacing w:after="40"/>
      </w:pPr>
      <w:r>
        <w:rPr>
          <w:rStyle w:val="FootnoteReference"/>
        </w:rPr>
        <w:footnoteRef/>
      </w:r>
      <w:r>
        <w:rPr>
          <w:rFonts w:ascii="Times New Roman" w:cs="Times New Roman" w:eastAsia="Times New Roman" w:hAnsi="Times New Roman"/>
          <w:sz w:val="17"/>
          <w:szCs w:val="17"/>
        </w:rPr>
        <w:t xml:space="preserve">Nueva Sociedad, «La guerrilla y la violencia en Colombia», febrero de 2025; Fundación Ideas para la Paz (FIP), «Los 12 meses de guerra en el Catatumbo», 16 de enero de 2026.</w:t>
      </w:r>
    </w:p>
  </w:footnote>
  <w:footnote w:id="15">
    <w:p>
      <w:pPr>
        <w:spacing w:after="40"/>
      </w:pPr>
      <w:r>
        <w:rPr>
          <w:rStyle w:val="FootnoteReference"/>
        </w:rPr>
        <w:footnoteRef/>
      </w:r>
      <w:r>
        <w:rPr>
          <w:rFonts w:ascii="Times New Roman" w:cs="Times New Roman" w:eastAsia="Times New Roman" w:hAnsi="Times New Roman"/>
          <w:sz w:val="17"/>
          <w:szCs w:val="17"/>
        </w:rPr>
        <w:t xml:space="preserve">Infobae, 17 de octubre de 2026.</w:t>
      </w:r>
    </w:p>
  </w:footnote>
  <w:footnote w:id="16">
    <w:p>
      <w:pPr>
        <w:spacing w:after="40"/>
      </w:pPr>
      <w:r>
        <w:rPr>
          <w:rStyle w:val="FootnoteReference"/>
        </w:rPr>
        <w:footnoteRef/>
      </w:r>
      <w:r>
        <w:rPr>
          <w:rFonts w:ascii="Times New Roman" w:cs="Times New Roman" w:eastAsia="Times New Roman" w:hAnsi="Times New Roman"/>
          <w:sz w:val="17"/>
          <w:szCs w:val="17"/>
        </w:rPr>
        <w:t xml:space="preserve">Portafolio, nota sobre el gas y petróleo no convencional que el gobierno De la Espriella busca reactivar, 2026.</w:t>
      </w:r>
    </w:p>
  </w:footnote>
  <w:footnote w:id="17">
    <w:p>
      <w:pPr>
        <w:spacing w:after="40"/>
      </w:pPr>
      <w:r>
        <w:rPr>
          <w:rStyle w:val="FootnoteReference"/>
        </w:rPr>
        <w:footnoteRef/>
      </w:r>
      <w:r>
        <w:rPr>
          <w:rFonts w:ascii="Times New Roman" w:cs="Times New Roman" w:eastAsia="Times New Roman" w:hAnsi="Times New Roman"/>
          <w:sz w:val="17"/>
          <w:szCs w:val="17"/>
        </w:rPr>
        <w:t xml:space="preserve">Presidencia de la República, 16 de enero de 2026; La Opinión, 4 de junio de 2026; Consejo de Redacción, «Catatumbo: las vías no solo se miden en kilómetros sino en años de espera», 20 de junio de 2026.</w:t>
      </w:r>
    </w:p>
  </w:footnote>
  <w:footnote w:id="18">
    <w:p>
      <w:pPr>
        <w:spacing w:after="40"/>
      </w:pPr>
      <w:r>
        <w:rPr>
          <w:rStyle w:val="FootnoteReference"/>
        </w:rPr>
        <w:footnoteRef/>
      </w:r>
      <w:r>
        <w:rPr>
          <w:rFonts w:ascii="Times New Roman" w:cs="Times New Roman" w:eastAsia="Times New Roman" w:hAnsi="Times New Roman"/>
          <w:sz w:val="17"/>
          <w:szCs w:val="17"/>
        </w:rPr>
        <w:t xml:space="preserve">Gobernación de Norte de Santander, informe de rendición de cuentas sobre la implementación del Acuerdo de Paz 2025 (corte a 31 de mayo de 2026); FIP, infografía PDET 2026. La Gobernación cita la ley como «Ley 2265», al parecer por error.</w:t>
      </w:r>
    </w:p>
  </w:footnote>
  <w:footnote w:id="19">
    <w:p>
      <w:pPr>
        <w:spacing w:after="40"/>
      </w:pPr>
      <w:r>
        <w:rPr>
          <w:rStyle w:val="FootnoteReference"/>
        </w:rPr>
        <w:footnoteRef/>
      </w:r>
      <w:r>
        <w:rPr>
          <w:rFonts w:ascii="Times New Roman" w:cs="Times New Roman" w:eastAsia="Times New Roman" w:hAnsi="Times New Roman"/>
          <w:sz w:val="17"/>
          <w:szCs w:val="17"/>
        </w:rPr>
        <w:t xml:space="preserve">UNODC, informe ejecutivo consolidado PNIS n.º 20 (31 de diciembre de 2019); PNUD (enero de 2026); Infobae (27 de septiembre de 2026); La Silla Vacía; FIP; El Heraldo, 28 de agosto de 2026; El País, 20 de septiembre de 2026; El Tiempo, 7 de septiembre de 2026; Semana, 13 de septiembre de 2026.</w:t>
      </w:r>
    </w:p>
  </w:footnote>
  <w:footnote w:id="20">
    <w:p>
      <w:pPr>
        <w:spacing w:after="40"/>
      </w:pPr>
      <w:r>
        <w:rPr>
          <w:rStyle w:val="FootnoteReference"/>
        </w:rPr>
        <w:footnoteRef/>
      </w:r>
      <w:r>
        <w:rPr>
          <w:rFonts w:ascii="Times New Roman" w:cs="Times New Roman" w:eastAsia="Times New Roman" w:hAnsi="Times New Roman"/>
          <w:sz w:val="17"/>
          <w:szCs w:val="17"/>
        </w:rPr>
        <w:t xml:space="preserve">Constitución Política, artículos 339 a 341; Ley 152 de 1994, artículos 12 a 25.</w:t>
      </w:r>
    </w:p>
  </w:footnote>
  <w:footnote w:id="21">
    <w:p>
      <w:pPr>
        <w:spacing w:after="40"/>
      </w:pPr>
      <w:r>
        <w:rPr>
          <w:rStyle w:val="FootnoteReference"/>
        </w:rPr>
        <w:footnoteRef/>
      </w:r>
      <w:r>
        <w:rPr>
          <w:rFonts w:ascii="Times New Roman" w:cs="Times New Roman" w:eastAsia="Times New Roman" w:hAnsi="Times New Roman"/>
          <w:sz w:val="17"/>
          <w:szCs w:val="17"/>
        </w:rPr>
        <w:t xml:space="preserve">El Tiempo, 8 de octubre de 2026; DNP, comunicados sobre el Plan Nacional de Desarrollo y los encuentros regionales, 2026.</w:t>
      </w:r>
    </w:p>
  </w:footnote>
  <w:footnote w:id="22">
    <w:p>
      <w:pPr>
        <w:spacing w:after="40"/>
      </w:pPr>
      <w:r>
        <w:rPr>
          <w:rStyle w:val="FootnoteReference"/>
        </w:rPr>
        <w:footnoteRef/>
      </w:r>
      <w:r>
        <w:rPr>
          <w:rFonts w:ascii="Times New Roman" w:cs="Times New Roman" w:eastAsia="Times New Roman" w:hAnsi="Times New Roman"/>
          <w:sz w:val="17"/>
          <w:szCs w:val="17"/>
        </w:rPr>
        <w:t xml:space="preserve">La Opinión, 14 de octubre de 2026; BusinessCol; Alerta, 13 de octubre de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0"/>
    </w:pPr>
    <w:r>
      <w:rPr>
        <w:rFonts w:ascii="Times New Roman" w:cs="Times New Roman" w:eastAsia="Times New Roman" w:hAnsi="Times New Roman"/>
        <w:i/>
        <w:iCs/>
        <w:sz w:val="16"/>
        <w:szCs w:val="16"/>
      </w:rPr>
      <w:t xml:space="preserve">El Catatumbo en 2026: violencia, economía y prioridades para el PND 2026-2030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0"/>
    </w:pPr>
    <w:r>
      <w:rPr>
        <w:rFonts w:ascii="Times New Roman" w:cs="Times New Roman" w:eastAsia="Times New Roman" w:hAnsi="Times New Roman"/>
        <w:i/>
        <w:iCs/>
        <w:sz w:val="16"/>
        <w:szCs w:val="16"/>
      </w:rPr>
      <w:t xml:space="preserve">El Catatumbo en 2026: violencia, economía y prioridades para el PND 2026-2030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0"/>
    </w:pPr>
    <w:r>
      <w:rPr>
        <w:rFonts w:ascii="Times New Roman" w:cs="Times New Roman" w:eastAsia="Times New Roman" w:hAnsi="Times New Roman"/>
        <w:i/>
        <w:iCs/>
        <w:sz w:val="16"/>
        <w:szCs w:val="16"/>
      </w:rPr>
      <w:t xml:space="preserve">El Catatumbo en 2026: violencia, economía y prioridades para el PND 2026-2030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134" w:hanging="567"/>
      </w:pPr>
      <w:rPr>
        <w:rFonts w:ascii="Times New Roman" w:cs="Times New Roman" w:eastAsia="Times New Roman" w:hAnsi="Times New Roman"/>
      </w:rPr>
    </w:lvl>
  </w:abstractNum>
  <w:abstractNum w:abstractNumId="3" w15:restartNumberingAfterBreak="0">
    <w:multiLevelType w:val="hybridMultilevel"/>
    <w:lvl w:ilvl="0" w15:tentative="1">
      <w:start w:val="1"/>
      <w:numFmt w:val="bullet"/>
      <w:lvlText w:val="–"/>
      <w:lvlJc w:val="left"/>
      <w:pPr>
        <w:ind w:left="340" w:hanging="300"/>
      </w:pPr>
      <w:rPr>
        <w:rFonts w:ascii="Times New Roman" w:cs="Times New Roman" w:eastAsia="Times New Roman" w:hAnsi="Times New Roman"/>
      </w:rPr>
    </w:lvl>
  </w:abstractNum>
  <w:abstractNum w:abstractNumId="4" w15:restartNumberingAfterBreak="0">
    <w:multiLevelType w:val="hybridMultilevel"/>
    <w:lvl w:ilvl="0" w15:tentative="1">
      <w:start w:val="1"/>
      <w:numFmt w:val="bullet"/>
      <w:lvlText w:val="–"/>
      <w:lvlJc w:val="left"/>
      <w:pPr>
        <w:ind w:left="1531" w:hanging="340"/>
      </w:pPr>
      <w:rPr>
        <w:rFonts w:ascii="Times New Roman" w:cs="Times New Roman" w:eastAsia="Times New Roman" w:hAnsi="Times New Roman"/>
      </w:rPr>
    </w:lvl>
    <w:lvl w:ilvl="1" w15:tentative="1">
      <w:start w:val="1"/>
      <w:numFmt w:val="bullet"/>
      <w:lvlText w:val="•"/>
      <w:lvlJc w:val="left"/>
      <w:pPr>
        <w:ind w:left="1928" w:hanging="34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3"/>
      <w:szCs w:val="23"/>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9543258598cf4e84c322b9cb66de3e17d7cb6ce8.png"/><Relationship Id="rId14" Type="http://schemas.openxmlformats.org/officeDocument/2006/relationships/image" Target="media/6488ddb16df37f7754a2f524c7592101cd255b6e.png"/><Relationship Id="rId15" Type="http://schemas.openxmlformats.org/officeDocument/2006/relationships/image" Target="media/49251bf475f8cb81022ce16c26b0ddf2213ef71d.png"/><Relationship Id="rId16" Type="http://schemas.openxmlformats.org/officeDocument/2006/relationships/image" Target="media/21d6af710f1900765051fe22201f1f95c164bfc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Catatumbo en 2026</dc:title>
  <dc:creator>Carlos Arturo Ramos Mejía</dc:creator>
  <dc:description>El Catatumbo en 2026: violencia, economía y prioridades para el PND 2026-2030</dc:description>
  <cp:lastModifiedBy>Un-named</cp:lastModifiedBy>
  <cp:revision>1</cp:revision>
  <dcterms:created xsi:type="dcterms:W3CDTF">2026-10-18T22:18:26.649Z</dcterms:created>
  <dcterms:modified xsi:type="dcterms:W3CDTF">2026-10-18T22:18:26.649Z</dcterms:modified>
</cp:coreProperties>
</file>

<file path=docProps/custom.xml><?xml version="1.0" encoding="utf-8"?>
<Properties xmlns="http://schemas.openxmlformats.org/officeDocument/2006/custom-properties" xmlns:vt="http://schemas.openxmlformats.org/officeDocument/2006/docPropsVTypes"/>
</file>